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717D6" w14:textId="77777777" w:rsidR="00142D29" w:rsidRPr="00142D29" w:rsidRDefault="00142D29" w:rsidP="00142D29">
      <w:pPr>
        <w:rPr>
          <w:b/>
          <w:sz w:val="28"/>
          <w:szCs w:val="28"/>
          <w:lang w:val="en-GB"/>
        </w:rPr>
      </w:pPr>
      <w:bookmarkStart w:id="0" w:name="_GoBack"/>
      <w:bookmarkEnd w:id="0"/>
      <w:r w:rsidRPr="00142D29">
        <w:rPr>
          <w:b/>
          <w:sz w:val="28"/>
          <w:szCs w:val="28"/>
          <w:lang w:val="en-GB"/>
        </w:rPr>
        <w:t>Supplementary Material</w:t>
      </w:r>
    </w:p>
    <w:p w14:paraId="4E696196" w14:textId="77777777" w:rsidR="00142D29" w:rsidRPr="00142D29" w:rsidRDefault="00142D29" w:rsidP="00142D29">
      <w:pPr>
        <w:rPr>
          <w:b/>
          <w:sz w:val="24"/>
          <w:szCs w:val="24"/>
          <w:lang w:val="en-GB"/>
        </w:rPr>
      </w:pPr>
      <w:r w:rsidRPr="00142D29">
        <w:rPr>
          <w:b/>
          <w:sz w:val="24"/>
          <w:szCs w:val="24"/>
          <w:lang w:val="en-GB"/>
        </w:rPr>
        <w:t>Groundwater level trends and recharge event characterization using historical observed data in semi-arid Chile</w:t>
      </w:r>
    </w:p>
    <w:p w14:paraId="751F94C0" w14:textId="7D7C4B7A" w:rsidR="00142D29" w:rsidRPr="00BE1C20" w:rsidRDefault="00142D29" w:rsidP="00142D2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E1C20">
        <w:rPr>
          <w:rFonts w:ascii="Times New Roman" w:hAnsi="Times New Roman" w:cs="Times New Roman"/>
          <w:sz w:val="24"/>
          <w:szCs w:val="24"/>
          <w:lang w:val="en-GB"/>
        </w:rPr>
        <w:t xml:space="preserve">Remi Valois, </w:t>
      </w:r>
      <w:r>
        <w:rPr>
          <w:rFonts w:ascii="Times New Roman" w:hAnsi="Times New Roman" w:cs="Times New Roman"/>
          <w:sz w:val="24"/>
          <w:szCs w:val="24"/>
          <w:lang w:val="en-GB"/>
        </w:rPr>
        <w:t>et al.</w:t>
      </w:r>
    </w:p>
    <w:p w14:paraId="1284E66F" w14:textId="77777777" w:rsidR="00AF7983" w:rsidRDefault="00AF7983">
      <w:pPr>
        <w:rPr>
          <w:b/>
          <w:lang w:val="en-GB"/>
        </w:rPr>
      </w:pPr>
    </w:p>
    <w:p w14:paraId="0F88F5A3" w14:textId="2CFDB437" w:rsidR="00176807" w:rsidRPr="00176807" w:rsidRDefault="00142D29">
      <w:pPr>
        <w:rPr>
          <w:lang w:val="en-GB"/>
        </w:rPr>
      </w:pPr>
      <w:r>
        <w:rPr>
          <w:lang w:val="en-GB"/>
        </w:rPr>
        <w:t>T</w:t>
      </w:r>
      <w:r w:rsidR="00176807">
        <w:rPr>
          <w:lang w:val="en-GB"/>
        </w:rPr>
        <w:t>he cross-correlation and wavelet analysis for all wells</w:t>
      </w:r>
      <w:r>
        <w:rPr>
          <w:lang w:val="en-GB"/>
        </w:rPr>
        <w:t xml:space="preserve"> are presented below</w:t>
      </w:r>
      <w:r w:rsidR="00176807">
        <w:rPr>
          <w:lang w:val="en-GB"/>
        </w:rPr>
        <w:t>.</w:t>
      </w:r>
    </w:p>
    <w:p w14:paraId="1444225E" w14:textId="1BF75B3A" w:rsidR="00142D29" w:rsidRDefault="00142D29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7B739137" w14:textId="77777777" w:rsidR="00176807" w:rsidRPr="00CA4A1E" w:rsidRDefault="00176807">
      <w:pPr>
        <w:rPr>
          <w:b/>
          <w:lang w:val="en-GB"/>
        </w:rPr>
      </w:pPr>
    </w:p>
    <w:p w14:paraId="14E733D0" w14:textId="77777777" w:rsidR="00CA4A1E" w:rsidRPr="00553D83" w:rsidRDefault="00CA4A1E">
      <w:pPr>
        <w:rPr>
          <w:u w:val="single"/>
          <w:lang w:val="en-GB"/>
        </w:rPr>
      </w:pPr>
      <w:r w:rsidRPr="00553D83">
        <w:rPr>
          <w:u w:val="single"/>
          <w:lang w:val="en-GB"/>
        </w:rPr>
        <w:t>Cross-correlation analysis</w:t>
      </w:r>
    </w:p>
    <w:p w14:paraId="04BB66DE" w14:textId="77777777" w:rsidR="007307F9" w:rsidRDefault="00CA4A1E" w:rsidP="00E41698">
      <w:pPr>
        <w:keepNext/>
        <w:jc w:val="center"/>
      </w:pPr>
      <w:r>
        <w:rPr>
          <w:noProof/>
          <w:lang w:eastAsia="es-419"/>
        </w:rPr>
        <w:drawing>
          <wp:inline distT="0" distB="0" distL="0" distR="0" wp14:anchorId="7305BB52" wp14:editId="3DF01EEB">
            <wp:extent cx="5760720" cy="60674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-13CC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FDE2" w14:textId="1A83E18B" w:rsidR="00AF7983" w:rsidRPr="00142D29" w:rsidRDefault="00142D29" w:rsidP="00142D29">
      <w:pPr>
        <w:pStyle w:val="Caption"/>
        <w:rPr>
          <w:i w:val="0"/>
          <w:iCs w:val="0"/>
          <w:lang w:val="en-GB"/>
        </w:rPr>
      </w:pPr>
      <w:r w:rsidRPr="00142D29">
        <w:rPr>
          <w:b/>
          <w:bCs/>
          <w:i w:val="0"/>
          <w:iCs w:val="0"/>
          <w:lang w:val="en-GB"/>
        </w:rPr>
        <w:t>Figure S1.</w:t>
      </w:r>
      <w:r w:rsidRPr="00142D29">
        <w:rPr>
          <w:i w:val="0"/>
          <w:iCs w:val="0"/>
          <w:lang w:val="en-GB"/>
        </w:rPr>
        <w:t xml:space="preserve"> </w:t>
      </w:r>
      <w:r w:rsidR="007307F9" w:rsidRPr="00142D29">
        <w:rPr>
          <w:i w:val="0"/>
          <w:iCs w:val="0"/>
          <w:lang w:val="en-GB"/>
        </w:rPr>
        <w:t>Cross-correlograms of GWLs with the close</w:t>
      </w:r>
      <w:r w:rsidR="00E41698" w:rsidRPr="00142D29">
        <w:rPr>
          <w:i w:val="0"/>
          <w:iCs w:val="0"/>
          <w:lang w:val="en-GB"/>
        </w:rPr>
        <w:t>st discharge station</w:t>
      </w:r>
      <w:r w:rsidR="007307F9" w:rsidRPr="00142D29">
        <w:rPr>
          <w:i w:val="0"/>
          <w:iCs w:val="0"/>
          <w:lang w:val="en-GB"/>
        </w:rPr>
        <w:t xml:space="preserve"> (in blue), and GWLs with the closest raingauge </w:t>
      </w:r>
      <w:r w:rsidR="00E41698" w:rsidRPr="00142D29">
        <w:rPr>
          <w:i w:val="0"/>
          <w:iCs w:val="0"/>
          <w:lang w:val="en-GB"/>
        </w:rPr>
        <w:t>station</w:t>
      </w:r>
      <w:r w:rsidR="007307F9" w:rsidRPr="00142D29">
        <w:rPr>
          <w:i w:val="0"/>
          <w:iCs w:val="0"/>
          <w:lang w:val="en-GB"/>
        </w:rPr>
        <w:t xml:space="preserve"> (dashed black</w:t>
      </w:r>
      <w:r w:rsidR="00E41698" w:rsidRPr="00142D29">
        <w:rPr>
          <w:i w:val="0"/>
          <w:iCs w:val="0"/>
          <w:lang w:val="en-GB"/>
        </w:rPr>
        <w:t>). Station locations</w:t>
      </w:r>
      <w:r w:rsidR="007307F9" w:rsidRPr="00142D29">
        <w:rPr>
          <w:i w:val="0"/>
          <w:iCs w:val="0"/>
          <w:lang w:val="en-GB"/>
        </w:rPr>
        <w:t xml:space="preserve"> are</w:t>
      </w:r>
      <w:r w:rsidR="00E41698" w:rsidRPr="00142D29">
        <w:rPr>
          <w:i w:val="0"/>
          <w:iCs w:val="0"/>
          <w:lang w:val="en-GB"/>
        </w:rPr>
        <w:t xml:space="preserve"> </w:t>
      </w:r>
      <w:r>
        <w:rPr>
          <w:i w:val="0"/>
          <w:iCs w:val="0"/>
          <w:lang w:val="en-GB"/>
        </w:rPr>
        <w:t xml:space="preserve">given </w:t>
      </w:r>
      <w:r w:rsidR="00E41698" w:rsidRPr="00142D29">
        <w:rPr>
          <w:i w:val="0"/>
          <w:iCs w:val="0"/>
          <w:lang w:val="en-GB"/>
        </w:rPr>
        <w:t>in</w:t>
      </w:r>
      <w:r w:rsidR="007307F9" w:rsidRPr="00142D29">
        <w:rPr>
          <w:i w:val="0"/>
          <w:iCs w:val="0"/>
          <w:lang w:val="en-GB"/>
        </w:rPr>
        <w:t xml:space="preserve"> Table 1 and </w:t>
      </w:r>
      <w:r>
        <w:rPr>
          <w:i w:val="0"/>
          <w:iCs w:val="0"/>
          <w:lang w:val="en-GB"/>
        </w:rPr>
        <w:t>F</w:t>
      </w:r>
      <w:r w:rsidR="007307F9" w:rsidRPr="00142D29">
        <w:rPr>
          <w:i w:val="0"/>
          <w:iCs w:val="0"/>
          <w:lang w:val="en-GB"/>
        </w:rPr>
        <w:t>igure 5</w:t>
      </w:r>
      <w:r>
        <w:rPr>
          <w:i w:val="0"/>
          <w:iCs w:val="0"/>
          <w:lang w:val="en-GB"/>
        </w:rPr>
        <w:t xml:space="preserve"> of the main article</w:t>
      </w:r>
      <w:r w:rsidR="007307F9" w:rsidRPr="00142D29">
        <w:rPr>
          <w:i w:val="0"/>
          <w:iCs w:val="0"/>
          <w:lang w:val="en-GB"/>
        </w:rPr>
        <w:t>.</w:t>
      </w:r>
    </w:p>
    <w:p w14:paraId="77C99985" w14:textId="77777777" w:rsidR="00CA4A1E" w:rsidRDefault="00CA4A1E">
      <w:pPr>
        <w:rPr>
          <w:lang w:val="en-GB"/>
        </w:rPr>
      </w:pPr>
    </w:p>
    <w:p w14:paraId="0C137C08" w14:textId="77777777" w:rsidR="00E41698" w:rsidRDefault="00CA4A1E" w:rsidP="00E41698">
      <w:pPr>
        <w:keepNext/>
        <w:jc w:val="center"/>
      </w:pPr>
      <w:r>
        <w:rPr>
          <w:noProof/>
          <w:lang w:eastAsia="es-419"/>
        </w:rPr>
        <w:lastRenderedPageBreak/>
        <w:drawing>
          <wp:inline distT="0" distB="0" distL="0" distR="0" wp14:anchorId="3FDEE707" wp14:editId="6551C039">
            <wp:extent cx="5760720" cy="6096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-19CC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9E3FE" w14:textId="4CEBDC22" w:rsidR="00CA4A1E" w:rsidRPr="00142D29" w:rsidRDefault="00142D29" w:rsidP="00142D29">
      <w:pPr>
        <w:pStyle w:val="Caption"/>
        <w:rPr>
          <w:i w:val="0"/>
          <w:iCs w:val="0"/>
          <w:lang w:val="en-GB"/>
        </w:rPr>
      </w:pPr>
      <w:r w:rsidRPr="00142D29">
        <w:rPr>
          <w:b/>
          <w:bCs/>
          <w:i w:val="0"/>
          <w:iCs w:val="0"/>
          <w:lang w:val="en-GB"/>
        </w:rPr>
        <w:t>Figure S2.</w:t>
      </w:r>
      <w:r w:rsidRPr="00142D29">
        <w:rPr>
          <w:i w:val="0"/>
          <w:iCs w:val="0"/>
          <w:lang w:val="en-GB"/>
        </w:rPr>
        <w:t xml:space="preserve"> </w:t>
      </w:r>
      <w:r w:rsidR="00E41698" w:rsidRPr="00142D29">
        <w:rPr>
          <w:i w:val="0"/>
          <w:iCs w:val="0"/>
          <w:lang w:val="en-GB"/>
        </w:rPr>
        <w:t xml:space="preserve">Cross-correlograms of GWLs with the closest discharge station (in blue), and GWLs with the closest raingauge station (dashed black). Station locations are </w:t>
      </w:r>
      <w:r>
        <w:rPr>
          <w:i w:val="0"/>
          <w:iCs w:val="0"/>
          <w:lang w:val="en-GB"/>
        </w:rPr>
        <w:t xml:space="preserve">given </w:t>
      </w:r>
      <w:r w:rsidR="00E41698" w:rsidRPr="00142D29">
        <w:rPr>
          <w:i w:val="0"/>
          <w:iCs w:val="0"/>
          <w:lang w:val="en-GB"/>
        </w:rPr>
        <w:t xml:space="preserve">in Table 1 and </w:t>
      </w:r>
      <w:r>
        <w:rPr>
          <w:i w:val="0"/>
          <w:iCs w:val="0"/>
          <w:lang w:val="en-GB"/>
        </w:rPr>
        <w:t>F</w:t>
      </w:r>
      <w:r w:rsidR="00E41698" w:rsidRPr="00142D29">
        <w:rPr>
          <w:i w:val="0"/>
          <w:iCs w:val="0"/>
          <w:lang w:val="en-GB"/>
        </w:rPr>
        <w:t>igure 5</w:t>
      </w:r>
      <w:r>
        <w:rPr>
          <w:i w:val="0"/>
          <w:iCs w:val="0"/>
          <w:lang w:val="en-GB"/>
        </w:rPr>
        <w:t xml:space="preserve"> of the main article</w:t>
      </w:r>
      <w:r w:rsidR="00E41698" w:rsidRPr="00142D29">
        <w:rPr>
          <w:i w:val="0"/>
          <w:iCs w:val="0"/>
          <w:lang w:val="en-GB"/>
        </w:rPr>
        <w:t>.</w:t>
      </w:r>
    </w:p>
    <w:p w14:paraId="5EFC841A" w14:textId="77777777" w:rsidR="00CA4A1E" w:rsidRDefault="00CA4A1E">
      <w:pPr>
        <w:rPr>
          <w:lang w:val="en-GB"/>
        </w:rPr>
      </w:pPr>
    </w:p>
    <w:p w14:paraId="1864CAD1" w14:textId="77777777" w:rsidR="00E41698" w:rsidRDefault="00CA4A1E" w:rsidP="00142D29">
      <w:pPr>
        <w:keepNext/>
      </w:pPr>
      <w:r>
        <w:rPr>
          <w:noProof/>
          <w:lang w:eastAsia="es-419"/>
        </w:rPr>
        <w:lastRenderedPageBreak/>
        <w:drawing>
          <wp:inline distT="0" distB="0" distL="0" distR="0" wp14:anchorId="0C482BE4" wp14:editId="47C893DB">
            <wp:extent cx="5760720" cy="40392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-23CC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6095" w14:textId="7C8AC2B6" w:rsidR="00CA4A1E" w:rsidRPr="00142D29" w:rsidRDefault="00142D29" w:rsidP="00142D29">
      <w:pPr>
        <w:pStyle w:val="Caption"/>
        <w:rPr>
          <w:i w:val="0"/>
          <w:iCs w:val="0"/>
          <w:lang w:val="en-GB"/>
        </w:rPr>
      </w:pPr>
      <w:r w:rsidRPr="00142D29">
        <w:rPr>
          <w:b/>
          <w:bCs/>
          <w:i w:val="0"/>
          <w:iCs w:val="0"/>
          <w:lang w:val="en-GB"/>
        </w:rPr>
        <w:t>Figure S3.</w:t>
      </w:r>
      <w:r w:rsidRPr="00142D29">
        <w:rPr>
          <w:i w:val="0"/>
          <w:iCs w:val="0"/>
          <w:lang w:val="en-GB"/>
        </w:rPr>
        <w:t xml:space="preserve"> </w:t>
      </w:r>
      <w:r w:rsidR="00E41698" w:rsidRPr="00142D29">
        <w:rPr>
          <w:i w:val="0"/>
          <w:iCs w:val="0"/>
          <w:lang w:val="en-GB"/>
        </w:rPr>
        <w:t xml:space="preserve">Cross-correlograms of GWLs with the closest discharge station (in blue), and GWLs with the closest raingauge station (dashed black). Station locations are </w:t>
      </w:r>
      <w:r>
        <w:rPr>
          <w:i w:val="0"/>
          <w:iCs w:val="0"/>
          <w:lang w:val="en-GB"/>
        </w:rPr>
        <w:t xml:space="preserve">given </w:t>
      </w:r>
      <w:r w:rsidR="00E41698" w:rsidRPr="00142D29">
        <w:rPr>
          <w:i w:val="0"/>
          <w:iCs w:val="0"/>
          <w:lang w:val="en-GB"/>
        </w:rPr>
        <w:t xml:space="preserve">in Table 1 and </w:t>
      </w:r>
      <w:r>
        <w:rPr>
          <w:i w:val="0"/>
          <w:iCs w:val="0"/>
          <w:lang w:val="en-GB"/>
        </w:rPr>
        <w:t>F</w:t>
      </w:r>
      <w:r w:rsidR="00E41698" w:rsidRPr="00142D29">
        <w:rPr>
          <w:i w:val="0"/>
          <w:iCs w:val="0"/>
          <w:lang w:val="en-GB"/>
        </w:rPr>
        <w:t>igure 5</w:t>
      </w:r>
      <w:r>
        <w:rPr>
          <w:i w:val="0"/>
          <w:iCs w:val="0"/>
          <w:lang w:val="en-GB"/>
        </w:rPr>
        <w:t xml:space="preserve"> of the main article</w:t>
      </w:r>
      <w:r w:rsidR="00E41698" w:rsidRPr="00142D29">
        <w:rPr>
          <w:i w:val="0"/>
          <w:iCs w:val="0"/>
          <w:lang w:val="en-GB"/>
        </w:rPr>
        <w:t>.</w:t>
      </w:r>
    </w:p>
    <w:p w14:paraId="481717DC" w14:textId="77777777" w:rsidR="00CA4A1E" w:rsidRDefault="00CA4A1E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38FB23C5" w14:textId="77777777" w:rsidR="00AF7983" w:rsidRPr="00553D83" w:rsidRDefault="00AF7983" w:rsidP="00A40A90">
      <w:pPr>
        <w:rPr>
          <w:u w:val="single"/>
          <w:lang w:val="en-GB"/>
        </w:rPr>
      </w:pPr>
      <w:r w:rsidRPr="00553D83">
        <w:rPr>
          <w:u w:val="single"/>
          <w:lang w:val="en-GB"/>
        </w:rPr>
        <w:lastRenderedPageBreak/>
        <w:t>Wavelet analysis</w:t>
      </w:r>
    </w:p>
    <w:p w14:paraId="15981609" w14:textId="77777777" w:rsidR="00D27F11" w:rsidRPr="00CA4A1E" w:rsidRDefault="00AF7983" w:rsidP="00692ED5">
      <w:pPr>
        <w:keepNext/>
        <w:jc w:val="center"/>
        <w:rPr>
          <w:lang w:val="en-GB"/>
        </w:rPr>
      </w:pPr>
      <w:r>
        <w:rPr>
          <w:noProof/>
          <w:lang w:eastAsia="es-419"/>
        </w:rPr>
        <w:drawing>
          <wp:inline distT="0" distB="0" distL="0" distR="0" wp14:anchorId="74DD2414" wp14:editId="62BE0634">
            <wp:extent cx="5760720" cy="72663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-1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061B" w14:textId="00D5752C" w:rsidR="00D27F11" w:rsidRPr="00142D29" w:rsidRDefault="00142D29" w:rsidP="00142D29">
      <w:pPr>
        <w:pStyle w:val="Caption"/>
        <w:rPr>
          <w:i w:val="0"/>
          <w:iCs w:val="0"/>
          <w:lang w:val="en-GB"/>
        </w:rPr>
      </w:pPr>
      <w:r w:rsidRPr="00142D29">
        <w:rPr>
          <w:b/>
          <w:bCs/>
          <w:i w:val="0"/>
          <w:iCs w:val="0"/>
          <w:lang w:val="en-GB"/>
        </w:rPr>
        <w:t>Figure S4.</w:t>
      </w:r>
      <w:r w:rsidRPr="00142D29">
        <w:rPr>
          <w:i w:val="0"/>
          <w:iCs w:val="0"/>
          <w:lang w:val="en-GB"/>
        </w:rPr>
        <w:t xml:space="preserve"> </w:t>
      </w:r>
      <w:r w:rsidR="00D27F11" w:rsidRPr="00142D29">
        <w:rPr>
          <w:i w:val="0"/>
          <w:iCs w:val="0"/>
          <w:lang w:val="en-GB"/>
        </w:rPr>
        <w:t>Wavelet power spectrum of the corresponding GWL. Black lines represent the cones of influence of GWL, where edge effects might distort the picture outside the cones.</w:t>
      </w:r>
    </w:p>
    <w:p w14:paraId="2B00DB14" w14:textId="77777777" w:rsidR="00D27F11" w:rsidRDefault="00AF7983" w:rsidP="00692ED5">
      <w:pPr>
        <w:keepNext/>
        <w:jc w:val="center"/>
      </w:pPr>
      <w:r>
        <w:rPr>
          <w:noProof/>
          <w:lang w:eastAsia="es-419"/>
        </w:rPr>
        <w:lastRenderedPageBreak/>
        <w:drawing>
          <wp:inline distT="0" distB="0" distL="0" distR="0" wp14:anchorId="2F00EB4F" wp14:editId="514FF730">
            <wp:extent cx="5760720" cy="72663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-18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5A9E" w14:textId="40CDFD3B" w:rsidR="00D27F11" w:rsidRPr="00142D29" w:rsidRDefault="00142D29" w:rsidP="00142D29">
      <w:pPr>
        <w:pStyle w:val="Caption"/>
        <w:rPr>
          <w:i w:val="0"/>
          <w:iCs w:val="0"/>
          <w:lang w:val="en-GB"/>
        </w:rPr>
      </w:pPr>
      <w:r w:rsidRPr="00142D29">
        <w:rPr>
          <w:b/>
          <w:bCs/>
          <w:i w:val="0"/>
          <w:iCs w:val="0"/>
          <w:lang w:val="en-GB"/>
        </w:rPr>
        <w:t>Figure S5.</w:t>
      </w:r>
      <w:r w:rsidRPr="00142D29">
        <w:rPr>
          <w:i w:val="0"/>
          <w:iCs w:val="0"/>
          <w:lang w:val="en-GB"/>
        </w:rPr>
        <w:t xml:space="preserve"> </w:t>
      </w:r>
      <w:r w:rsidR="00D27F11" w:rsidRPr="00142D29">
        <w:rPr>
          <w:i w:val="0"/>
          <w:iCs w:val="0"/>
          <w:lang w:val="en-GB"/>
        </w:rPr>
        <w:t>Wavelet power spectrum of the corresponding GWL. Black lines represent the cones of influence of GWL, where edge effects might distort the picture outside the cones.</w:t>
      </w:r>
    </w:p>
    <w:p w14:paraId="125E3CC3" w14:textId="77777777" w:rsidR="00D27F11" w:rsidRDefault="00AF7983" w:rsidP="00692ED5">
      <w:pPr>
        <w:keepNext/>
        <w:jc w:val="center"/>
      </w:pPr>
      <w:r>
        <w:rPr>
          <w:noProof/>
          <w:lang w:eastAsia="es-419"/>
        </w:rPr>
        <w:lastRenderedPageBreak/>
        <w:drawing>
          <wp:inline distT="0" distB="0" distL="0" distR="0" wp14:anchorId="03CABCD7" wp14:editId="13BB33C3">
            <wp:extent cx="5760720" cy="732726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-23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C4C1" w14:textId="493953E2" w:rsidR="00D27F11" w:rsidRPr="00142D29" w:rsidRDefault="00142D29" w:rsidP="00142D29">
      <w:pPr>
        <w:pStyle w:val="Caption"/>
        <w:rPr>
          <w:i w:val="0"/>
          <w:iCs w:val="0"/>
          <w:lang w:val="en-GB"/>
        </w:rPr>
      </w:pPr>
      <w:r w:rsidRPr="00142D29">
        <w:rPr>
          <w:b/>
          <w:bCs/>
          <w:i w:val="0"/>
          <w:iCs w:val="0"/>
          <w:lang w:val="en-GB"/>
        </w:rPr>
        <w:t>Figure S6.</w:t>
      </w:r>
      <w:r w:rsidRPr="00142D29">
        <w:rPr>
          <w:i w:val="0"/>
          <w:iCs w:val="0"/>
          <w:lang w:val="en-GB"/>
        </w:rPr>
        <w:t xml:space="preserve"> </w:t>
      </w:r>
      <w:r w:rsidR="00D27F11" w:rsidRPr="00142D29">
        <w:rPr>
          <w:i w:val="0"/>
          <w:iCs w:val="0"/>
          <w:lang w:val="en-GB"/>
        </w:rPr>
        <w:t>Wavelet power spectrum of the corresponding GWL. Black lines represent the cones of influence of GWL, where edge effects might distort the picture outside the cones.</w:t>
      </w:r>
    </w:p>
    <w:p w14:paraId="7681F7A0" w14:textId="77777777" w:rsidR="00AF7983" w:rsidRPr="00D27F11" w:rsidRDefault="00AF7983" w:rsidP="00692ED5">
      <w:pPr>
        <w:pStyle w:val="Caption"/>
        <w:jc w:val="center"/>
        <w:rPr>
          <w:lang w:val="en-GB"/>
        </w:rPr>
      </w:pPr>
    </w:p>
    <w:sectPr w:rsidR="00AF7983" w:rsidRPr="00D27F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DECCF" w14:textId="77777777" w:rsidR="00BE4B66" w:rsidRDefault="00BE4B66" w:rsidP="00BE4B66">
      <w:pPr>
        <w:spacing w:after="0" w:line="240" w:lineRule="auto"/>
      </w:pPr>
      <w:r>
        <w:separator/>
      </w:r>
    </w:p>
  </w:endnote>
  <w:endnote w:type="continuationSeparator" w:id="0">
    <w:p w14:paraId="4EA8C285" w14:textId="77777777" w:rsidR="00BE4B66" w:rsidRDefault="00BE4B66" w:rsidP="00BE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3C602" w14:textId="77777777" w:rsidR="00BE4B66" w:rsidRDefault="00BE4B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03C01" w14:textId="63C46F91" w:rsidR="00BE4B66" w:rsidRDefault="00BE4B6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1F901AB" wp14:editId="00F52BAB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7" name="MSIPCM33f14b798d56f515b878fac8" descr="{&quot;HashCode&quot;:156159341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E7818B" w14:textId="2F453F2D" w:rsidR="00BE4B66" w:rsidRPr="00BE4B66" w:rsidRDefault="00BE4B66" w:rsidP="00BE4B66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E4B66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F901AB" id="_x0000_t202" coordsize="21600,21600" o:spt="202" path="m,l,21600r21600,l21600,xe">
              <v:stroke joinstyle="miter"/>
              <v:path gradientshapeok="t" o:connecttype="rect"/>
            </v:shapetype>
            <v:shape id="MSIPCM33f14b798d56f515b878fac8" o:spid="_x0000_s1026" type="#_x0000_t202" alt="{&quot;HashCode&quot;:1561593418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O4HgMAADcGAAAOAAAAZHJzL2Uyb0RvYy54bWysVE1v2zAMvQ/YfxB02Gmp7cR24qxO0abI&#10;ViBtA6RDz4osx8JsyZWUxlnR/z5KttOP7TAMu0gUSVHk4xNPz5qqRI9MaS5FioMTHyMmqMy42Kb4&#10;+91iMMFIGyIyUkrBUnxgGp/NPn443ddTNpSFLDOmEAQRerqvU1wYU089T9OCVUSfyJoJMOZSVcTA&#10;UW29TJE9RK9Kb+j7sbeXKquVpExr0F62Rjxz8fOcUXOb55oZVKYYcjNuVW7d2NWbnZLpVpG64LRL&#10;g/xDFhXhAh49hrokhqCd4r+FqjhVUsvcnFBZeTLPOWWuBqgm8N9Vsy5IzVwtAI6ujzDp/xeW3jyu&#10;FOJZiscYCVJBi67XV6v59WiUB+FmnEyyKM6jINpMxpOcUGhnxjQFBJ8+Peyk+fKN6GIuM9aepkEU&#10;B1EyCoPJ587O+LYwnXUSAkM6wz3PTNHpoyQ66lcloaxior/TuiykNEy1chfgSmSs6QK020rxiqjD&#10;G681UAC42fkF3d07WXca//jwkuX9m6B8ttTY13oKCK1rwMg0F7IBivd6DUrb8SZXld2hlwjsQLLD&#10;kVisMYiCchzF/igAEwXbMI7HvmOe93K7Vtp8ZbJCVkixgqwdn8jjUhvIBFx7F/uYkAtelo68pUD7&#10;FMejyHcXjha4UQrrC0lAjE5qSfmUBMPQvxgmg0U8GQ/CRRgNkrE/GfhBcpHEfpiEl4tnGy8IpwXP&#10;MiaWXLD+gwTh3xGw+6ottd0XeZOqliXPbB02N1vdvFTokcBP3QAHfligoYhXXt7bdJwZqut3V6Vn&#10;e9b2xkqm2TRdIzcyO0AflQR8oRW6pgsOjy6JNiui4NeDEiaZuYUlLyWAKjsJo0Kqn3/SW3/AAqwY&#10;7WGKpFg/7IhiGJVXAr7pMAp96DUy7gSCckIShCEcNr1W7Kq5hLoDl5YTra8pezFXsrqHSXdunwMT&#10;ERQeBaB6cW7gBAaYlJSdnzsZJkxNzFKsa2pD9yjfNfdE1R3RDOB3I/tBQ6bv+Nb62ptCnu+MzLkj&#10;o0W2hROwtweYTq4L3SS14+/12Xm9zPvZLwAAAP//AwBQSwMEFAAGAAgAAAAhAGARxibeAAAACwEA&#10;AA8AAABkcnMvZG93bnJldi54bWxMj8FOwzAQRO9I/IO1SNyoYxBRG+JUVaUiwQFB6Ae48TZJa68j&#10;22nD3+Oc4Lgzo9l55Xqyhl3Qh96RBLHIgCE1TvfUSth/7x6WwEJUpJVxhBJ+MMC6ur0pVaHdlb7w&#10;UseWpRIKhZLQxTgUnIemQ6vCwg1IyTs6b1VMp2+59uqayq3hj1mWc6t6Sh86NeC2w+Zcj1bCBkcR&#10;3szu9Nrv68/300f0eruS8v5u2rwAizjFvzDM89N0qNKmgxtJB2YkJJCY1FyIRDD7YpXlwA6z9vy0&#10;BF6V/D9D9QsAAP//AwBQSwECLQAUAAYACAAAACEAtoM4kv4AAADhAQAAEwAAAAAAAAAAAAAAAAAA&#10;AAAAW0NvbnRlbnRfVHlwZXNdLnhtbFBLAQItABQABgAIAAAAIQA4/SH/1gAAAJQBAAALAAAAAAAA&#10;AAAAAAAAAC8BAABfcmVscy8ucmVsc1BLAQItABQABgAIAAAAIQDIg/O4HgMAADcGAAAOAAAAAAAA&#10;AAAAAAAAAC4CAABkcnMvZTJvRG9jLnhtbFBLAQItABQABgAIAAAAIQBgEcYm3gAAAAsBAAAPAAAA&#10;AAAAAAAAAAAAAHgFAABkcnMvZG93bnJldi54bWxQSwUGAAAAAAQABADzAAAAgwYAAAAA&#10;" o:allowincell="f" filled="f" stroked="f" strokeweight=".5pt">
              <v:fill o:detectmouseclick="t"/>
              <v:textbox inset="20pt,0,,0">
                <w:txbxContent>
                  <w:p w14:paraId="00E7818B" w14:textId="2F453F2D" w:rsidR="00BE4B66" w:rsidRPr="00BE4B66" w:rsidRDefault="00BE4B66" w:rsidP="00BE4B66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E4B66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4FE2B" w14:textId="77777777" w:rsidR="00BE4B66" w:rsidRDefault="00BE4B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2A787" w14:textId="77777777" w:rsidR="00BE4B66" w:rsidRDefault="00BE4B66" w:rsidP="00BE4B66">
      <w:pPr>
        <w:spacing w:after="0" w:line="240" w:lineRule="auto"/>
      </w:pPr>
      <w:r>
        <w:separator/>
      </w:r>
    </w:p>
  </w:footnote>
  <w:footnote w:type="continuationSeparator" w:id="0">
    <w:p w14:paraId="4CEF446D" w14:textId="77777777" w:rsidR="00BE4B66" w:rsidRDefault="00BE4B66" w:rsidP="00BE4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BFBEB" w14:textId="77777777" w:rsidR="00BE4B66" w:rsidRDefault="00BE4B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5DA9A" w14:textId="77777777" w:rsidR="00BE4B66" w:rsidRDefault="00BE4B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183B0" w14:textId="77777777" w:rsidR="00BE4B66" w:rsidRDefault="00BE4B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E3"/>
    <w:rsid w:val="00142D29"/>
    <w:rsid w:val="00176807"/>
    <w:rsid w:val="00553D83"/>
    <w:rsid w:val="005B18E3"/>
    <w:rsid w:val="00692ED5"/>
    <w:rsid w:val="007307F9"/>
    <w:rsid w:val="00925BA4"/>
    <w:rsid w:val="00A40A90"/>
    <w:rsid w:val="00AF7983"/>
    <w:rsid w:val="00BE4B66"/>
    <w:rsid w:val="00CA4A1E"/>
    <w:rsid w:val="00D27F11"/>
    <w:rsid w:val="00D7740A"/>
    <w:rsid w:val="00E41698"/>
    <w:rsid w:val="00E9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0196F"/>
  <w15:chartTrackingRefBased/>
  <w15:docId w15:val="{CC36D87B-609E-441B-B95E-9B8244D10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27F1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B6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4B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B66"/>
  </w:style>
  <w:style w:type="paragraph" w:styleId="Footer">
    <w:name w:val="footer"/>
    <w:basedOn w:val="Normal"/>
    <w:link w:val="FooterChar"/>
    <w:uiPriority w:val="99"/>
    <w:unhideWhenUsed/>
    <w:rsid w:val="00BE4B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ti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220</Words>
  <Characters>1259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</dc:creator>
  <cp:keywords/>
  <dc:description/>
  <cp:lastModifiedBy>Barry, Shelley</cp:lastModifiedBy>
  <cp:revision>2</cp:revision>
  <dcterms:created xsi:type="dcterms:W3CDTF">2020-01-07T08:50:00Z</dcterms:created>
  <dcterms:modified xsi:type="dcterms:W3CDTF">2020-01-07T08:50:00Z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Shelley.Barry@informa.com</vt:lpwstr>
  </property>
  <property fmtid="{D5CDD505-2E9C-101B-9397-08002B2CF9AE}" pid="5" name="MSIP_Label_181c070e-054b-4d1c-ba4c-fc70b099192e_SetDate">
    <vt:lpwstr>2020-01-07T08:50:04.0234479Z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6a2e18e6-e4aa-4997-a8ac-7c8df0f11f18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Shelley.Barry@informa.com</vt:lpwstr>
  </property>
  <property fmtid="{D5CDD505-2E9C-101B-9397-08002B2CF9AE}" pid="13" name="MSIP_Label_2bbab825-a111-45e4-86a1-18cee0005896_SetDate">
    <vt:lpwstr>2020-01-07T08:50:04.0234479Z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6a2e18e6-e4aa-4997-a8ac-7c8df0f11f18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