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18F23" w14:textId="77777777" w:rsidR="005745E1" w:rsidRPr="009B035A" w:rsidRDefault="005F7FB0">
      <w:pPr>
        <w:rPr>
          <w:sz w:val="36"/>
          <w:szCs w:val="36"/>
        </w:rPr>
      </w:pPr>
      <w:r w:rsidRPr="005F7FB0">
        <w:rPr>
          <w:sz w:val="36"/>
          <w:szCs w:val="36"/>
        </w:rPr>
        <w:t>Interpretation of Volatility Tandem Differential Mobility Analyzer (V-TDMA) Data for Accurate Vapor Pressure and Enthalpy Measurement:  Operational Considerations, Multiple Charging, and Introduction to a New Analysis Program (TAO)</w:t>
      </w:r>
    </w:p>
    <w:p w14:paraId="2DFCE544" w14:textId="77777777" w:rsidR="009B035A" w:rsidRDefault="009B035A">
      <w:pPr>
        <w:rPr>
          <w:sz w:val="28"/>
          <w:szCs w:val="28"/>
        </w:rPr>
      </w:pPr>
    </w:p>
    <w:p w14:paraId="59F43A58" w14:textId="08034DC1" w:rsidR="009B035A" w:rsidRPr="009B035A" w:rsidRDefault="009B035A" w:rsidP="009B035A">
      <w:pPr>
        <w:rPr>
          <w:sz w:val="28"/>
          <w:szCs w:val="28"/>
        </w:rPr>
      </w:pPr>
      <w:r w:rsidRPr="009B035A">
        <w:rPr>
          <w:sz w:val="28"/>
          <w:szCs w:val="28"/>
        </w:rPr>
        <w:t>Christopher R. Oxford</w:t>
      </w:r>
      <w:proofErr w:type="gramStart"/>
      <w:r w:rsidRPr="009B035A">
        <w:rPr>
          <w:sz w:val="28"/>
          <w:szCs w:val="28"/>
          <w:vertAlign w:val="superscript"/>
        </w:rPr>
        <w:t>1</w:t>
      </w:r>
      <w:r w:rsidRPr="005F7FB0">
        <w:rPr>
          <w:sz w:val="28"/>
          <w:szCs w:val="28"/>
          <w:vertAlign w:val="superscript"/>
        </w:rPr>
        <w:t>,*</w:t>
      </w:r>
      <w:proofErr w:type="gramEnd"/>
      <w:r w:rsidRPr="009B035A">
        <w:rPr>
          <w:sz w:val="28"/>
          <w:szCs w:val="28"/>
        </w:rPr>
        <w:t xml:space="preserve">, </w:t>
      </w:r>
      <w:r w:rsidR="00317224">
        <w:rPr>
          <w:sz w:val="28"/>
          <w:szCs w:val="28"/>
        </w:rPr>
        <w:t>Audrey J. Dang</w:t>
      </w:r>
      <w:r w:rsidR="00317224" w:rsidRPr="00317224">
        <w:rPr>
          <w:sz w:val="28"/>
          <w:szCs w:val="28"/>
          <w:vertAlign w:val="superscript"/>
        </w:rPr>
        <w:t>1</w:t>
      </w:r>
      <w:r w:rsidR="00317224">
        <w:rPr>
          <w:sz w:val="28"/>
          <w:szCs w:val="28"/>
        </w:rPr>
        <w:t xml:space="preserve">, </w:t>
      </w:r>
      <w:r w:rsidRPr="009B035A">
        <w:rPr>
          <w:sz w:val="28"/>
          <w:szCs w:val="28"/>
        </w:rPr>
        <w:t>Charles M. Rapp</w:t>
      </w:r>
      <w:r w:rsidRPr="009B035A">
        <w:rPr>
          <w:sz w:val="28"/>
          <w:szCs w:val="28"/>
          <w:vertAlign w:val="superscript"/>
        </w:rPr>
        <w:t>1</w:t>
      </w:r>
      <w:r w:rsidRPr="009B035A">
        <w:rPr>
          <w:sz w:val="28"/>
          <w:szCs w:val="28"/>
        </w:rPr>
        <w:t>, and Brent J. Williams</w:t>
      </w:r>
      <w:r w:rsidRPr="009B035A">
        <w:rPr>
          <w:sz w:val="28"/>
          <w:szCs w:val="28"/>
          <w:vertAlign w:val="superscript"/>
        </w:rPr>
        <w:t>1</w:t>
      </w:r>
    </w:p>
    <w:p w14:paraId="096F22BE" w14:textId="77777777" w:rsidR="009B035A" w:rsidRPr="009B035A" w:rsidRDefault="009B035A" w:rsidP="009B035A">
      <w:pPr>
        <w:rPr>
          <w:sz w:val="28"/>
          <w:szCs w:val="28"/>
        </w:rPr>
      </w:pPr>
    </w:p>
    <w:p w14:paraId="079489E0" w14:textId="77777777" w:rsidR="009B035A" w:rsidRDefault="009B035A" w:rsidP="009B035A">
      <w:pPr>
        <w:rPr>
          <w:sz w:val="28"/>
          <w:szCs w:val="28"/>
        </w:rPr>
      </w:pPr>
      <w:r w:rsidRPr="009B035A">
        <w:rPr>
          <w:sz w:val="28"/>
          <w:szCs w:val="28"/>
          <w:vertAlign w:val="superscript"/>
        </w:rPr>
        <w:t>1</w:t>
      </w:r>
      <w:r w:rsidRPr="009B035A">
        <w:rPr>
          <w:sz w:val="28"/>
          <w:szCs w:val="28"/>
        </w:rPr>
        <w:t xml:space="preserve"> Department of Energy, Environmental, and Chemical Engineering, Washington University in St. Louis, St. Louis, Missouri 63130</w:t>
      </w:r>
    </w:p>
    <w:p w14:paraId="687A085A" w14:textId="77777777" w:rsidR="009B035A" w:rsidRDefault="009B035A" w:rsidP="009B035A">
      <w:r>
        <w:t>* Corresponding Author</w:t>
      </w:r>
    </w:p>
    <w:p w14:paraId="2C9F4475" w14:textId="77777777" w:rsidR="009B035A" w:rsidRDefault="009B035A" w:rsidP="009B035A">
      <w:pPr>
        <w:rPr>
          <w:sz w:val="28"/>
          <w:szCs w:val="28"/>
        </w:rPr>
      </w:pPr>
    </w:p>
    <w:p w14:paraId="7511F539" w14:textId="77777777" w:rsidR="009B035A" w:rsidRDefault="009B035A" w:rsidP="009B035A">
      <w:pPr>
        <w:jc w:val="center"/>
        <w:rPr>
          <w:sz w:val="40"/>
          <w:szCs w:val="40"/>
        </w:rPr>
      </w:pPr>
      <w:r>
        <w:rPr>
          <w:sz w:val="40"/>
          <w:szCs w:val="40"/>
        </w:rPr>
        <w:t xml:space="preserve"> -- </w:t>
      </w:r>
      <w:r w:rsidRPr="009B035A">
        <w:rPr>
          <w:sz w:val="40"/>
          <w:szCs w:val="40"/>
        </w:rPr>
        <w:t>Supplemental Information</w:t>
      </w:r>
      <w:r>
        <w:rPr>
          <w:sz w:val="40"/>
          <w:szCs w:val="40"/>
        </w:rPr>
        <w:t xml:space="preserve"> --</w:t>
      </w:r>
    </w:p>
    <w:p w14:paraId="4CF978CD" w14:textId="589AAA83" w:rsidR="009D529E" w:rsidRDefault="009D529E" w:rsidP="0076170E"/>
    <w:p w14:paraId="58B853D0" w14:textId="0953A585" w:rsidR="0091512F" w:rsidRDefault="0091512F" w:rsidP="0091512F">
      <w:pPr>
        <w:pStyle w:val="ListParagraph"/>
        <w:numPr>
          <w:ilvl w:val="0"/>
          <w:numId w:val="1"/>
        </w:numPr>
      </w:pPr>
      <w:r>
        <w:t>Graphical d</w:t>
      </w:r>
      <w:r w:rsidR="00C7557F">
        <w:t>efinitions</w:t>
      </w:r>
    </w:p>
    <w:p w14:paraId="51F0C3F8" w14:textId="281AFF23" w:rsidR="0091512F" w:rsidRDefault="0091512F" w:rsidP="0091512F">
      <w:r>
        <w:rPr>
          <w:noProof/>
        </w:rPr>
        <w:drawing>
          <wp:inline distT="0" distB="0" distL="0" distR="0" wp14:anchorId="586915D5" wp14:editId="670AE5B3">
            <wp:extent cx="2680721" cy="2438405"/>
            <wp:effectExtent l="0" t="0" r="5715" b="0"/>
            <wp:docPr id="14" name="Picture 1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board 53.png"/>
                    <pic:cNvPicPr/>
                  </pic:nvPicPr>
                  <pic:blipFill>
                    <a:blip r:embed="rId5"/>
                    <a:stretch>
                      <a:fillRect/>
                    </a:stretch>
                  </pic:blipFill>
                  <pic:spPr>
                    <a:xfrm>
                      <a:off x="0" y="0"/>
                      <a:ext cx="2680721" cy="2438405"/>
                    </a:xfrm>
                    <a:prstGeom prst="rect">
                      <a:avLst/>
                    </a:prstGeom>
                  </pic:spPr>
                </pic:pic>
              </a:graphicData>
            </a:graphic>
          </wp:inline>
        </w:drawing>
      </w:r>
    </w:p>
    <w:p w14:paraId="2EBAA5E7" w14:textId="4C25A672" w:rsidR="0091512F" w:rsidRDefault="0091512F" w:rsidP="0091512F">
      <w:pPr>
        <w:pStyle w:val="supplementcaptions"/>
        <w:numPr>
          <w:ilvl w:val="0"/>
          <w:numId w:val="4"/>
        </w:numPr>
      </w:pPr>
      <w:r>
        <w:t>Definitions of peak and shoulder</w:t>
      </w:r>
    </w:p>
    <w:p w14:paraId="08F6E9E7" w14:textId="77777777" w:rsidR="00C7557F" w:rsidRDefault="00C7557F" w:rsidP="00C7557F">
      <w:pPr>
        <w:keepNext/>
      </w:pPr>
      <w:r>
        <w:rPr>
          <w:noProof/>
        </w:rPr>
        <w:lastRenderedPageBreak/>
        <w:drawing>
          <wp:inline distT="0" distB="0" distL="0" distR="0" wp14:anchorId="31015CAD" wp14:editId="21FFD02B">
            <wp:extent cx="5716536" cy="3404623"/>
            <wp:effectExtent l="0" t="0" r="0" b="5715"/>
            <wp:docPr id="8" name="Picture 8" descr="A sta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board 52.png"/>
                    <pic:cNvPicPr/>
                  </pic:nvPicPr>
                  <pic:blipFill>
                    <a:blip r:embed="rId6"/>
                    <a:stretch>
                      <a:fillRect/>
                    </a:stretch>
                  </pic:blipFill>
                  <pic:spPr>
                    <a:xfrm>
                      <a:off x="0" y="0"/>
                      <a:ext cx="5716536" cy="3404623"/>
                    </a:xfrm>
                    <a:prstGeom prst="rect">
                      <a:avLst/>
                    </a:prstGeom>
                  </pic:spPr>
                </pic:pic>
              </a:graphicData>
            </a:graphic>
          </wp:inline>
        </w:drawing>
      </w:r>
    </w:p>
    <w:p w14:paraId="708F1CA4" w14:textId="64D4ED95" w:rsidR="00C7557F" w:rsidRDefault="0091512F" w:rsidP="0091512F">
      <w:pPr>
        <w:pStyle w:val="supplementcaptions"/>
        <w:numPr>
          <w:ilvl w:val="0"/>
          <w:numId w:val="4"/>
        </w:numPr>
      </w:pPr>
      <w:r w:rsidRPr="0091512F">
        <w:t xml:space="preserve">Size distribution definitions </w:t>
      </w:r>
      <w:r>
        <w:t>and their locations</w:t>
      </w:r>
    </w:p>
    <w:p w14:paraId="31B03355" w14:textId="77777777" w:rsidR="004F02A1" w:rsidRDefault="004F02A1" w:rsidP="00F71821"/>
    <w:p w14:paraId="4FAE08AA" w14:textId="70681B9B" w:rsidR="0053276C" w:rsidRDefault="0053276C" w:rsidP="00F71821">
      <w:pPr>
        <w:pStyle w:val="ListParagraph"/>
        <w:numPr>
          <w:ilvl w:val="0"/>
          <w:numId w:val="1"/>
        </w:numPr>
      </w:pPr>
      <w:r>
        <w:t>Description of TAO</w:t>
      </w:r>
    </w:p>
    <w:p w14:paraId="628F31DB" w14:textId="47EABE69" w:rsidR="0076170E" w:rsidRDefault="0053276C" w:rsidP="0053276C">
      <w:pPr>
        <w:ind w:firstLine="360"/>
      </w:pPr>
      <w:r>
        <w:t xml:space="preserve">TAO requires input of the </w:t>
      </w:r>
      <w:r w:rsidR="00DE581A">
        <w:t xml:space="preserve">inlet </w:t>
      </w:r>
      <w:r>
        <w:t xml:space="preserve">size distribution, variables necessary to calculate the DMA1 transfer function, variables necessary to </w:t>
      </w:r>
      <w:r w:rsidR="00604B1D">
        <w:t>calculate</w:t>
      </w:r>
      <w:r>
        <w:t xml:space="preserve"> the DMA2 transfer function, maximum number of charges to calculate, the recorded CPC response, and variables associated with the experiment. The user defines the resolution of the model. Throughout this paper, the bin size used is 0.25 nm. The user also defines the minimum </w:t>
      </w:r>
      <w:r w:rsidR="00EB1772">
        <w:t>population</w:t>
      </w:r>
      <w:r>
        <w:t xml:space="preserve"> fraction of each individual charge (defined </w:t>
      </w:r>
      <w:r w:rsidR="00604B1D">
        <w:t xml:space="preserve">in </w:t>
      </w:r>
      <w:r>
        <w:t xml:space="preserve">DMA1 section below). We begin by defining the </w:t>
      </w:r>
      <w:r w:rsidR="00DE581A">
        <w:t xml:space="preserve">inlet </w:t>
      </w:r>
      <w:r>
        <w:t>size distribution, calculati</w:t>
      </w:r>
      <w:r w:rsidR="00396103">
        <w:t xml:space="preserve">ng </w:t>
      </w:r>
      <w:r>
        <w:t xml:space="preserve">the </w:t>
      </w:r>
      <w:r w:rsidR="00DE581A">
        <w:t xml:space="preserve">selected </w:t>
      </w:r>
      <w:r>
        <w:t>size distribution</w:t>
      </w:r>
      <w:r w:rsidR="00DE581A" w:rsidRPr="00DE581A">
        <w:t xml:space="preserve"> </w:t>
      </w:r>
      <w:r w:rsidR="00DE581A">
        <w:t>exiting DMA1</w:t>
      </w:r>
      <w:r>
        <w:t>, and integrati</w:t>
      </w:r>
      <w:r w:rsidR="00396103">
        <w:t xml:space="preserve">ng </w:t>
      </w:r>
      <w:r>
        <w:t>the CPC response. We will finish by defining the exp</w:t>
      </w:r>
      <w:r w:rsidR="003729EF">
        <w:t xml:space="preserve">erimental </w:t>
      </w:r>
      <w:r w:rsidR="00706ABF">
        <w:t xml:space="preserve">evaporation </w:t>
      </w:r>
      <w:r w:rsidR="003729EF">
        <w:t>model</w:t>
      </w:r>
      <w:r>
        <w:t xml:space="preserve"> included in TAO.</w:t>
      </w:r>
    </w:p>
    <w:p w14:paraId="17DADCDB" w14:textId="77777777" w:rsidR="00F71821" w:rsidRDefault="00F71821" w:rsidP="0053276C">
      <w:pPr>
        <w:ind w:firstLine="360"/>
      </w:pPr>
    </w:p>
    <w:p w14:paraId="2A787F11" w14:textId="14651EC7" w:rsidR="00F0498E" w:rsidRDefault="00F0498E" w:rsidP="00F71821">
      <w:pPr>
        <w:pStyle w:val="ListParagraph"/>
        <w:numPr>
          <w:ilvl w:val="1"/>
          <w:numId w:val="1"/>
        </w:numPr>
      </w:pPr>
      <w:r>
        <w:t xml:space="preserve"> </w:t>
      </w:r>
      <w:r w:rsidR="00DE581A">
        <w:t xml:space="preserve">Inlet </w:t>
      </w:r>
      <w:r>
        <w:t xml:space="preserve">size distribution </w:t>
      </w:r>
    </w:p>
    <w:p w14:paraId="6BAF8737" w14:textId="0A47DF6C" w:rsidR="00F0498E" w:rsidRDefault="00F0498E" w:rsidP="00F0498E">
      <w:pPr>
        <w:ind w:firstLine="720"/>
      </w:pPr>
      <w:r>
        <w:t xml:space="preserve">TAO requires a size distribution input in the form of a continuous log-normal size distribution. A mean, </w:t>
      </w:r>
      <w:proofErr w:type="spellStart"/>
      <w:r w:rsidRPr="00F0498E">
        <w:rPr>
          <w:rFonts w:ascii="Cambria Math" w:hAnsi="Cambria Math"/>
          <w:i/>
        </w:rPr>
        <w:t>μ</w:t>
      </w:r>
      <w:r w:rsidRPr="00F0498E">
        <w:rPr>
          <w:rFonts w:ascii="Cambria Math" w:hAnsi="Cambria Math"/>
          <w:i/>
          <w:vertAlign w:val="subscript"/>
        </w:rPr>
        <w:t>g</w:t>
      </w:r>
      <w:proofErr w:type="spellEnd"/>
      <w:r>
        <w:t xml:space="preserve">; standard deviation, </w:t>
      </w:r>
      <w:proofErr w:type="spellStart"/>
      <w:r w:rsidRPr="00F0498E">
        <w:rPr>
          <w:rFonts w:ascii="Cambria Math" w:hAnsi="Cambria Math"/>
          <w:i/>
        </w:rPr>
        <w:t>σ</w:t>
      </w:r>
      <w:r w:rsidRPr="00F0498E">
        <w:rPr>
          <w:rFonts w:ascii="Cambria Math" w:hAnsi="Cambria Math"/>
          <w:i/>
          <w:vertAlign w:val="subscript"/>
        </w:rPr>
        <w:t>g</w:t>
      </w:r>
      <w:proofErr w:type="spellEnd"/>
      <w:r>
        <w:t xml:space="preserve">; and total particle population, </w:t>
      </w:r>
      <w:r w:rsidRPr="00F0498E">
        <w:rPr>
          <w:rFonts w:ascii="Cambria Math" w:hAnsi="Cambria Math"/>
          <w:i/>
        </w:rPr>
        <w:t>N</w:t>
      </w:r>
      <w:r w:rsidRPr="00F0498E">
        <w:rPr>
          <w:rFonts w:ascii="Cambria Math" w:hAnsi="Cambria Math"/>
          <w:i/>
          <w:vertAlign w:val="subscript"/>
        </w:rPr>
        <w:t>p</w:t>
      </w:r>
      <w:r>
        <w:t xml:space="preserve"> are required inputs. Equation </w:t>
      </w:r>
      <w:r w:rsidR="00BE3435">
        <w:t>S</w:t>
      </w:r>
      <w:r w:rsidR="00DE581A">
        <w:t>1</w:t>
      </w:r>
      <w:r>
        <w:t xml:space="preserve"> displays the model used to generate the distribution </w:t>
      </w:r>
      <w:r>
        <w:fldChar w:fldCharType="begin"/>
      </w:r>
      <w:r w:rsidR="00C07B3F">
        <w:instrText xml:space="preserve"> ADDIN EN.CITE &lt;EndNote&gt;&lt;Cite&gt;&lt;Author&gt;Friedlander&lt;/Author&gt;&lt;Year&gt;2000&lt;/Year&gt;&lt;RecNum&gt;6&lt;/RecNum&gt;&lt;DisplayText&gt;(Friedlander 2000)&lt;/DisplayText&gt;&lt;record&gt;&lt;rec-number&gt;6&lt;/rec-number&gt;&lt;foreign-keys&gt;&lt;key app="EN" db-id="w5vt2rse70avfmezsabxaepdstztv5svdxt2"&gt;6&lt;/key&gt;&lt;/foreign-keys&gt;&lt;ref-type name="Book"&gt;6&lt;/ref-type&gt;&lt;contributors&gt;&lt;authors&gt;&lt;author&gt;Friedlander, Sheldon K.&lt;/author&gt;&lt;/authors&gt;&lt;/contributors&gt;&lt;titles&gt;&lt;title&gt;Smoke, dust, and haze : fundamentals of aerosol dynamics&lt;/title&gt;&lt;secondary-title&gt;Topics in chemical engineering&lt;/secondary-title&gt;&lt;/titles&gt;&lt;pages&gt;xx, 407 p.&lt;/pages&gt;&lt;edition&gt;2nd&lt;/edition&gt;&lt;keywords&gt;&lt;keyword&gt;Aerosols.&lt;/keyword&gt;&lt;keyword&gt;Particles.&lt;/keyword&gt;&lt;keyword&gt;Air Pollution.&lt;/keyword&gt;&lt;/keywords&gt;&lt;dates&gt;&lt;year&gt;2000&lt;/year&gt;&lt;/dates&gt;&lt;pub-location&gt;New York&lt;/pub-location&gt;&lt;publisher&gt;Oxford University Press&lt;/publisher&gt;&lt;isbn&gt;0195129997&lt;/isbn&gt;&lt;accession-num&gt;11904852&lt;/accession-num&gt;&lt;call-num&gt;Jefferson or Adams Building Reading Rooms TD884.5 .F76 2000&amp;#xD;Jefferson or Adams Building Reading Rooms - STORED OFFSITE TD884.5 .F76 2000&lt;/call-num&gt;&lt;urls&gt;&lt;related-urls&gt;&lt;url&gt;Publisher description http://www.loc.gov/catdir/enhancements/fy0609/00022537-d.html&lt;/url&gt;&lt;url&gt;Table of contents only http://www.loc.gov/catdir/enhancements/fy0609/00022537-t.html&lt;/url&gt;&lt;/related-urls&gt;&lt;/urls&gt;&lt;/record&gt;&lt;/Cite&gt;&lt;/EndNote&gt;</w:instrText>
      </w:r>
      <w:r>
        <w:fldChar w:fldCharType="separate"/>
      </w:r>
      <w:r>
        <w:rPr>
          <w:noProof/>
        </w:rPr>
        <w:t>(</w:t>
      </w:r>
      <w:hyperlink w:anchor="_ENREF_5" w:tooltip="Friedlander, 2000 #6" w:history="1">
        <w:r w:rsidR="0055410F">
          <w:rPr>
            <w:noProof/>
          </w:rPr>
          <w:t>Friedlander 2000</w:t>
        </w:r>
      </w:hyperlink>
      <w:r>
        <w:rPr>
          <w:noProof/>
        </w:rPr>
        <w:t>)</w:t>
      </w:r>
      <w:r>
        <w:fldChar w:fldCharType="end"/>
      </w:r>
      <w:r>
        <w:t xml:space="preserve">. Additional variables in Equation </w:t>
      </w:r>
      <w:r w:rsidR="00BE3435">
        <w:t>S</w:t>
      </w:r>
      <w:r w:rsidR="00DE581A">
        <w:t>1</w:t>
      </w:r>
      <w:r>
        <w:t xml:space="preserve"> are the input bin population, </w:t>
      </w:r>
      <w:r w:rsidRPr="00F0498E">
        <w:rPr>
          <w:rFonts w:ascii="Cambria Math" w:hAnsi="Cambria Math"/>
          <w:i/>
        </w:rPr>
        <w:t>N</w:t>
      </w:r>
      <w:r>
        <w:t xml:space="preserve">; and the particle diameter, </w:t>
      </w:r>
      <w:proofErr w:type="spellStart"/>
      <w:r w:rsidR="008B57BE">
        <w:rPr>
          <w:rFonts w:ascii="Cambria Math" w:hAnsi="Cambria Math"/>
          <w:i/>
        </w:rPr>
        <w:t>D</w:t>
      </w:r>
      <w:r w:rsidRPr="00F0498E">
        <w:rPr>
          <w:rFonts w:ascii="Cambria Math" w:hAnsi="Cambria Math"/>
          <w:i/>
          <w:vertAlign w:val="subscript"/>
        </w:rPr>
        <w:t>p</w:t>
      </w:r>
      <w:proofErr w:type="spellEnd"/>
      <w:r>
        <w:t xml:space="preserve">. TAO separates the size distribution into equal bin widths specified by the user (as mentioned above). Once the input size distribution is fully defined, TAO converts the bin population to </w:t>
      </w:r>
      <w:proofErr w:type="spellStart"/>
      <w:r w:rsidRPr="00F0498E">
        <w:rPr>
          <w:rFonts w:ascii="Cambria Math" w:hAnsi="Cambria Math"/>
          <w:i/>
        </w:rPr>
        <w:t>dN</w:t>
      </w:r>
      <w:proofErr w:type="spellEnd"/>
      <w:r w:rsidRPr="00F0498E">
        <w:rPr>
          <w:rFonts w:ascii="Cambria Math" w:hAnsi="Cambria Math"/>
          <w:i/>
        </w:rPr>
        <w:t>/</w:t>
      </w:r>
      <w:proofErr w:type="spellStart"/>
      <w:r w:rsidRPr="00F0498E">
        <w:rPr>
          <w:rFonts w:ascii="Cambria Math" w:hAnsi="Cambria Math"/>
          <w:i/>
        </w:rPr>
        <w:t>dD</w:t>
      </w:r>
      <w:proofErr w:type="spellEnd"/>
      <w:r>
        <w:t xml:space="preserve"> by dividing the bin population by the bin diameter. TAO performs all further calculations in </w:t>
      </w:r>
      <w:proofErr w:type="spellStart"/>
      <w:r w:rsidRPr="00F0498E">
        <w:rPr>
          <w:rFonts w:ascii="Cambria Math" w:hAnsi="Cambria Math"/>
          <w:i/>
        </w:rPr>
        <w:t>dN</w:t>
      </w:r>
      <w:proofErr w:type="spellEnd"/>
      <w:r w:rsidRPr="00F0498E">
        <w:rPr>
          <w:rFonts w:ascii="Cambria Math" w:hAnsi="Cambria Math"/>
          <w:i/>
        </w:rPr>
        <w:t>/</w:t>
      </w:r>
      <w:proofErr w:type="spellStart"/>
      <w:r w:rsidRPr="00F0498E">
        <w:rPr>
          <w:rFonts w:ascii="Cambria Math" w:hAnsi="Cambria Math"/>
          <w:i/>
        </w:rPr>
        <w:t>dD</w:t>
      </w:r>
      <w:proofErr w:type="spellEnd"/>
      <w:r>
        <w:t xml:space="preserve"> space.</w:t>
      </w:r>
    </w:p>
    <w:p w14:paraId="47E3333B" w14:textId="5854FA2C" w:rsidR="00F0498E" w:rsidRPr="00F71821" w:rsidRDefault="00DE2A2E" w:rsidP="00F0498E">
      <w:pPr>
        <w:ind w:firstLine="720"/>
        <w:rPr>
          <w:rStyle w:val="Emphasis"/>
          <w:rFonts w:eastAsiaTheme="minorEastAsia"/>
          <w:color w:val="auto"/>
          <w:sz w:val="24"/>
          <w:szCs w:val="24"/>
        </w:rPr>
      </w:pPr>
      <m:oMathPara>
        <m:oMath>
          <m:f>
            <m:fPr>
              <m:ctrlPr>
                <w:rPr>
                  <w:rStyle w:val="Emphasis"/>
                  <w:rFonts w:ascii="Cambria Math" w:hAnsi="Cambria Math"/>
                  <w:i/>
                  <w:color w:val="auto"/>
                  <w:sz w:val="24"/>
                  <w:szCs w:val="24"/>
                </w:rPr>
              </m:ctrlPr>
            </m:fPr>
            <m:num>
              <m:r>
                <w:rPr>
                  <w:rStyle w:val="Emphasis"/>
                  <w:rFonts w:ascii="Cambria Math" w:hAnsi="Cambria Math"/>
                  <w:color w:val="auto"/>
                  <w:sz w:val="24"/>
                  <w:szCs w:val="24"/>
                </w:rPr>
                <m:t>dN</m:t>
              </m:r>
            </m:num>
            <m:den>
              <m:r>
                <w:rPr>
                  <w:rStyle w:val="Emphasis"/>
                  <w:rFonts w:ascii="Cambria Math" w:hAnsi="Cambria Math"/>
                  <w:color w:val="auto"/>
                  <w:sz w:val="24"/>
                  <w:szCs w:val="24"/>
                </w:rPr>
                <m:t>d</m:t>
              </m:r>
              <m:func>
                <m:funcPr>
                  <m:ctrlPr>
                    <w:rPr>
                      <w:rStyle w:val="Emphasis"/>
                      <w:rFonts w:ascii="Cambria Math" w:hAnsi="Cambria Math"/>
                      <w:i/>
                      <w:color w:val="auto"/>
                      <w:sz w:val="24"/>
                      <w:szCs w:val="24"/>
                    </w:rPr>
                  </m:ctrlPr>
                </m:funcPr>
                <m:fName>
                  <m:r>
                    <m:rPr>
                      <m:sty m:val="p"/>
                    </m:rPr>
                    <w:rPr>
                      <w:rStyle w:val="Emphasis"/>
                      <w:rFonts w:ascii="Cambria Math" w:hAnsi="Cambria Math"/>
                      <w:color w:val="auto"/>
                      <w:sz w:val="24"/>
                      <w:szCs w:val="24"/>
                    </w:rPr>
                    <m:t>ln</m:t>
                  </m:r>
                </m:fName>
                <m:e>
                  <m:d>
                    <m:dPr>
                      <m:ctrlPr>
                        <w:rPr>
                          <w:rStyle w:val="Emphasis"/>
                          <w:rFonts w:ascii="Cambria Math" w:hAnsi="Cambria Math"/>
                          <w:i/>
                          <w:color w:val="auto"/>
                          <w:sz w:val="24"/>
                          <w:szCs w:val="24"/>
                        </w:rPr>
                      </m:ctrlPr>
                    </m:dPr>
                    <m:e>
                      <m:sSub>
                        <m:sSubPr>
                          <m:ctrlPr>
                            <w:rPr>
                              <w:rStyle w:val="Emphasis"/>
                              <w:rFonts w:ascii="Cambria Math" w:hAnsi="Cambria Math"/>
                              <w:i/>
                              <w:color w:val="auto"/>
                              <w:sz w:val="24"/>
                              <w:szCs w:val="24"/>
                            </w:rPr>
                          </m:ctrlPr>
                        </m:sSubPr>
                        <m:e>
                          <m:r>
                            <w:rPr>
                              <w:rStyle w:val="Emphasis"/>
                              <w:rFonts w:ascii="Cambria Math" w:hAnsi="Cambria Math"/>
                              <w:color w:val="auto"/>
                              <w:sz w:val="24"/>
                              <w:szCs w:val="24"/>
                            </w:rPr>
                            <m:t>D</m:t>
                          </m:r>
                        </m:e>
                        <m:sub>
                          <m:r>
                            <w:rPr>
                              <w:rStyle w:val="Emphasis"/>
                              <w:rFonts w:ascii="Cambria Math" w:hAnsi="Cambria Math"/>
                              <w:color w:val="auto"/>
                              <w:sz w:val="24"/>
                              <w:szCs w:val="24"/>
                            </w:rPr>
                            <m:t>p</m:t>
                          </m:r>
                        </m:sub>
                      </m:sSub>
                    </m:e>
                  </m:d>
                </m:e>
              </m:func>
            </m:den>
          </m:f>
          <m:r>
            <w:rPr>
              <w:rStyle w:val="Emphasis"/>
              <w:rFonts w:ascii="Cambria Math" w:eastAsiaTheme="minorEastAsia" w:hAnsi="Cambria Math"/>
              <w:color w:val="auto"/>
              <w:sz w:val="24"/>
              <w:szCs w:val="24"/>
            </w:rPr>
            <m:t>=</m:t>
          </m:r>
          <m:f>
            <m:fPr>
              <m:ctrlPr>
                <w:rPr>
                  <w:rStyle w:val="Emphasis"/>
                  <w:rFonts w:ascii="Cambria Math" w:eastAsiaTheme="minorEastAsia" w:hAnsi="Cambria Math"/>
                  <w:i/>
                  <w:color w:val="auto"/>
                  <w:sz w:val="24"/>
                  <w:szCs w:val="24"/>
                </w:rPr>
              </m:ctrlPr>
            </m:fPr>
            <m:num>
              <m:sSub>
                <m:sSubPr>
                  <m:ctrlPr>
                    <w:rPr>
                      <w:rStyle w:val="Emphasis"/>
                      <w:rFonts w:ascii="Cambria Math" w:eastAsiaTheme="minorEastAsia" w:hAnsi="Cambria Math"/>
                      <w:i/>
                      <w:color w:val="auto"/>
                      <w:sz w:val="24"/>
                      <w:szCs w:val="24"/>
                    </w:rPr>
                  </m:ctrlPr>
                </m:sSubPr>
                <m:e>
                  <m:r>
                    <w:rPr>
                      <w:rStyle w:val="Emphasis"/>
                      <w:rFonts w:ascii="Cambria Math" w:eastAsiaTheme="minorEastAsia" w:hAnsi="Cambria Math"/>
                      <w:color w:val="auto"/>
                      <w:sz w:val="24"/>
                      <w:szCs w:val="24"/>
                    </w:rPr>
                    <m:t>N</m:t>
                  </m:r>
                </m:e>
                <m:sub>
                  <m:r>
                    <w:rPr>
                      <w:rStyle w:val="Emphasis"/>
                      <w:rFonts w:ascii="Cambria Math" w:eastAsiaTheme="minorEastAsia" w:hAnsi="Cambria Math"/>
                      <w:color w:val="auto"/>
                      <w:sz w:val="24"/>
                      <w:szCs w:val="24"/>
                    </w:rPr>
                    <m:t>p</m:t>
                  </m:r>
                </m:sub>
              </m:sSub>
            </m:num>
            <m:den>
              <m:rad>
                <m:radPr>
                  <m:degHide m:val="1"/>
                  <m:ctrlPr>
                    <w:rPr>
                      <w:rStyle w:val="Emphasis"/>
                      <w:rFonts w:ascii="Cambria Math" w:eastAsiaTheme="minorEastAsia" w:hAnsi="Cambria Math"/>
                      <w:i/>
                      <w:color w:val="auto"/>
                      <w:sz w:val="24"/>
                      <w:szCs w:val="24"/>
                    </w:rPr>
                  </m:ctrlPr>
                </m:radPr>
                <m:deg/>
                <m:e>
                  <m:r>
                    <w:rPr>
                      <w:rStyle w:val="Emphasis"/>
                      <w:rFonts w:ascii="Cambria Math" w:eastAsiaTheme="minorEastAsia" w:hAnsi="Cambria Math"/>
                      <w:color w:val="auto"/>
                      <w:sz w:val="24"/>
                      <w:szCs w:val="24"/>
                    </w:rPr>
                    <m:t>2π</m:t>
                  </m:r>
                </m:e>
              </m:rad>
              <m:func>
                <m:funcPr>
                  <m:ctrlPr>
                    <w:rPr>
                      <w:rStyle w:val="Emphasis"/>
                      <w:rFonts w:ascii="Cambria Math" w:eastAsiaTheme="minorEastAsia" w:hAnsi="Cambria Math"/>
                      <w:i/>
                      <w:color w:val="auto"/>
                      <w:sz w:val="24"/>
                      <w:szCs w:val="24"/>
                    </w:rPr>
                  </m:ctrlPr>
                </m:funcPr>
                <m:fName>
                  <m:r>
                    <m:rPr>
                      <m:sty m:val="p"/>
                    </m:rPr>
                    <w:rPr>
                      <w:rStyle w:val="Emphasis"/>
                      <w:rFonts w:ascii="Cambria Math" w:hAnsi="Cambria Math"/>
                      <w:color w:val="auto"/>
                      <w:sz w:val="24"/>
                      <w:szCs w:val="24"/>
                    </w:rPr>
                    <m:t>ln</m:t>
                  </m:r>
                </m:fName>
                <m:e>
                  <m:d>
                    <m:dPr>
                      <m:ctrlPr>
                        <w:rPr>
                          <w:rStyle w:val="Emphasis"/>
                          <w:rFonts w:ascii="Cambria Math" w:eastAsiaTheme="minorEastAsia" w:hAnsi="Cambria Math"/>
                          <w:i/>
                          <w:color w:val="auto"/>
                          <w:sz w:val="24"/>
                          <w:szCs w:val="24"/>
                        </w:rPr>
                      </m:ctrlPr>
                    </m:dPr>
                    <m:e>
                      <m:sSub>
                        <m:sSubPr>
                          <m:ctrlPr>
                            <w:rPr>
                              <w:rStyle w:val="Emphasis"/>
                              <w:rFonts w:ascii="Cambria Math" w:eastAsiaTheme="minorEastAsia" w:hAnsi="Cambria Math"/>
                              <w:i/>
                              <w:color w:val="auto"/>
                              <w:sz w:val="24"/>
                              <w:szCs w:val="24"/>
                            </w:rPr>
                          </m:ctrlPr>
                        </m:sSubPr>
                        <m:e>
                          <m:r>
                            <w:rPr>
                              <w:rStyle w:val="Emphasis"/>
                              <w:rFonts w:ascii="Cambria Math" w:eastAsiaTheme="minorEastAsia" w:hAnsi="Cambria Math"/>
                              <w:color w:val="auto"/>
                              <w:sz w:val="24"/>
                              <w:szCs w:val="24"/>
                            </w:rPr>
                            <m:t>σ</m:t>
                          </m:r>
                        </m:e>
                        <m:sub>
                          <m:r>
                            <w:rPr>
                              <w:rStyle w:val="Emphasis"/>
                              <w:rFonts w:ascii="Cambria Math" w:eastAsiaTheme="minorEastAsia" w:hAnsi="Cambria Math"/>
                              <w:color w:val="auto"/>
                              <w:sz w:val="24"/>
                              <w:szCs w:val="24"/>
                            </w:rPr>
                            <m:t>g</m:t>
                          </m:r>
                        </m:sub>
                      </m:sSub>
                    </m:e>
                  </m:d>
                </m:e>
              </m:func>
            </m:den>
          </m:f>
          <m:sSup>
            <m:sSupPr>
              <m:ctrlPr>
                <w:rPr>
                  <w:rStyle w:val="Emphasis"/>
                  <w:rFonts w:ascii="Cambria Math" w:eastAsiaTheme="minorEastAsia" w:hAnsi="Cambria Math"/>
                  <w:i/>
                  <w:color w:val="auto"/>
                  <w:sz w:val="24"/>
                  <w:szCs w:val="24"/>
                </w:rPr>
              </m:ctrlPr>
            </m:sSupPr>
            <m:e>
              <m:r>
                <w:rPr>
                  <w:rStyle w:val="Emphasis"/>
                  <w:rFonts w:ascii="Cambria Math" w:eastAsiaTheme="minorEastAsia" w:hAnsi="Cambria Math"/>
                  <w:color w:val="auto"/>
                  <w:sz w:val="24"/>
                  <w:szCs w:val="24"/>
                </w:rPr>
                <m:t>exp</m:t>
              </m:r>
            </m:e>
            <m:sup>
              <m:d>
                <m:dPr>
                  <m:begChr m:val="{"/>
                  <m:endChr m:val="}"/>
                  <m:ctrlPr>
                    <w:rPr>
                      <w:rStyle w:val="Emphasis"/>
                      <w:rFonts w:ascii="Cambria Math" w:eastAsiaTheme="minorEastAsia" w:hAnsi="Cambria Math"/>
                      <w:i/>
                      <w:color w:val="auto"/>
                      <w:sz w:val="24"/>
                      <w:szCs w:val="24"/>
                    </w:rPr>
                  </m:ctrlPr>
                </m:dPr>
                <m:e>
                  <m:f>
                    <m:fPr>
                      <m:ctrlPr>
                        <w:rPr>
                          <w:rStyle w:val="Emphasis"/>
                          <w:rFonts w:ascii="Cambria Math" w:eastAsiaTheme="minorEastAsia" w:hAnsi="Cambria Math"/>
                          <w:i/>
                          <w:color w:val="auto"/>
                          <w:sz w:val="24"/>
                          <w:szCs w:val="24"/>
                        </w:rPr>
                      </m:ctrlPr>
                    </m:fPr>
                    <m:num>
                      <m:sSup>
                        <m:sSupPr>
                          <m:ctrlPr>
                            <w:rPr>
                              <w:rStyle w:val="Emphasis"/>
                              <w:rFonts w:ascii="Cambria Math" w:eastAsiaTheme="minorEastAsia" w:hAnsi="Cambria Math"/>
                              <w:i/>
                              <w:color w:val="auto"/>
                              <w:sz w:val="24"/>
                              <w:szCs w:val="24"/>
                            </w:rPr>
                          </m:ctrlPr>
                        </m:sSupPr>
                        <m:e>
                          <m:r>
                            <w:rPr>
                              <w:rStyle w:val="Emphasis"/>
                              <w:rFonts w:ascii="Cambria Math" w:eastAsiaTheme="minorEastAsia" w:hAnsi="Cambria Math"/>
                              <w:color w:val="auto"/>
                              <w:sz w:val="24"/>
                              <w:szCs w:val="24"/>
                            </w:rPr>
                            <m:t>-</m:t>
                          </m:r>
                          <m:d>
                            <m:dPr>
                              <m:ctrlPr>
                                <w:rPr>
                                  <w:rStyle w:val="Emphasis"/>
                                  <w:rFonts w:ascii="Cambria Math" w:eastAsiaTheme="minorEastAsia" w:hAnsi="Cambria Math"/>
                                  <w:i/>
                                  <w:color w:val="auto"/>
                                  <w:sz w:val="24"/>
                                  <w:szCs w:val="24"/>
                                </w:rPr>
                              </m:ctrlPr>
                            </m:dPr>
                            <m:e>
                              <m:func>
                                <m:funcPr>
                                  <m:ctrlPr>
                                    <w:rPr>
                                      <w:rStyle w:val="Emphasis"/>
                                      <w:rFonts w:ascii="Cambria Math" w:eastAsiaTheme="minorEastAsia" w:hAnsi="Cambria Math"/>
                                      <w:i/>
                                      <w:color w:val="auto"/>
                                      <w:sz w:val="24"/>
                                      <w:szCs w:val="24"/>
                                    </w:rPr>
                                  </m:ctrlPr>
                                </m:funcPr>
                                <m:fName>
                                  <m:r>
                                    <m:rPr>
                                      <m:sty m:val="p"/>
                                    </m:rPr>
                                    <w:rPr>
                                      <w:rStyle w:val="Emphasis"/>
                                      <w:rFonts w:ascii="Cambria Math" w:hAnsi="Cambria Math"/>
                                      <w:color w:val="auto"/>
                                      <w:sz w:val="24"/>
                                      <w:szCs w:val="24"/>
                                    </w:rPr>
                                    <m:t>ln</m:t>
                                  </m:r>
                                </m:fName>
                                <m:e>
                                  <m:d>
                                    <m:dPr>
                                      <m:ctrlPr>
                                        <w:rPr>
                                          <w:rStyle w:val="Emphasis"/>
                                          <w:rFonts w:ascii="Cambria Math" w:eastAsiaTheme="minorEastAsia" w:hAnsi="Cambria Math"/>
                                          <w:i/>
                                          <w:color w:val="auto"/>
                                          <w:sz w:val="24"/>
                                          <w:szCs w:val="24"/>
                                        </w:rPr>
                                      </m:ctrlPr>
                                    </m:dPr>
                                    <m:e>
                                      <m:sSub>
                                        <m:sSubPr>
                                          <m:ctrlPr>
                                            <w:rPr>
                                              <w:rStyle w:val="Emphasis"/>
                                              <w:rFonts w:ascii="Cambria Math" w:eastAsiaTheme="minorEastAsia" w:hAnsi="Cambria Math"/>
                                              <w:i/>
                                              <w:color w:val="auto"/>
                                              <w:sz w:val="24"/>
                                              <w:szCs w:val="24"/>
                                            </w:rPr>
                                          </m:ctrlPr>
                                        </m:sSubPr>
                                        <m:e>
                                          <m:r>
                                            <w:rPr>
                                              <w:rStyle w:val="Emphasis"/>
                                              <w:rFonts w:ascii="Cambria Math" w:eastAsiaTheme="minorEastAsia" w:hAnsi="Cambria Math"/>
                                              <w:color w:val="auto"/>
                                              <w:sz w:val="24"/>
                                              <w:szCs w:val="24"/>
                                            </w:rPr>
                                            <m:t>D</m:t>
                                          </m:r>
                                        </m:e>
                                        <m:sub>
                                          <m:r>
                                            <w:rPr>
                                              <w:rStyle w:val="Emphasis"/>
                                              <w:rFonts w:ascii="Cambria Math" w:eastAsiaTheme="minorEastAsia" w:hAnsi="Cambria Math"/>
                                              <w:color w:val="auto"/>
                                              <w:sz w:val="24"/>
                                              <w:szCs w:val="24"/>
                                            </w:rPr>
                                            <m:t>p</m:t>
                                          </m:r>
                                        </m:sub>
                                      </m:sSub>
                                    </m:e>
                                  </m:d>
                                  <m:r>
                                    <w:rPr>
                                      <w:rStyle w:val="Emphasis"/>
                                      <w:rFonts w:ascii="Cambria Math" w:eastAsiaTheme="minorEastAsia" w:hAnsi="Cambria Math"/>
                                      <w:color w:val="auto"/>
                                      <w:sz w:val="24"/>
                                      <w:szCs w:val="24"/>
                                    </w:rPr>
                                    <m:t>-</m:t>
                                  </m:r>
                                  <m:func>
                                    <m:funcPr>
                                      <m:ctrlPr>
                                        <w:rPr>
                                          <w:rStyle w:val="Emphasis"/>
                                          <w:rFonts w:ascii="Cambria Math" w:eastAsiaTheme="minorEastAsia" w:hAnsi="Cambria Math"/>
                                          <w:i/>
                                          <w:color w:val="auto"/>
                                          <w:sz w:val="24"/>
                                          <w:szCs w:val="24"/>
                                        </w:rPr>
                                      </m:ctrlPr>
                                    </m:funcPr>
                                    <m:fName>
                                      <m:r>
                                        <m:rPr>
                                          <m:sty m:val="p"/>
                                        </m:rPr>
                                        <w:rPr>
                                          <w:rStyle w:val="Emphasis"/>
                                          <w:rFonts w:ascii="Cambria Math" w:hAnsi="Cambria Math"/>
                                          <w:color w:val="auto"/>
                                          <w:sz w:val="24"/>
                                          <w:szCs w:val="24"/>
                                        </w:rPr>
                                        <m:t>ln</m:t>
                                      </m:r>
                                    </m:fName>
                                    <m:e>
                                      <m:d>
                                        <m:dPr>
                                          <m:ctrlPr>
                                            <w:rPr>
                                              <w:rStyle w:val="Emphasis"/>
                                              <w:rFonts w:ascii="Cambria Math" w:eastAsiaTheme="minorEastAsia" w:hAnsi="Cambria Math"/>
                                              <w:i/>
                                              <w:color w:val="auto"/>
                                              <w:sz w:val="24"/>
                                              <w:szCs w:val="24"/>
                                            </w:rPr>
                                          </m:ctrlPr>
                                        </m:dPr>
                                        <m:e>
                                          <m:sSub>
                                            <m:sSubPr>
                                              <m:ctrlPr>
                                                <w:rPr>
                                                  <w:rStyle w:val="Emphasis"/>
                                                  <w:rFonts w:ascii="Cambria Math" w:eastAsiaTheme="minorEastAsia" w:hAnsi="Cambria Math"/>
                                                  <w:i/>
                                                  <w:color w:val="auto"/>
                                                  <w:sz w:val="24"/>
                                                  <w:szCs w:val="24"/>
                                                </w:rPr>
                                              </m:ctrlPr>
                                            </m:sSubPr>
                                            <m:e>
                                              <m:r>
                                                <w:rPr>
                                                  <w:rStyle w:val="Emphasis"/>
                                                  <w:rFonts w:ascii="Cambria Math" w:eastAsiaTheme="minorEastAsia" w:hAnsi="Cambria Math"/>
                                                  <w:color w:val="auto"/>
                                                  <w:sz w:val="24"/>
                                                  <w:szCs w:val="24"/>
                                                </w:rPr>
                                                <m:t>μ</m:t>
                                              </m:r>
                                            </m:e>
                                            <m:sub>
                                              <m:r>
                                                <w:rPr>
                                                  <w:rStyle w:val="Emphasis"/>
                                                  <w:rFonts w:ascii="Cambria Math" w:eastAsiaTheme="minorEastAsia" w:hAnsi="Cambria Math"/>
                                                  <w:color w:val="auto"/>
                                                  <w:sz w:val="24"/>
                                                  <w:szCs w:val="24"/>
                                                </w:rPr>
                                                <m:t>g</m:t>
                                              </m:r>
                                            </m:sub>
                                          </m:sSub>
                                        </m:e>
                                      </m:d>
                                    </m:e>
                                  </m:func>
                                </m:e>
                              </m:func>
                            </m:e>
                          </m:d>
                        </m:e>
                        <m:sup>
                          <m:r>
                            <w:rPr>
                              <w:rStyle w:val="Emphasis"/>
                              <w:rFonts w:ascii="Cambria Math" w:eastAsiaTheme="minorEastAsia" w:hAnsi="Cambria Math"/>
                              <w:color w:val="auto"/>
                              <w:sz w:val="24"/>
                              <w:szCs w:val="24"/>
                            </w:rPr>
                            <m:t>2</m:t>
                          </m:r>
                        </m:sup>
                      </m:sSup>
                    </m:num>
                    <m:den>
                      <m:r>
                        <w:rPr>
                          <w:rStyle w:val="Emphasis"/>
                          <w:rFonts w:ascii="Cambria Math" w:eastAsiaTheme="minorEastAsia" w:hAnsi="Cambria Math"/>
                          <w:color w:val="auto"/>
                          <w:sz w:val="24"/>
                          <w:szCs w:val="24"/>
                        </w:rPr>
                        <m:t>2</m:t>
                      </m:r>
                      <m:sSup>
                        <m:sSupPr>
                          <m:ctrlPr>
                            <w:rPr>
                              <w:rStyle w:val="Emphasis"/>
                              <w:rFonts w:ascii="Cambria Math" w:eastAsiaTheme="minorEastAsia" w:hAnsi="Cambria Math"/>
                              <w:i/>
                              <w:color w:val="auto"/>
                              <w:sz w:val="24"/>
                              <w:szCs w:val="24"/>
                            </w:rPr>
                          </m:ctrlPr>
                        </m:sSupPr>
                        <m:e>
                          <m:func>
                            <m:funcPr>
                              <m:ctrlPr>
                                <w:rPr>
                                  <w:rStyle w:val="Emphasis"/>
                                  <w:rFonts w:ascii="Cambria Math" w:eastAsiaTheme="minorEastAsia" w:hAnsi="Cambria Math"/>
                                  <w:i/>
                                  <w:color w:val="auto"/>
                                  <w:sz w:val="24"/>
                                  <w:szCs w:val="24"/>
                                </w:rPr>
                              </m:ctrlPr>
                            </m:funcPr>
                            <m:fName>
                              <m:r>
                                <m:rPr>
                                  <m:sty m:val="p"/>
                                </m:rPr>
                                <w:rPr>
                                  <w:rStyle w:val="Emphasis"/>
                                  <w:rFonts w:ascii="Cambria Math" w:hAnsi="Cambria Math"/>
                                  <w:color w:val="auto"/>
                                  <w:sz w:val="24"/>
                                  <w:szCs w:val="24"/>
                                </w:rPr>
                                <m:t>ln</m:t>
                              </m:r>
                            </m:fName>
                            <m:e>
                              <m:d>
                                <m:dPr>
                                  <m:ctrlPr>
                                    <w:rPr>
                                      <w:rStyle w:val="Emphasis"/>
                                      <w:rFonts w:ascii="Cambria Math" w:eastAsiaTheme="minorEastAsia" w:hAnsi="Cambria Math"/>
                                      <w:i/>
                                      <w:color w:val="auto"/>
                                      <w:sz w:val="24"/>
                                      <w:szCs w:val="24"/>
                                    </w:rPr>
                                  </m:ctrlPr>
                                </m:dPr>
                                <m:e>
                                  <m:sSub>
                                    <m:sSubPr>
                                      <m:ctrlPr>
                                        <w:rPr>
                                          <w:rStyle w:val="Emphasis"/>
                                          <w:rFonts w:ascii="Cambria Math" w:eastAsiaTheme="minorEastAsia" w:hAnsi="Cambria Math"/>
                                          <w:i/>
                                          <w:color w:val="auto"/>
                                          <w:sz w:val="24"/>
                                          <w:szCs w:val="24"/>
                                        </w:rPr>
                                      </m:ctrlPr>
                                    </m:sSubPr>
                                    <m:e>
                                      <m:r>
                                        <w:rPr>
                                          <w:rStyle w:val="Emphasis"/>
                                          <w:rFonts w:ascii="Cambria Math" w:eastAsiaTheme="minorEastAsia" w:hAnsi="Cambria Math"/>
                                          <w:color w:val="auto"/>
                                          <w:sz w:val="24"/>
                                          <w:szCs w:val="24"/>
                                        </w:rPr>
                                        <m:t>σ</m:t>
                                      </m:r>
                                    </m:e>
                                    <m:sub>
                                      <m:r>
                                        <w:rPr>
                                          <w:rStyle w:val="Emphasis"/>
                                          <w:rFonts w:ascii="Cambria Math" w:eastAsiaTheme="minorEastAsia" w:hAnsi="Cambria Math"/>
                                          <w:color w:val="auto"/>
                                          <w:sz w:val="24"/>
                                          <w:szCs w:val="24"/>
                                        </w:rPr>
                                        <m:t>g</m:t>
                                      </m:r>
                                    </m:sub>
                                  </m:sSub>
                                </m:e>
                              </m:d>
                            </m:e>
                          </m:func>
                        </m:e>
                        <m:sup>
                          <m:r>
                            <w:rPr>
                              <w:rStyle w:val="Emphasis"/>
                              <w:rFonts w:ascii="Cambria Math" w:eastAsiaTheme="minorEastAsia" w:hAnsi="Cambria Math"/>
                              <w:color w:val="auto"/>
                              <w:sz w:val="24"/>
                              <w:szCs w:val="24"/>
                            </w:rPr>
                            <m:t>2</m:t>
                          </m:r>
                        </m:sup>
                      </m:sSup>
                    </m:den>
                  </m:f>
                </m:e>
              </m:d>
            </m:sup>
          </m:sSup>
          <m:r>
            <w:rPr>
              <w:rStyle w:val="Emphasis"/>
              <w:rFonts w:ascii="Cambria Math" w:eastAsiaTheme="minorEastAsia" w:hAnsi="Cambria Math"/>
              <w:color w:val="auto"/>
              <w:sz w:val="24"/>
              <w:szCs w:val="24"/>
            </w:rPr>
            <m:t xml:space="preserve">                                         (S1)</m:t>
          </m:r>
        </m:oMath>
      </m:oMathPara>
    </w:p>
    <w:p w14:paraId="4ED1DAEB" w14:textId="77777777" w:rsidR="00F71821" w:rsidRDefault="00F71821" w:rsidP="00F0498E">
      <w:pPr>
        <w:ind w:firstLine="720"/>
      </w:pPr>
    </w:p>
    <w:p w14:paraId="723127C9" w14:textId="0C9E1657" w:rsidR="007B1EEE" w:rsidRDefault="007B1EEE" w:rsidP="00F71821">
      <w:pPr>
        <w:pStyle w:val="ListParagraph"/>
        <w:numPr>
          <w:ilvl w:val="1"/>
          <w:numId w:val="1"/>
        </w:numPr>
      </w:pPr>
      <w:r>
        <w:t>DMA1</w:t>
      </w:r>
    </w:p>
    <w:p w14:paraId="62D0438D" w14:textId="030F282E" w:rsidR="0076170E" w:rsidRDefault="007B1EEE" w:rsidP="007B1EEE">
      <w:pPr>
        <w:ind w:firstLine="360"/>
      </w:pPr>
      <w:r>
        <w:t xml:space="preserve">To determine the </w:t>
      </w:r>
      <w:r w:rsidR="00DE581A">
        <w:t xml:space="preserve">selected </w:t>
      </w:r>
      <w:r w:rsidR="00EB1772">
        <w:t xml:space="preserve">size distribution exiting </w:t>
      </w:r>
      <w:r>
        <w:t>DMA1</w:t>
      </w:r>
      <w:r w:rsidR="004F02A1">
        <w:t>, TAO uses E</w:t>
      </w:r>
      <w:r>
        <w:t xml:space="preserve">quation </w:t>
      </w:r>
      <w:r w:rsidR="00BE3435">
        <w:t>S</w:t>
      </w:r>
      <w:r w:rsidR="00DE581A">
        <w:t>2</w:t>
      </w:r>
      <w:r>
        <w:t xml:space="preserve"> for each bin. In this equation, </w:t>
      </w:r>
      <w:proofErr w:type="spellStart"/>
      <w:r w:rsidRPr="004F02A1">
        <w:rPr>
          <w:rFonts w:ascii="Cambria Math" w:hAnsi="Cambria Math"/>
          <w:i/>
        </w:rPr>
        <w:t>Ω</w:t>
      </w:r>
      <w:r w:rsidRPr="004F02A1">
        <w:rPr>
          <w:rFonts w:ascii="Cambria Math" w:hAnsi="Cambria Math"/>
          <w:i/>
          <w:vertAlign w:val="subscript"/>
        </w:rPr>
        <w:t>nd</w:t>
      </w:r>
      <w:proofErr w:type="spellEnd"/>
      <w:r>
        <w:t xml:space="preserve"> is the non-diffusing DMA transfer function, </w:t>
      </w:r>
      <w:r w:rsidRPr="004F02A1">
        <w:rPr>
          <w:rFonts w:ascii="Cambria Math" w:hAnsi="Cambria Math"/>
          <w:i/>
        </w:rPr>
        <w:t>η</w:t>
      </w:r>
      <w:r>
        <w:t xml:space="preserve"> is the charging fraction, </w:t>
      </w:r>
      <w:r w:rsidRPr="004F02A1">
        <w:rPr>
          <w:rFonts w:ascii="Cambria Math" w:hAnsi="Cambria Math"/>
          <w:i/>
        </w:rPr>
        <w:t>N</w:t>
      </w:r>
      <w:r w:rsidRPr="004F02A1">
        <w:rPr>
          <w:rFonts w:ascii="Cambria Math" w:hAnsi="Cambria Math"/>
          <w:i/>
          <w:vertAlign w:val="subscript"/>
        </w:rPr>
        <w:t>1</w:t>
      </w:r>
      <w:r>
        <w:t xml:space="preserve"> is the DMA1 bin populati</w:t>
      </w:r>
      <w:r w:rsidR="00F0498E">
        <w:t>on, and the final term is from E</w:t>
      </w:r>
      <w:r>
        <w:t xml:space="preserve">quation </w:t>
      </w:r>
      <w:r w:rsidR="00BE3435">
        <w:t>S</w:t>
      </w:r>
      <w:r w:rsidR="00DE581A">
        <w:t>1</w:t>
      </w:r>
      <w:r>
        <w:t xml:space="preserve">. </w:t>
      </w:r>
      <w:r w:rsidR="00604B1D">
        <w:t xml:space="preserve">The subscript </w:t>
      </w:r>
      <w:r w:rsidR="00604B1D" w:rsidRPr="004F02A1">
        <w:rPr>
          <w:rFonts w:ascii="Cambria Math" w:hAnsi="Cambria Math"/>
          <w:i/>
        </w:rPr>
        <w:t>1</w:t>
      </w:r>
      <w:r w:rsidR="00604B1D">
        <w:t xml:space="preserve"> denotes exiting DMA1. </w:t>
      </w:r>
      <w:r>
        <w:t xml:space="preserve">No DMA particle loss function or </w:t>
      </w:r>
      <w:r w:rsidR="003729EF">
        <w:t>CPC</w:t>
      </w:r>
      <w:r>
        <w:t xml:space="preserve"> counting fraction is used</w:t>
      </w:r>
      <w:r w:rsidR="00EB1772">
        <w:t xml:space="preserve"> throughout</w:t>
      </w:r>
      <w:r>
        <w:t xml:space="preserve">. Equation </w:t>
      </w:r>
      <w:r w:rsidR="00BE3435">
        <w:t>S</w:t>
      </w:r>
      <w:r w:rsidR="00DE581A">
        <w:t>2</w:t>
      </w:r>
      <w:r>
        <w:t xml:space="preserve"> is evaluated for each size bin and for each charge. This method assumes that the DMA transfer function and the charging fraction are constant over each bin width for all bins and charges. The bipolar charging fraction used by TAO is defined by </w:t>
      </w:r>
      <w:proofErr w:type="spellStart"/>
      <w:r>
        <w:t>Wiedensohler</w:t>
      </w:r>
      <w:proofErr w:type="spellEnd"/>
      <w:r>
        <w:t xml:space="preserve">. The first two charges are defined by the fitted algebraic expression </w:t>
      </w:r>
      <w:r>
        <w:fldChar w:fldCharType="begin"/>
      </w:r>
      <w:r>
        <w:instrText xml:space="preserve"> ADDIN EN.CITE &lt;EndNote&gt;&lt;Cite&gt;&lt;Author&gt;Wiedensohler&lt;/Author&gt;&lt;Year&gt;1988&lt;/Year&gt;&lt;RecNum&gt;34&lt;/RecNum&gt;&lt;DisplayText&gt;(Wiedensohler 1988)&lt;/DisplayText&gt;&lt;record&gt;&lt;rec-number&gt;34&lt;/rec-number&gt;&lt;foreign-keys&gt;&lt;key app="EN" db-id="r99eafwtqexr2ker550xv5962er5200sdxep"&gt;34&lt;/key&gt;&lt;/foreign-keys&gt;&lt;ref-type name="Journal Article"&gt;17&lt;/ref-type&gt;&lt;contributors&gt;&lt;authors&gt;&lt;author&gt;Wiedensohler, A.&lt;/author&gt;&lt;/authors&gt;&lt;/contributors&gt;&lt;auth-address&gt;Wiedensohler, A&amp;#xD;Univ Duisburg Gesamthsch,Bismarckstr 81,D-4100 Duisburg 1,Fed Rep Ger&lt;/auth-address&gt;&lt;titles&gt;&lt;title&gt;An Approximation of the Bipolar Charge-Distribution for Particles in the Sub-Micron Size Range&lt;/title&gt;&lt;secondary-title&gt;Journal of Aerosol Science&lt;/secondary-title&gt;&lt;alt-title&gt;J Aerosol Sci&amp;#xD;J Aerosol Sci&lt;/alt-title&gt;&lt;/titles&gt;&lt;periodical&gt;&lt;full-title&gt;Journal of Aerosol Science&lt;/full-title&gt;&lt;/periodical&gt;&lt;pages&gt;387-389&lt;/pages&gt;&lt;volume&gt;19&lt;/volume&gt;&lt;number&gt;3&lt;/number&gt;&lt;dates&gt;&lt;year&gt;1988&lt;/year&gt;&lt;pub-dates&gt;&lt;date&gt;Jun&lt;/date&gt;&lt;/pub-dates&gt;&lt;/dates&gt;&lt;isbn&gt;0021-8502&lt;/isbn&gt;&lt;accession-num&gt;WOS:A1988P306100011&lt;/accession-num&gt;&lt;urls&gt;&lt;related-urls&gt;&lt;url&gt;&amp;lt;Go to ISI&amp;gt;://WOS:A1988P306100011&lt;/url&gt;&lt;/related-urls&gt;&lt;/urls&gt;&lt;language&gt;English&lt;/language&gt;&lt;/record&gt;&lt;/Cite&gt;&lt;/EndNote&gt;</w:instrText>
      </w:r>
      <w:r>
        <w:fldChar w:fldCharType="separate"/>
      </w:r>
      <w:r>
        <w:rPr>
          <w:noProof/>
        </w:rPr>
        <w:t>(</w:t>
      </w:r>
      <w:hyperlink w:anchor="_ENREF_12" w:tooltip="Wiedensohler, 1988 #34" w:history="1">
        <w:r w:rsidR="0055410F">
          <w:rPr>
            <w:noProof/>
          </w:rPr>
          <w:t>Wiedensohler 1988</w:t>
        </w:r>
      </w:hyperlink>
      <w:r>
        <w:rPr>
          <w:noProof/>
        </w:rPr>
        <w:t>)</w:t>
      </w:r>
      <w:r>
        <w:fldChar w:fldCharType="end"/>
      </w:r>
      <w:r>
        <w:t xml:space="preserve"> while charges 3 through 10 are defined by the expression from </w:t>
      </w:r>
      <w:r>
        <w:fldChar w:fldCharType="begin"/>
      </w:r>
      <w:r>
        <w:instrText xml:space="preserve"> ADDIN EN.CITE &lt;EndNote&gt;&lt;Cite AuthorYear="1"&gt;&lt;Author&gt;Woessner&lt;/Author&gt;&lt;Year&gt;1956&lt;/Year&gt;&lt;RecNum&gt;1032&lt;/RecNum&gt;&lt;DisplayText&gt;Woessner and Gunn (1956)&lt;/DisplayText&gt;&lt;record&gt;&lt;rec-number&gt;1032&lt;/rec-number&gt;&lt;foreign-keys&gt;&lt;key app="EN" db-id="r99eafwtqexr2ker550xv5962er5200sdxep"&gt;1032&lt;/key&gt;&lt;/foreign-keys&gt;&lt;ref-type name="Journal Article"&gt;17&lt;/ref-type&gt;&lt;contributors&gt;&lt;authors&gt;&lt;author&gt;Woessner, R. H.&lt;/author&gt;&lt;author&gt;Gunn, Ross&lt;/author&gt;&lt;/authors&gt;&lt;/contributors&gt;&lt;titles&gt;&lt;title&gt;Measurements related to the fundamental processes of aerosol electrification&lt;/title&gt;&lt;secondary-title&gt;Journal of Colloid Science&lt;/secondary-title&gt;&lt;/titles&gt;&lt;periodical&gt;&lt;full-title&gt;Journal of Colloid Science&lt;/full-title&gt;&lt;/periodical&gt;&lt;pages&gt;69-76&lt;/pages&gt;&lt;volume&gt;11&lt;/volume&gt;&lt;number&gt;1&lt;/number&gt;&lt;dates&gt;&lt;year&gt;1956&lt;/year&gt;&lt;pub-dates&gt;&lt;date&gt;1956/02/01/&lt;/date&gt;&lt;/pub-dates&gt;&lt;/dates&gt;&lt;isbn&gt;0095-8522&lt;/isbn&gt;&lt;urls&gt;&lt;related-urls&gt;&lt;url&gt;http://www.sciencedirect.com/science/article/pii/0095852256900216&lt;/url&gt;&lt;/related-urls&gt;&lt;/urls&gt;&lt;electronic-resource-num&gt;https://doi.org/10.1016/0095-8522(56)90021-6&lt;/electronic-resource-num&gt;&lt;/record&gt;&lt;/Cite&gt;&lt;/EndNote&gt;</w:instrText>
      </w:r>
      <w:r>
        <w:fldChar w:fldCharType="separate"/>
      </w:r>
      <w:hyperlink w:anchor="_ENREF_13" w:tooltip="Woessner, 1956 #1032" w:history="1">
        <w:r w:rsidR="0055410F">
          <w:rPr>
            <w:noProof/>
          </w:rPr>
          <w:t>Woessner and Gunn (1956</w:t>
        </w:r>
      </w:hyperlink>
      <w:r>
        <w:rPr>
          <w:noProof/>
        </w:rPr>
        <w:t>)</w:t>
      </w:r>
      <w:r>
        <w:fldChar w:fldCharType="end"/>
      </w:r>
      <w:r>
        <w:t xml:space="preserve">. Coefficients for the algebraic expression are sourced from </w:t>
      </w:r>
      <w:r>
        <w:fldChar w:fldCharType="begin"/>
      </w:r>
      <w:r>
        <w:instrText xml:space="preserve"> ADDIN EN.CITE &lt;EndNote&gt;&lt;Cite AuthorYear="1"&gt;&lt;Author&gt;Baron&lt;/Author&gt;&lt;Year&gt;2001&lt;/Year&gt;&lt;RecNum&gt;880&lt;/RecNum&gt;&lt;DisplayText&gt;Baron (2001)&lt;/DisplayText&gt;&lt;record&gt;&lt;rec-number&gt;880&lt;/rec-number&gt;&lt;foreign-keys&gt;&lt;key app="EN" db-id="r99eafwtqexr2ker550xv5962er5200sdxep"&gt;880&lt;/key&gt;&lt;/foreign-keys&gt;&lt;ref-type name="Book"&gt;6&lt;/ref-type&gt;&lt;contributors&gt;&lt;authors&gt;&lt;author&gt;Baron, Paul A.&lt;/author&gt;&lt;/authors&gt;&lt;/contributors&gt;&lt;titles&gt;&lt;title&gt;Aerosol measurement principles, techniques, and applications&lt;/title&gt;&lt;/titles&gt;&lt;pages&gt;1131 S.&lt;/pages&gt;&lt;edition&gt;2nd&lt;/edition&gt;&lt;keywords&gt;&lt;keyword&gt;aerosole von Ölen (kolloidchemie)&lt;/keyword&gt;&lt;keyword&gt;teilchengrÖssenbestimmung + granulometrie (physik von molekularsystemen)&lt;/keyword&gt;&lt;keyword&gt;aerosole, flÜssige und feste verunreinigungspartikel der luft (umweltprobleme)&lt;/keyword&gt;&lt;keyword&gt;umweltanalytik und entsprechende untersuchungsmethoden und -techniken (umweltschutz)&lt;/keyword&gt;&lt;keyword&gt;Aerosols Measurement&lt;/keyword&gt;&lt;keyword&gt;Air Pollution Measurement&lt;/keyword&gt;&lt;/keywords&gt;&lt;dates&gt;&lt;year&gt;2001&lt;/year&gt;&lt;/dates&gt;&lt;pub-location&gt;New York&lt;/pub-location&gt;&lt;publisher&gt;Wiley&lt;/publisher&gt;&lt;isbn&gt;0-471-35636-0&amp;#xD;978-0-471-35636-3&lt;/isbn&gt;&lt;accession-num&gt;004263126&lt;/accession-num&gt;&lt;call-num&gt;E08 301-A-570: Ed.2 LIB4RI PSI (Villigen)&amp;#xD;E17 541.18/1 LIB4RI EAWAG-EMPA (Dübendorf)&amp;#xD;LIB4RI PSI (Villigen) 301-A-570: Ed.2&amp;#xD;LIB4RI EAWAG-EMPA (Dèubendorf) 541.18/1&lt;/call-num&gt;&lt;urls&gt;&lt;/urls&gt;&lt;/record&gt;&lt;/Cite&gt;&lt;/EndNote&gt;</w:instrText>
      </w:r>
      <w:r>
        <w:fldChar w:fldCharType="separate"/>
      </w:r>
      <w:hyperlink w:anchor="_ENREF_2" w:tooltip="Baron, 2001 #880" w:history="1">
        <w:r w:rsidR="0055410F">
          <w:rPr>
            <w:noProof/>
          </w:rPr>
          <w:t>Baron (2001</w:t>
        </w:r>
      </w:hyperlink>
      <w:r>
        <w:rPr>
          <w:noProof/>
        </w:rPr>
        <w:t>)</w:t>
      </w:r>
      <w:r>
        <w:fldChar w:fldCharType="end"/>
      </w:r>
      <w:r>
        <w:t xml:space="preserve">. For charges 3-10, the ratio of the electrical mobility of positive to negative ions is assumed to be 1.4/1.6 </w:t>
      </w:r>
      <w:r>
        <w:fldChar w:fldCharType="begin"/>
      </w:r>
      <w:r>
        <w:instrText xml:space="preserve"> ADDIN EN.CITE &lt;EndNote&gt;&lt;Cite&gt;&lt;Author&gt;Wiedensohler&lt;/Author&gt;&lt;Year&gt;1988&lt;/Year&gt;&lt;RecNum&gt;34&lt;/RecNum&gt;&lt;DisplayText&gt;(Wiedensohler 1988)&lt;/DisplayText&gt;&lt;record&gt;&lt;rec-number&gt;34&lt;/rec-number&gt;&lt;foreign-keys&gt;&lt;key app="EN" db-id="r99eafwtqexr2ker550xv5962er5200sdxep"&gt;34&lt;/key&gt;&lt;/foreign-keys&gt;&lt;ref-type name="Journal Article"&gt;17&lt;/ref-type&gt;&lt;contributors&gt;&lt;authors&gt;&lt;author&gt;Wiedensohler, A.&lt;/author&gt;&lt;/authors&gt;&lt;/contributors&gt;&lt;auth-address&gt;Wiedensohler, A&amp;#xD;Univ Duisburg Gesamthsch,Bismarckstr 81,D-4100 Duisburg 1,Fed Rep Ger&lt;/auth-address&gt;&lt;titles&gt;&lt;title&gt;An Approximation of the Bipolar Charge-Distribution for Particles in the Sub-Micron Size Range&lt;/title&gt;&lt;secondary-title&gt;Journal of Aerosol Science&lt;/secondary-title&gt;&lt;alt-title&gt;J Aerosol Sci&amp;#xD;J Aerosol Sci&lt;/alt-title&gt;&lt;/titles&gt;&lt;periodical&gt;&lt;full-title&gt;Journal of Aerosol Science&lt;/full-title&gt;&lt;/periodical&gt;&lt;pages&gt;387-389&lt;/pages&gt;&lt;volume&gt;19&lt;/volume&gt;&lt;number&gt;3&lt;/number&gt;&lt;dates&gt;&lt;year&gt;1988&lt;/year&gt;&lt;pub-dates&gt;&lt;date&gt;Jun&lt;/date&gt;&lt;/pub-dates&gt;&lt;/dates&gt;&lt;isbn&gt;0021-8502&lt;/isbn&gt;&lt;accession-num&gt;WOS:A1988P306100011&lt;/accession-num&gt;&lt;urls&gt;&lt;related-urls&gt;&lt;url&gt;&amp;lt;Go to ISI&amp;gt;://WOS:A1988P306100011&lt;/url&gt;&lt;/related-urls&gt;&lt;/urls&gt;&lt;language&gt;English&lt;/language&gt;&lt;/record&gt;&lt;/Cite&gt;&lt;/EndNote&gt;</w:instrText>
      </w:r>
      <w:r>
        <w:fldChar w:fldCharType="separate"/>
      </w:r>
      <w:r>
        <w:rPr>
          <w:noProof/>
        </w:rPr>
        <w:t>(</w:t>
      </w:r>
      <w:hyperlink w:anchor="_ENREF_12" w:tooltip="Wiedensohler, 1988 #34" w:history="1">
        <w:r w:rsidR="0055410F">
          <w:rPr>
            <w:noProof/>
          </w:rPr>
          <w:t>Wiedensohler 1988</w:t>
        </w:r>
      </w:hyperlink>
      <w:r>
        <w:rPr>
          <w:noProof/>
        </w:rPr>
        <w:t>)</w:t>
      </w:r>
      <w:r>
        <w:fldChar w:fldCharType="end"/>
      </w:r>
      <w:r>
        <w:t>.</w:t>
      </w:r>
    </w:p>
    <w:p w14:paraId="6ABC6A09" w14:textId="717FF6DC" w:rsidR="007B1EEE" w:rsidRPr="00C15E54" w:rsidRDefault="00DE2A2E" w:rsidP="007B1EEE">
      <w:pPr>
        <w:ind w:firstLine="360"/>
        <w:rPr>
          <w:rFonts w:eastAsiaTheme="minorEastAsia"/>
          <w:color w:val="000000" w:themeColor="text1"/>
          <w:sz w:val="24"/>
          <w:szCs w:val="24"/>
        </w:rPr>
      </w:pPr>
      <m:oMathPara>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1</m:t>
                  </m:r>
                </m:sub>
              </m:sSub>
            </m:num>
            <m:den>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p</m:t>
                  </m:r>
                </m:sub>
              </m:sSub>
            </m:den>
          </m:f>
          <m:r>
            <w:rPr>
              <w:rFonts w:ascii="Cambria Math" w:hAnsi="Cambria Math"/>
              <w:color w:val="000000" w:themeColor="text1"/>
              <w:sz w:val="24"/>
              <w:szCs w:val="24"/>
            </w:rPr>
            <m:t>=</m:t>
          </m:r>
          <m:sSub>
            <m:sSubPr>
              <m:ctrlPr>
                <w:rPr>
                  <w:rFonts w:ascii="Cambria Math" w:hAnsi="Cambria Math"/>
                  <w:sz w:val="24"/>
                  <w:szCs w:val="24"/>
                </w:rPr>
              </m:ctrlPr>
            </m:sSubPr>
            <m:e>
              <m:r>
                <m:rPr>
                  <m:sty m:val="p"/>
                </m:rPr>
                <w:rPr>
                  <w:rFonts w:ascii="Cambria Math" w:hAnsi="Cambria Math"/>
                  <w:sz w:val="24"/>
                  <w:szCs w:val="24"/>
                </w:rPr>
                <m:t>Ω</m:t>
              </m:r>
            </m:e>
            <m:sub>
              <m:r>
                <w:rPr>
                  <w:rFonts w:ascii="Cambria Math" w:hAnsi="Cambria Math"/>
                  <w:sz w:val="24"/>
                  <w:szCs w:val="24"/>
                </w:rPr>
                <m:t>nd</m:t>
              </m:r>
            </m:sub>
          </m:sSub>
          <m:r>
            <w:rPr>
              <w:rFonts w:ascii="Cambria Math" w:hAnsi="Cambria Math"/>
              <w:sz w:val="24"/>
              <w:szCs w:val="24"/>
            </w:rPr>
            <m:t>*η*</m:t>
          </m:r>
          <m:f>
            <m:fPr>
              <m:ctrlPr>
                <w:rPr>
                  <w:rFonts w:ascii="Cambria Math" w:hAnsi="Cambria Math"/>
                  <w:i/>
                  <w:color w:val="000000" w:themeColor="text1"/>
                  <w:sz w:val="24"/>
                  <w:szCs w:val="24"/>
                </w:rPr>
              </m:ctrlPr>
            </m:fPr>
            <m:num>
              <m:r>
                <w:rPr>
                  <w:rFonts w:ascii="Cambria Math" w:hAnsi="Cambria Math"/>
                  <w:color w:val="000000" w:themeColor="text1"/>
                  <w:sz w:val="24"/>
                  <w:szCs w:val="24"/>
                </w:rPr>
                <m:t>dN</m:t>
              </m:r>
            </m:num>
            <m:den>
              <m:r>
                <w:rPr>
                  <w:rFonts w:ascii="Cambria Math" w:hAnsi="Cambria Math"/>
                  <w:color w:val="000000" w:themeColor="text1"/>
                  <w:sz w:val="24"/>
                  <w:szCs w:val="24"/>
                </w:rPr>
                <m:t>d</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p</m:t>
                  </m:r>
                </m:sub>
              </m:sSub>
            </m:den>
          </m:f>
          <m:r>
            <w:rPr>
              <w:rFonts w:ascii="Cambria Math" w:eastAsiaTheme="minorEastAsia" w:hAnsi="Cambria Math"/>
              <w:color w:val="000000" w:themeColor="text1"/>
              <w:sz w:val="24"/>
              <w:szCs w:val="24"/>
            </w:rPr>
            <m:t xml:space="preserve">                               (S2)</m:t>
          </m:r>
        </m:oMath>
      </m:oMathPara>
    </w:p>
    <w:p w14:paraId="593CD819" w14:textId="77777777" w:rsidR="00C15E54" w:rsidRDefault="00C15E54" w:rsidP="007B1EEE">
      <w:pPr>
        <w:ind w:firstLine="360"/>
      </w:pPr>
    </w:p>
    <w:p w14:paraId="0E3B2874" w14:textId="257E4CB7" w:rsidR="00692D2C" w:rsidRDefault="00C15E54" w:rsidP="007B1EEE">
      <w:pPr>
        <w:ind w:firstLine="360"/>
      </w:pPr>
      <w:r w:rsidRPr="00C15E54">
        <w:t>The non-diffusing transfer function</w:t>
      </w:r>
      <w:r>
        <w:t xml:space="preserve"> </w:t>
      </w:r>
      <w:r>
        <w:fldChar w:fldCharType="begin"/>
      </w:r>
      <w:r>
        <w:instrText xml:space="preserve"> ADDIN EN.CITE &lt;EndNote&gt;&lt;Cite&gt;&lt;Author&gt;Stolzenburg&lt;/Author&gt;&lt;Year&gt;2008&lt;/Year&gt;&lt;RecNum&gt;94&lt;/RecNum&gt;&lt;DisplayText&gt;(Stolzenburg and McMurry 2008)&lt;/DisplayText&gt;&lt;record&gt;&lt;rec-number&gt;94&lt;/rec-number&gt;&lt;foreign-keys&gt;&lt;key app="EN" db-id="r99eafwtqexr2ker550xv5962er5200sdxep"&gt;94&lt;/key&gt;&lt;/foreign-keys&gt;&lt;ref-type name="Journal Article"&gt;17&lt;/ref-type&gt;&lt;contributors&gt;&lt;authors&gt;&lt;author&gt;Stolzenburg, Mark R.&lt;/author&gt;&lt;author&gt;McMurry, Peter H.&lt;/author&gt;&lt;/authors&gt;&lt;/contributors&gt;&lt;titles&gt;&lt;title&gt;Equations Governing Single and Tandem DMA Configurations and a New Lognormal Approximation to the Transfer Function&lt;/title&gt;&lt;secondary-title&gt;Aerosol Science and Technology&lt;/secondary-title&gt;&lt;/titles&gt;&lt;periodical&gt;&lt;full-title&gt;Aerosol Science and Technology&lt;/full-title&gt;&lt;abbr-1&gt;Aerosol Sci Tech&lt;/abbr-1&gt;&lt;/periodical&gt;&lt;pages&gt;421-432&lt;/pages&gt;&lt;volume&gt;42&lt;/volume&gt;&lt;number&gt;6&lt;/number&gt;&lt;dates&gt;&lt;year&gt;2008&lt;/year&gt;&lt;pub-dates&gt;&lt;date&gt;2008/04/24&lt;/date&gt;&lt;/pub-dates&gt;&lt;/dates&gt;&lt;publisher&gt;Taylor &amp;amp; Francis&lt;/publisher&gt;&lt;isbn&gt;0278-6826&lt;/isbn&gt;&lt;urls&gt;&lt;related-urls&gt;&lt;url&gt;http://dx.doi.org/10.1080/02786820802157823&lt;/url&gt;&lt;/related-urls&gt;&lt;/urls&gt;&lt;electronic-resource-num&gt;10.1080/02786820802157823&lt;/electronic-resource-num&gt;&lt;access-date&gt;2014/04/10&lt;/access-date&gt;&lt;/record&gt;&lt;/Cite&gt;&lt;/EndNote&gt;</w:instrText>
      </w:r>
      <w:r>
        <w:fldChar w:fldCharType="separate"/>
      </w:r>
      <w:r>
        <w:rPr>
          <w:noProof/>
        </w:rPr>
        <w:t>(</w:t>
      </w:r>
      <w:hyperlink w:anchor="_ENREF_10" w:tooltip="Stolzenburg, 2008 #94" w:history="1">
        <w:r w:rsidR="0055410F">
          <w:rPr>
            <w:noProof/>
          </w:rPr>
          <w:t>Stolzenburg and McMurry 2008</w:t>
        </w:r>
      </w:hyperlink>
      <w:r>
        <w:rPr>
          <w:noProof/>
        </w:rPr>
        <w:t>)</w:t>
      </w:r>
      <w:r>
        <w:fldChar w:fldCharType="end"/>
      </w:r>
      <w:r>
        <w:t xml:space="preserve"> is shown as Equation </w:t>
      </w:r>
      <w:r w:rsidR="00BE3435">
        <w:t>S</w:t>
      </w:r>
      <w:r w:rsidR="00DE581A">
        <w:t>3</w:t>
      </w:r>
      <w:r>
        <w:t xml:space="preserve"> through </w:t>
      </w:r>
      <w:r w:rsidR="00BE3435">
        <w:t>S</w:t>
      </w:r>
      <w:r w:rsidR="00DE581A">
        <w:t>5</w:t>
      </w:r>
      <w:r>
        <w:t>. In E</w:t>
      </w:r>
      <w:r w:rsidRPr="00C15E54">
        <w:t xml:space="preserve">quation </w:t>
      </w:r>
      <w:r w:rsidR="00BE3435">
        <w:t>S</w:t>
      </w:r>
      <w:r w:rsidR="00DE581A">
        <w:t>3</w:t>
      </w:r>
      <w:r w:rsidRPr="00C15E54">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p</m:t>
            </m:r>
          </m:sub>
        </m:sSub>
      </m:oMath>
      <w:r>
        <w:rPr>
          <w:rFonts w:eastAsiaTheme="minorEastAsia"/>
        </w:rPr>
        <w:t xml:space="preserve"> </w:t>
      </w:r>
      <w:r w:rsidRPr="00C15E54">
        <w:t xml:space="preserve">is the non-dimensional mobility. To calculate the non-dimensional mobility, expressions for the viscosity of air </w:t>
      </w:r>
      <w:r>
        <w:fldChar w:fldCharType="begin"/>
      </w:r>
      <w:r>
        <w:instrText xml:space="preserve"> ADDIN EN.CITE &lt;EndNote&gt;&lt;Cite&gt;&lt;Author&gt;Allen&lt;/Author&gt;&lt;Year&gt;1985&lt;/Year&gt;&lt;RecNum&gt;878&lt;/RecNum&gt;&lt;DisplayText&gt;(Allen and Raabe 1985)&lt;/DisplayText&gt;&lt;record&gt;&lt;rec-number&gt;878&lt;/rec-number&gt;&lt;foreign-keys&gt;&lt;key app="EN" db-id="r99eafwtqexr2ker550xv5962er5200sdxep"&gt;878&lt;/key&gt;&lt;/foreign-keys&gt;&lt;ref-type name="Journal Article"&gt;17&lt;/ref-type&gt;&lt;contributors&gt;&lt;authors&gt;&lt;author&gt;Allen, Michael D.&lt;/author&gt;&lt;author&gt;Raabe, Otto G.&lt;/author&gt;&lt;/authors&gt;&lt;/contributors&gt;&lt;titles&gt;&lt;title&gt;Slip Correction Measurements of Spherical Solid Aerosol Particles in an Improved Millikan Apparatus&lt;/title&gt;&lt;secondary-title&gt;Aerosol Science and Technology&lt;/secondary-title&gt;&lt;/titles&gt;&lt;periodical&gt;&lt;full-title&gt;Aerosol Science and Technology&lt;/full-title&gt;&lt;abbr-1&gt;Aerosol Sci Tech&lt;/abbr-1&gt;&lt;/periodical&gt;&lt;pages&gt;269-286&lt;/pages&gt;&lt;volume&gt;4&lt;/volume&gt;&lt;number&gt;3&lt;/number&gt;&lt;dates&gt;&lt;year&gt;1985&lt;/year&gt;&lt;pub-dates&gt;&lt;date&gt;1985/01/01&lt;/date&gt;&lt;/pub-dates&gt;&lt;/dates&gt;&lt;publisher&gt;Taylor &amp;amp; Francis&lt;/publisher&gt;&lt;isbn&gt;0278-6826&lt;/isbn&gt;&lt;urls&gt;&lt;related-urls&gt;&lt;url&gt;http://dx.doi.org/10.1080/02786828508959055&lt;/url&gt;&lt;/related-urls&gt;&lt;/urls&gt;&lt;electronic-resource-num&gt;10.1080/02786828508959055&lt;/electronic-resource-num&gt;&lt;/record&gt;&lt;/Cite&gt;&lt;/EndNote&gt;</w:instrText>
      </w:r>
      <w:r>
        <w:fldChar w:fldCharType="separate"/>
      </w:r>
      <w:r>
        <w:rPr>
          <w:noProof/>
        </w:rPr>
        <w:t>(</w:t>
      </w:r>
      <w:hyperlink w:anchor="_ENREF_1" w:tooltip="Allen, 1985 #878" w:history="1">
        <w:r w:rsidR="0055410F">
          <w:rPr>
            <w:noProof/>
          </w:rPr>
          <w:t>Allen and Raabe 1985</w:t>
        </w:r>
      </w:hyperlink>
      <w:r>
        <w:rPr>
          <w:noProof/>
        </w:rPr>
        <w:t>)</w:t>
      </w:r>
      <w:r>
        <w:fldChar w:fldCharType="end"/>
      </w:r>
      <w:r w:rsidRPr="00C15E54">
        <w:t xml:space="preserve">, Cunningham correction factor </w:t>
      </w:r>
      <w:r>
        <w:fldChar w:fldCharType="begin"/>
      </w:r>
      <w:r>
        <w:instrText xml:space="preserve"> ADDIN EN.CITE &lt;EndNote&gt;&lt;Cite&gt;&lt;Author&gt;Kim&lt;/Author&gt;&lt;Year&gt;2005&lt;/Year&gt;&lt;RecNum&gt;877&lt;/RecNum&gt;&lt;DisplayText&gt;(Kim et al. 2005)&lt;/DisplayText&gt;&lt;record&gt;&lt;rec-number&gt;877&lt;/rec-number&gt;&lt;foreign-keys&gt;&lt;key app="EN" db-id="r99eafwtqexr2ker550xv5962er5200sdxep"&gt;877&lt;/key&gt;&lt;/foreign-keys&gt;&lt;ref-type name="Journal Article"&gt;17&lt;/ref-type&gt;&lt;contributors&gt;&lt;authors&gt;&lt;author&gt;Kim, Jung Hyeun&lt;/author&gt;&lt;author&gt;Mulholland, George W.&lt;/author&gt;&lt;author&gt;Kukuck, Scott R.&lt;/author&gt;&lt;author&gt;Pui, David Y. H.&lt;/author&gt;&lt;/authors&gt;&lt;/contributors&gt;&lt;titles&gt;&lt;title&gt;Slip Correction Measurements of Certified PSL Nanoparticles Using a Nanometer Differential Mobility Analyzer (Nano-DMA) for Knudsen Number From 0.5 to 83&lt;/title&gt;&lt;secondary-title&gt;Journal of Research of the National Institute of Standards and Technology&lt;/secondary-title&gt;&lt;/titles&gt;&lt;periodical&gt;&lt;full-title&gt;Journal of Research of the National Institute of Standards and Technology&lt;/full-title&gt;&lt;/periodical&gt;&lt;pages&gt;31-54&lt;/pages&gt;&lt;volume&gt;110&lt;/volume&gt;&lt;number&gt;1&lt;/number&gt;&lt;dates&gt;&lt;year&gt;2005&lt;/year&gt;&lt;pub-dates&gt;&lt;date&gt;Jan-Feb&amp;#xD;02/01&amp;#xD;01/05/accepted&lt;/date&gt;&lt;/pub-dates&gt;&lt;/dates&gt;&lt;publisher&gt;[Gaithersburg, MD] : U.S. Dept. of Commerce, National Institute of Standards and Technology&lt;/publisher&gt;&lt;isbn&gt;1044-677X&amp;#xD;2165-7254&lt;/isbn&gt;&lt;accession-num&gt;PMC4849562&lt;/accession-num&gt;&lt;urls&gt;&lt;related-urls&gt;&lt;url&gt;http://www.ncbi.nlm.nih.gov/pmc/articles/PMC4849562/&lt;/url&gt;&lt;/related-urls&gt;&lt;/urls&gt;&lt;electronic-resource-num&gt;10.6028/jres.110.005&lt;/electronic-resource-num&gt;&lt;remote-database-name&gt;PMC&lt;/remote-database-name&gt;&lt;/record&gt;&lt;/Cite&gt;&lt;/EndNote&gt;</w:instrText>
      </w:r>
      <w:r>
        <w:fldChar w:fldCharType="separate"/>
      </w:r>
      <w:r>
        <w:rPr>
          <w:noProof/>
        </w:rPr>
        <w:t>(</w:t>
      </w:r>
      <w:hyperlink w:anchor="_ENREF_6" w:tooltip="Kim, 2005 #877" w:history="1">
        <w:r w:rsidR="0055410F">
          <w:rPr>
            <w:noProof/>
          </w:rPr>
          <w:t>Kim et al. 2005</w:t>
        </w:r>
      </w:hyperlink>
      <w:r>
        <w:rPr>
          <w:noProof/>
        </w:rPr>
        <w:t>)</w:t>
      </w:r>
      <w:r>
        <w:fldChar w:fldCharType="end"/>
      </w:r>
      <w:r w:rsidRPr="00C15E54">
        <w:t xml:space="preserve">, and mean free path </w:t>
      </w:r>
      <w:r>
        <w:fldChar w:fldCharType="begin"/>
      </w:r>
      <w:r>
        <w:instrText xml:space="preserve"> ADDIN EN.CITE &lt;EndNote&gt;&lt;Cite&gt;&lt;Author&gt;Kim&lt;/Author&gt;&lt;Year&gt;2005&lt;/Year&gt;&lt;RecNum&gt;877&lt;/RecNum&gt;&lt;DisplayText&gt;(Kim et al. 2005)&lt;/DisplayText&gt;&lt;record&gt;&lt;rec-number&gt;877&lt;/rec-number&gt;&lt;foreign-keys&gt;&lt;key app="EN" db-id="r99eafwtqexr2ker550xv5962er5200sdxep"&gt;877&lt;/key&gt;&lt;/foreign-keys&gt;&lt;ref-type name="Journal Article"&gt;17&lt;/ref-type&gt;&lt;contributors&gt;&lt;authors&gt;&lt;author&gt;Kim, Jung Hyeun&lt;/author&gt;&lt;author&gt;Mulholland, George W.&lt;/author&gt;&lt;author&gt;Kukuck, Scott R.&lt;/author&gt;&lt;author&gt;Pui, David Y. H.&lt;/author&gt;&lt;/authors&gt;&lt;/contributors&gt;&lt;titles&gt;&lt;title&gt;Slip Correction Measurements of Certified PSL Nanoparticles Using a Nanometer Differential Mobility Analyzer (Nano-DMA) for Knudsen Number From 0.5 to 83&lt;/title&gt;&lt;secondary-title&gt;Journal of Research of the National Institute of Standards and Technology&lt;/secondary-title&gt;&lt;/titles&gt;&lt;periodical&gt;&lt;full-title&gt;Journal of Research of the National Institute of Standards and Technology&lt;/full-title&gt;&lt;/periodical&gt;&lt;pages&gt;31-54&lt;/pages&gt;&lt;volume&gt;110&lt;/volume&gt;&lt;number&gt;1&lt;/number&gt;&lt;dates&gt;&lt;year&gt;2005&lt;/year&gt;&lt;pub-dates&gt;&lt;date&gt;Jan-Feb&amp;#xD;02/01&amp;#xD;01/05/accepted&lt;/date&gt;&lt;/pub-dates&gt;&lt;/dates&gt;&lt;publisher&gt;[Gaithersburg, MD] : U.S. Dept. of Commerce, National Institute of Standards and Technology&lt;/publisher&gt;&lt;isbn&gt;1044-677X&amp;#xD;2165-7254&lt;/isbn&gt;&lt;accession-num&gt;PMC4849562&lt;/accession-num&gt;&lt;urls&gt;&lt;related-urls&gt;&lt;url&gt;http://www.ncbi.nlm.nih.gov/pmc/articles/PMC4849562/&lt;/url&gt;&lt;/related-urls&gt;&lt;/urls&gt;&lt;electronic-resource-num&gt;10.6028/jres.110.005&lt;/electronic-resource-num&gt;&lt;remote-database-name&gt;PMC&lt;/remote-database-name&gt;&lt;/record&gt;&lt;/Cite&gt;&lt;/EndNote&gt;</w:instrText>
      </w:r>
      <w:r>
        <w:fldChar w:fldCharType="separate"/>
      </w:r>
      <w:r>
        <w:rPr>
          <w:noProof/>
        </w:rPr>
        <w:t>(</w:t>
      </w:r>
      <w:hyperlink w:anchor="_ENREF_6" w:tooltip="Kim, 2005 #877" w:history="1">
        <w:r w:rsidR="0055410F">
          <w:rPr>
            <w:noProof/>
          </w:rPr>
          <w:t>Kim et al. 2005</w:t>
        </w:r>
      </w:hyperlink>
      <w:r>
        <w:rPr>
          <w:noProof/>
        </w:rPr>
        <w:t>)</w:t>
      </w:r>
      <w:r>
        <w:fldChar w:fldCharType="end"/>
      </w:r>
      <w:r w:rsidRPr="00C15E54">
        <w:t xml:space="preserve"> are used along with the dimensions of a TSI-3081 long </w:t>
      </w:r>
      <w:r>
        <w:t>DMA. In E</w:t>
      </w:r>
      <w:r w:rsidRPr="00C15E54">
        <w:t xml:space="preserve">quation </w:t>
      </w:r>
      <w:r w:rsidR="00BE3435">
        <w:t>S</w:t>
      </w:r>
      <w:r w:rsidR="00DE581A">
        <w:t>4</w:t>
      </w:r>
      <w:r w:rsidRPr="00C15E54">
        <w:t xml:space="preserve"> and </w:t>
      </w:r>
      <w:r w:rsidR="00BE3435">
        <w:t>S</w:t>
      </w:r>
      <w:r w:rsidR="00DE581A">
        <w:t>5</w:t>
      </w:r>
      <w:r w:rsidRPr="00C15E54">
        <w:t xml:space="preserve">, </w:t>
      </w:r>
      <w:r w:rsidRPr="00692D2C">
        <w:rPr>
          <w:rFonts w:ascii="Cambria Math" w:hAnsi="Cambria Math"/>
          <w:i/>
        </w:rPr>
        <w:t>Q</w:t>
      </w:r>
      <w:r w:rsidRPr="00692D2C">
        <w:rPr>
          <w:rFonts w:ascii="Cambria Math" w:hAnsi="Cambria Math"/>
          <w:i/>
          <w:vertAlign w:val="subscript"/>
        </w:rPr>
        <w:t>s</w:t>
      </w:r>
      <w:r w:rsidRPr="00C15E54">
        <w:t xml:space="preserve"> is the classified aerosol flow rate, </w:t>
      </w:r>
      <w:proofErr w:type="spellStart"/>
      <w:r w:rsidRPr="00692D2C">
        <w:rPr>
          <w:rFonts w:ascii="Cambria Math" w:hAnsi="Cambria Math"/>
          <w:i/>
        </w:rPr>
        <w:t>Q</w:t>
      </w:r>
      <w:r w:rsidRPr="00692D2C">
        <w:rPr>
          <w:rFonts w:ascii="Cambria Math" w:hAnsi="Cambria Math"/>
          <w:i/>
          <w:vertAlign w:val="subscript"/>
        </w:rPr>
        <w:t>a</w:t>
      </w:r>
      <w:proofErr w:type="spellEnd"/>
      <w:r w:rsidRPr="00C15E54">
        <w:t xml:space="preserve"> is the inlet aerosol flow, </w:t>
      </w:r>
      <w:proofErr w:type="spellStart"/>
      <w:r w:rsidRPr="00692D2C">
        <w:rPr>
          <w:rFonts w:ascii="Cambria Math" w:hAnsi="Cambria Math"/>
          <w:i/>
        </w:rPr>
        <w:t>Q</w:t>
      </w:r>
      <w:r w:rsidRPr="00692D2C">
        <w:rPr>
          <w:rFonts w:ascii="Cambria Math" w:hAnsi="Cambria Math"/>
          <w:i/>
          <w:vertAlign w:val="subscript"/>
        </w:rPr>
        <w:t>m</w:t>
      </w:r>
      <w:proofErr w:type="spellEnd"/>
      <w:r w:rsidRPr="00C15E54">
        <w:t xml:space="preserve"> is the inlet sheath flow, and </w:t>
      </w:r>
      <w:r w:rsidRPr="00692D2C">
        <w:rPr>
          <w:rFonts w:ascii="Cambria Math" w:hAnsi="Cambria Math"/>
          <w:i/>
        </w:rPr>
        <w:t>Q</w:t>
      </w:r>
      <w:r w:rsidRPr="00692D2C">
        <w:rPr>
          <w:rFonts w:ascii="Cambria Math" w:hAnsi="Cambria Math"/>
          <w:i/>
          <w:vertAlign w:val="subscript"/>
        </w:rPr>
        <w:t>c</w:t>
      </w:r>
      <w:r w:rsidRPr="00C15E54">
        <w:t xml:space="preserve"> is the exit sheath flow. </w:t>
      </w:r>
      <w:r w:rsidRPr="00692D2C">
        <w:rPr>
          <w:rFonts w:ascii="Cambria Math" w:hAnsi="Cambria Math"/>
          <w:i/>
        </w:rPr>
        <w:t>β</w:t>
      </w:r>
      <w:r w:rsidRPr="00C15E54">
        <w:t xml:space="preserve"> and </w:t>
      </w:r>
      <w:r w:rsidRPr="00692D2C">
        <w:rPr>
          <w:rFonts w:ascii="Cambria Math" w:hAnsi="Cambria Math"/>
          <w:i/>
        </w:rPr>
        <w:t>δ</w:t>
      </w:r>
      <w:r w:rsidRPr="00C15E54">
        <w:t xml:space="preserve"> are non-dimensional DMA flows. The ideal shape of the non-diffusing transfer function is identified as a triangle. But for open flow sheath set-ups, the transfer function can easily assume a trapezoidal shape. </w:t>
      </w:r>
      <w:r w:rsidR="00692D2C">
        <w:t xml:space="preserve">TAO retains this capability </w:t>
      </w:r>
      <w:r w:rsidR="00604B1D">
        <w:t>using</w:t>
      </w:r>
      <w:r w:rsidR="00692D2C">
        <w:t xml:space="preserve"> Equations </w:t>
      </w:r>
      <w:r w:rsidR="00BE3435">
        <w:t>S</w:t>
      </w:r>
      <w:r w:rsidR="00DE581A">
        <w:t>3</w:t>
      </w:r>
      <w:r w:rsidR="00692D2C">
        <w:t xml:space="preserve"> through </w:t>
      </w:r>
      <w:r w:rsidR="00BE3435">
        <w:t>S</w:t>
      </w:r>
      <w:r w:rsidR="00DE581A">
        <w:t>5</w:t>
      </w:r>
      <w:r w:rsidR="00692D2C">
        <w:t xml:space="preserve">. </w:t>
      </w:r>
    </w:p>
    <w:p w14:paraId="0E8B96CD" w14:textId="77777777" w:rsidR="00692D2C" w:rsidRDefault="00692D2C" w:rsidP="007B1EEE">
      <w:pPr>
        <w:ind w:firstLine="360"/>
      </w:pPr>
    </w:p>
    <w:p w14:paraId="1C24F3D7" w14:textId="7F67B347" w:rsidR="00C15E54" w:rsidRPr="00BE3435" w:rsidRDefault="00DE2A2E" w:rsidP="007B1EEE">
      <w:pPr>
        <w:ind w:firstLine="360"/>
        <w:rPr>
          <w:rFonts w:eastAsiaTheme="minorEastAsia"/>
          <w:sz w:val="24"/>
          <w:szCs w:val="24"/>
        </w:rPr>
      </w:pPr>
      <m:oMathPara>
        <m:oMath>
          <m:sSub>
            <m:sSubPr>
              <m:ctrlPr>
                <w:rPr>
                  <w:rFonts w:ascii="Cambria Math" w:hAnsi="Cambria Math"/>
                  <w:sz w:val="20"/>
                  <w:szCs w:val="20"/>
                </w:rPr>
              </m:ctrlPr>
            </m:sSubPr>
            <m:e>
              <m:r>
                <m:rPr>
                  <m:sty m:val="p"/>
                </m:rPr>
                <w:rPr>
                  <w:rFonts w:ascii="Cambria Math" w:hAnsi="Cambria Math"/>
                  <w:sz w:val="20"/>
                  <w:szCs w:val="20"/>
                </w:rPr>
                <m:t>Ω</m:t>
              </m:r>
            </m:e>
            <m:sub>
              <m:r>
                <w:rPr>
                  <w:rFonts w:ascii="Cambria Math" w:hAnsi="Cambria Math"/>
                  <w:sz w:val="20"/>
                  <w:szCs w:val="20"/>
                </w:rPr>
                <m:t>nd</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2β</m:t>
              </m:r>
              <m:d>
                <m:dPr>
                  <m:ctrlPr>
                    <w:rPr>
                      <w:rFonts w:ascii="Cambria Math" w:hAnsi="Cambria Math"/>
                      <w:i/>
                      <w:sz w:val="20"/>
                      <w:szCs w:val="20"/>
                    </w:rPr>
                  </m:ctrlPr>
                </m:dPr>
                <m:e>
                  <m:r>
                    <w:rPr>
                      <w:rFonts w:ascii="Cambria Math" w:hAnsi="Cambria Math"/>
                      <w:sz w:val="20"/>
                      <w:szCs w:val="20"/>
                    </w:rPr>
                    <m:t>1-δ</m:t>
                  </m:r>
                </m:e>
              </m:d>
            </m:den>
          </m:f>
          <m:d>
            <m:dPr>
              <m:begChr m:val="["/>
              <m:endChr m:val="]"/>
              <m:ctrlPr>
                <w:rPr>
                  <w:rFonts w:ascii="Cambria Math" w:hAnsi="Cambria Math"/>
                  <w:i/>
                  <w:sz w:val="20"/>
                  <w:szCs w:val="20"/>
                </w:rPr>
              </m:ctrlPr>
            </m:dPr>
            <m:e>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Z</m:t>
                          </m:r>
                        </m:e>
                      </m:acc>
                    </m:e>
                    <m:sub>
                      <m:r>
                        <w:rPr>
                          <w:rFonts w:ascii="Cambria Math" w:hAnsi="Cambria Math"/>
                          <w:sz w:val="20"/>
                          <w:szCs w:val="20"/>
                        </w:rPr>
                        <m:t>p</m:t>
                      </m:r>
                    </m:sub>
                  </m:sSub>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1+β</m:t>
                      </m:r>
                    </m:e>
                  </m:d>
                </m:e>
              </m:d>
              <m:r>
                <w:rPr>
                  <w:rFonts w:ascii="Cambria Math" w:hAnsi="Cambria Math"/>
                  <w:sz w:val="20"/>
                  <w:szCs w:val="20"/>
                </w:rPr>
                <m:t>+</m:t>
              </m:r>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Z</m:t>
                          </m:r>
                        </m:e>
                      </m:acc>
                    </m:e>
                    <m:sub>
                      <m:r>
                        <w:rPr>
                          <w:rFonts w:ascii="Cambria Math" w:hAnsi="Cambria Math"/>
                          <w:sz w:val="20"/>
                          <w:szCs w:val="20"/>
                        </w:rPr>
                        <m:t>p</m:t>
                      </m:r>
                    </m:sub>
                  </m:sSub>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1-β</m:t>
                      </m:r>
                    </m:e>
                  </m:d>
                </m:e>
              </m:d>
              <m:r>
                <w:rPr>
                  <w:rFonts w:ascii="Cambria Math" w:hAnsi="Cambria Math"/>
                  <w:sz w:val="20"/>
                  <w:szCs w:val="20"/>
                </w:rPr>
                <m:t>-</m:t>
              </m:r>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Z</m:t>
                          </m:r>
                        </m:e>
                      </m:acc>
                    </m:e>
                    <m:sub>
                      <m:r>
                        <w:rPr>
                          <w:rFonts w:ascii="Cambria Math" w:hAnsi="Cambria Math"/>
                          <w:sz w:val="20"/>
                          <w:szCs w:val="20"/>
                        </w:rPr>
                        <m:t>p</m:t>
                      </m:r>
                    </m:sub>
                  </m:sSub>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1+βδ</m:t>
                      </m:r>
                    </m:e>
                  </m:d>
                </m:e>
              </m:d>
              <m:r>
                <w:rPr>
                  <w:rFonts w:ascii="Cambria Math" w:hAnsi="Cambria Math"/>
                  <w:sz w:val="20"/>
                  <w:szCs w:val="20"/>
                </w:rPr>
                <m:t>-</m:t>
              </m:r>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Z</m:t>
                          </m:r>
                        </m:e>
                      </m:acc>
                    </m:e>
                    <m:sub>
                      <m:r>
                        <w:rPr>
                          <w:rFonts w:ascii="Cambria Math" w:hAnsi="Cambria Math"/>
                          <w:sz w:val="20"/>
                          <w:szCs w:val="20"/>
                        </w:rPr>
                        <m:t>p</m:t>
                      </m:r>
                    </m:sub>
                  </m:sSub>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1-βδ</m:t>
                      </m:r>
                    </m:e>
                  </m:d>
                </m:e>
              </m:d>
            </m:e>
          </m:d>
          <m:r>
            <w:rPr>
              <w:rFonts w:ascii="Cambria Math" w:eastAsiaTheme="minorEastAsia" w:hAnsi="Cambria Math"/>
              <w:sz w:val="20"/>
              <w:szCs w:val="20"/>
            </w:rPr>
            <m:t xml:space="preserve">                     (S3)</m:t>
          </m:r>
        </m:oMath>
      </m:oMathPara>
    </w:p>
    <w:p w14:paraId="50AB4FE1" w14:textId="406ED00C" w:rsidR="00C15E54" w:rsidRPr="00C15E54" w:rsidRDefault="00C15E54" w:rsidP="007B1EEE">
      <w:pPr>
        <w:ind w:firstLine="360"/>
        <w:rPr>
          <w:rFonts w:eastAsiaTheme="minorEastAsia"/>
          <w:sz w:val="24"/>
          <w:szCs w:val="24"/>
        </w:rPr>
      </w:pPr>
      <m:oMathPara>
        <m:oMath>
          <m:r>
            <w:rPr>
              <w:rFonts w:ascii="Cambria Math" w:hAnsi="Cambria Math"/>
              <w:sz w:val="24"/>
              <w:szCs w:val="24"/>
            </w:rPr>
            <m:t>β=</m:t>
          </m:r>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a</m:t>
                      </m:r>
                    </m:sub>
                  </m:sSub>
                </m:e>
              </m:d>
            </m:num>
            <m:den>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m</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m:t>
                      </m:r>
                    </m:sub>
                  </m:sSub>
                </m:e>
              </m:d>
            </m:den>
          </m:f>
          <m:r>
            <w:rPr>
              <w:rFonts w:ascii="Cambria Math" w:hAnsi="Cambria Math"/>
              <w:sz w:val="24"/>
              <w:szCs w:val="24"/>
            </w:rPr>
            <m:t xml:space="preserve">                                         (S4)</m:t>
          </m:r>
        </m:oMath>
      </m:oMathPara>
    </w:p>
    <w:p w14:paraId="57243D3C" w14:textId="6AA762E4" w:rsidR="00C15E54" w:rsidRPr="00692D2C" w:rsidRDefault="00C15E54" w:rsidP="007B1EEE">
      <w:pPr>
        <w:ind w:firstLine="360"/>
        <w:rPr>
          <w:rFonts w:eastAsiaTheme="minorEastAsia"/>
          <w:sz w:val="24"/>
          <w:szCs w:val="24"/>
        </w:rPr>
      </w:pPr>
      <m:oMathPara>
        <m:oMath>
          <m:r>
            <w:rPr>
              <w:rFonts w:ascii="Cambria Math" w:hAnsi="Cambria Math"/>
              <w:sz w:val="24"/>
              <w:szCs w:val="24"/>
            </w:rPr>
            <m:t>δ=</m:t>
          </m:r>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a</m:t>
                      </m:r>
                    </m:sub>
                  </m:sSub>
                </m:e>
              </m:d>
            </m:num>
            <m:den>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a</m:t>
                      </m:r>
                    </m:sub>
                  </m:sSub>
                </m:e>
              </m:d>
            </m:den>
          </m:f>
          <m:r>
            <w:rPr>
              <w:rFonts w:ascii="Cambria Math" w:hAnsi="Cambria Math"/>
              <w:sz w:val="24"/>
              <w:szCs w:val="24"/>
            </w:rPr>
            <m:t xml:space="preserve">                                       (S5)</m:t>
          </m:r>
        </m:oMath>
      </m:oMathPara>
    </w:p>
    <w:p w14:paraId="244E001D" w14:textId="77777777" w:rsidR="00692D2C" w:rsidRDefault="00692D2C" w:rsidP="007B1EEE">
      <w:pPr>
        <w:ind w:firstLine="360"/>
      </w:pPr>
    </w:p>
    <w:p w14:paraId="5F671FCA" w14:textId="4C68F861" w:rsidR="00692D2C" w:rsidRDefault="00692D2C" w:rsidP="007B1EEE">
      <w:pPr>
        <w:ind w:firstLine="360"/>
      </w:pPr>
      <w:r w:rsidRPr="00692D2C">
        <w:lastRenderedPageBreak/>
        <w:t xml:space="preserve">The result of </w:t>
      </w:r>
      <w:r>
        <w:t>E</w:t>
      </w:r>
      <w:r w:rsidRPr="00692D2C">
        <w:t xml:space="preserve">quation </w:t>
      </w:r>
      <w:r w:rsidR="00BE3435">
        <w:t>S</w:t>
      </w:r>
      <w:r w:rsidR="00DE581A">
        <w:t>2</w:t>
      </w:r>
      <w:r w:rsidRPr="00692D2C">
        <w:t xml:space="preserve"> is an array, one for each charge, representing the </w:t>
      </w:r>
      <w:r w:rsidR="00DE581A">
        <w:t xml:space="preserve">selected </w:t>
      </w:r>
      <w:r w:rsidRPr="00692D2C">
        <w:t>size distribution</w:t>
      </w:r>
      <w:r w:rsidR="00DE581A">
        <w:t>s</w:t>
      </w:r>
      <w:r w:rsidRPr="00692D2C">
        <w:t xml:space="preserve">. Since the bin width was determined by the </w:t>
      </w:r>
      <w:r w:rsidR="00EB1772">
        <w:t>user during calculation of the inlet size distribution</w:t>
      </w:r>
      <w:r w:rsidRPr="00692D2C">
        <w:t xml:space="preserve">, the bin width carries through </w:t>
      </w:r>
      <w:r w:rsidR="00706ABF" w:rsidRPr="00692D2C">
        <w:t>because of</w:t>
      </w:r>
      <w:r w:rsidRPr="00692D2C">
        <w:t xml:space="preserve"> </w:t>
      </w:r>
      <w:r>
        <w:t>E</w:t>
      </w:r>
      <w:r w:rsidRPr="00692D2C">
        <w:t xml:space="preserve">quation </w:t>
      </w:r>
      <w:r w:rsidR="00BE3435">
        <w:t>S</w:t>
      </w:r>
      <w:r w:rsidR="00DE581A">
        <w:t>2</w:t>
      </w:r>
      <w:r w:rsidRPr="00692D2C">
        <w:t xml:space="preserve">. To reduce calculation time, many charges are irrelevant for the solution. The maximum number of charges to carry is a required </w:t>
      </w:r>
      <w:r w:rsidR="0099586D" w:rsidRPr="00692D2C">
        <w:t>input and</w:t>
      </w:r>
      <w:r w:rsidRPr="00692D2C">
        <w:t xml:space="preserve"> defines the total number of </w:t>
      </w:r>
      <w:r w:rsidR="00DE581A">
        <w:t xml:space="preserve">initial </w:t>
      </w:r>
      <w:r w:rsidRPr="00692D2C">
        <w:t xml:space="preserve">arrays. The user also </w:t>
      </w:r>
      <w:r>
        <w:t>enters</w:t>
      </w:r>
      <w:r w:rsidRPr="00692D2C">
        <w:t xml:space="preserve"> the minimum </w:t>
      </w:r>
      <w:r w:rsidR="00EB1772">
        <w:t>population</w:t>
      </w:r>
      <w:r w:rsidRPr="00692D2C">
        <w:t xml:space="preserve"> fraction </w:t>
      </w:r>
      <w:r>
        <w:t>for</w:t>
      </w:r>
      <w:r w:rsidRPr="00692D2C">
        <w:t xml:space="preserve"> each charge. The DMA1 routine integrates each individual </w:t>
      </w:r>
      <w:r w:rsidR="00DE581A">
        <w:t xml:space="preserve">selected </w:t>
      </w:r>
      <w:r w:rsidRPr="00692D2C">
        <w:t xml:space="preserve">size distribution (1 for each charge) and sums the total to determine the total particle count. The subroutine tests to be sure all charges meet the minimum </w:t>
      </w:r>
      <w:r w:rsidR="00EB1772">
        <w:t>population</w:t>
      </w:r>
      <w:r w:rsidRPr="00692D2C">
        <w:t xml:space="preserve"> fraction. If a charge does not meet the minimum requirement, the array is deleted. Therefore, if a user determines that the minimum </w:t>
      </w:r>
      <w:r w:rsidR="00EB1772">
        <w:t>population</w:t>
      </w:r>
      <w:r w:rsidRPr="00692D2C">
        <w:t xml:space="preserve"> fraction is 0.01, for example, all charges that contribute less than 1 percent to the total particle population </w:t>
      </w:r>
      <w:r>
        <w:t>are</w:t>
      </w:r>
      <w:r w:rsidRPr="00692D2C">
        <w:t xml:space="preserve"> deleted. This determines the number of charges carried through the remainder of the model.</w:t>
      </w:r>
    </w:p>
    <w:p w14:paraId="123B7E9F" w14:textId="77777777" w:rsidR="00E251A2" w:rsidRDefault="00E251A2" w:rsidP="007B1EEE">
      <w:pPr>
        <w:ind w:firstLine="360"/>
      </w:pPr>
    </w:p>
    <w:p w14:paraId="0F75655E" w14:textId="572E1EFB" w:rsidR="00E251A2" w:rsidRDefault="00E251A2" w:rsidP="00F71821">
      <w:pPr>
        <w:pStyle w:val="ListParagraph"/>
        <w:numPr>
          <w:ilvl w:val="1"/>
          <w:numId w:val="1"/>
        </w:numPr>
      </w:pPr>
      <w:r>
        <w:t>DMA2 integration and CPC comparison</w:t>
      </w:r>
    </w:p>
    <w:p w14:paraId="25BE8531" w14:textId="458BBD43" w:rsidR="00363317" w:rsidRDefault="00E251A2" w:rsidP="00E251A2">
      <w:pPr>
        <w:ind w:firstLine="360"/>
      </w:pPr>
      <w:r>
        <w:t xml:space="preserve">After </w:t>
      </w:r>
      <w:r w:rsidR="00363977">
        <w:t>calculating</w:t>
      </w:r>
      <w:r>
        <w:t xml:space="preserve"> volatility, integration at DMA2 determines the modeled CPC response. This calculation is required for each e</w:t>
      </w:r>
      <w:r w:rsidR="00363977">
        <w:t>ntered</w:t>
      </w:r>
      <w:r>
        <w:t xml:space="preserve"> DMA2 mobility. Since each </w:t>
      </w:r>
      <w:r w:rsidR="009E748F">
        <w:t>experimental size distribution</w:t>
      </w:r>
      <w:r>
        <w:t xml:space="preserve"> is treated as a sub-population, every </w:t>
      </w:r>
      <w:r w:rsidR="009E748F">
        <w:t>experimental size distribution</w:t>
      </w:r>
      <w:r>
        <w:t xml:space="preserve"> must undergo this integration individually. The total number of particles measured at that</w:t>
      </w:r>
      <w:r w:rsidR="00EB1772">
        <w:t xml:space="preserve"> DMA2</w:t>
      </w:r>
      <w:r>
        <w:t xml:space="preserve"> mobility is a sum of all integrated populations (all charges). </w:t>
      </w:r>
      <w:r w:rsidR="00363317">
        <w:t xml:space="preserve">If particle losses are used, the routine assumes </w:t>
      </w:r>
      <w:r w:rsidR="00065E0D">
        <w:t xml:space="preserve">the final evaporated diameter to calculate the losses. This assumption will </w:t>
      </w:r>
      <w:r w:rsidR="00363977">
        <w:t xml:space="preserve">underestimate particle penetration.  </w:t>
      </w:r>
    </w:p>
    <w:p w14:paraId="19086B91" w14:textId="03BACA2A" w:rsidR="00065E0D" w:rsidRDefault="00363977" w:rsidP="00E251A2">
      <w:pPr>
        <w:ind w:firstLine="360"/>
      </w:pPr>
      <w:r w:rsidRPr="00363977">
        <w:t xml:space="preserve">Integration at each DMA2 mobility is performed using </w:t>
      </w:r>
      <w:r>
        <w:t>E</w:t>
      </w:r>
      <w:r w:rsidRPr="00363977">
        <w:t xml:space="preserve">quation </w:t>
      </w:r>
      <w:r w:rsidR="00570F95">
        <w:t>S</w:t>
      </w:r>
      <w:r w:rsidR="009E748F">
        <w:t>6</w:t>
      </w:r>
      <w:r w:rsidRPr="00363977">
        <w:t xml:space="preserve">. In </w:t>
      </w:r>
      <w:r>
        <w:t>E</w:t>
      </w:r>
      <w:r w:rsidRPr="00363977">
        <w:t xml:space="preserve">quation </w:t>
      </w:r>
      <w:r w:rsidR="00283771">
        <w:t>S</w:t>
      </w:r>
      <w:r w:rsidR="009E748F">
        <w:t>6</w:t>
      </w:r>
      <w:r w:rsidRPr="00363977">
        <w:t xml:space="preserve">, </w:t>
      </w:r>
      <w:proofErr w:type="spellStart"/>
      <w:r w:rsidRPr="00363977">
        <w:rPr>
          <w:rFonts w:ascii="Cambria Math" w:hAnsi="Cambria Math"/>
          <w:i/>
        </w:rPr>
        <w:t>Q</w:t>
      </w:r>
      <w:r w:rsidRPr="00363977">
        <w:rPr>
          <w:rFonts w:ascii="Cambria Math" w:hAnsi="Cambria Math"/>
          <w:i/>
          <w:vertAlign w:val="subscript"/>
        </w:rPr>
        <w:t>a</w:t>
      </w:r>
      <w:proofErr w:type="spellEnd"/>
      <w:r w:rsidRPr="00363977">
        <w:t xml:space="preserve">, </w:t>
      </w:r>
      <w:r w:rsidRPr="00363977">
        <w:rPr>
          <w:rFonts w:ascii="Cambria Math" w:hAnsi="Cambria Math"/>
          <w:i/>
        </w:rPr>
        <w:t>Q</w:t>
      </w:r>
      <w:r w:rsidRPr="00363977">
        <w:rPr>
          <w:rFonts w:ascii="Cambria Math" w:hAnsi="Cambria Math"/>
          <w:i/>
          <w:vertAlign w:val="subscript"/>
        </w:rPr>
        <w:t>s</w:t>
      </w:r>
      <w:r w:rsidRPr="00363977">
        <w:t xml:space="preserve">, </w:t>
      </w:r>
      <w:proofErr w:type="spellStart"/>
      <w:r w:rsidR="008B57BE">
        <w:rPr>
          <w:rFonts w:ascii="Cambria Math" w:hAnsi="Cambria Math"/>
          <w:i/>
        </w:rPr>
        <w:t>D</w:t>
      </w:r>
      <w:r w:rsidRPr="00363977">
        <w:rPr>
          <w:rFonts w:ascii="Cambria Math" w:hAnsi="Cambria Math"/>
          <w:i/>
          <w:vertAlign w:val="subscript"/>
        </w:rPr>
        <w:t>p</w:t>
      </w:r>
      <w:proofErr w:type="spellEnd"/>
      <w:r w:rsidRPr="00363977">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p</m:t>
            </m:r>
          </m:sub>
        </m:sSub>
      </m:oMath>
      <w:r>
        <w:rPr>
          <w:rFonts w:eastAsiaTheme="minorEastAsia"/>
        </w:rPr>
        <w:t xml:space="preserve"> </w:t>
      </w:r>
      <w:r w:rsidRPr="00363977">
        <w:t xml:space="preserve">are as previously defined. </w:t>
      </w:r>
      <w:proofErr w:type="spellStart"/>
      <w:r w:rsidRPr="00363977">
        <w:rPr>
          <w:rFonts w:ascii="Cambria Math" w:hAnsi="Cambria Math"/>
          <w:i/>
        </w:rPr>
        <w:t>N</w:t>
      </w:r>
      <w:r w:rsidRPr="00363977">
        <w:rPr>
          <w:rFonts w:ascii="Cambria Math" w:hAnsi="Cambria Math"/>
          <w:i/>
          <w:vertAlign w:val="subscript"/>
        </w:rPr>
        <w:t>exp</w:t>
      </w:r>
      <w:proofErr w:type="spellEnd"/>
      <w:r w:rsidRPr="00363977">
        <w:t xml:space="preserve"> is the bin particle population after the experiment, </w:t>
      </w:r>
      <w:r w:rsidRPr="00363977">
        <w:rPr>
          <w:rFonts w:ascii="Cambria Math" w:hAnsi="Cambria Math"/>
          <w:i/>
        </w:rPr>
        <w:t>N</w:t>
      </w:r>
      <w:r w:rsidRPr="00363977">
        <w:rPr>
          <w:rFonts w:ascii="Cambria Math" w:hAnsi="Cambria Math"/>
          <w:i/>
          <w:vertAlign w:val="subscript"/>
        </w:rPr>
        <w:t>2</w:t>
      </w:r>
      <w:r w:rsidRPr="00363977">
        <w:t xml:space="preserve"> is the particle population after DMA2,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p,0,j</m:t>
            </m:r>
          </m:sub>
        </m:sSub>
      </m:oMath>
      <w:r w:rsidRPr="00363977">
        <w:rPr>
          <w:vertAlign w:val="subscript"/>
        </w:rPr>
        <w:t xml:space="preserve"> </w:t>
      </w:r>
      <w:r w:rsidRPr="00363977">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p,f,j</m:t>
            </m:r>
          </m:sub>
        </m:sSub>
      </m:oMath>
      <w:r>
        <w:t xml:space="preserve"> </w:t>
      </w:r>
      <w:r w:rsidRPr="00363977">
        <w:t xml:space="preserve">are the limits of the charge sub-population, </w:t>
      </w:r>
      <w:r w:rsidRPr="00363977">
        <w:rPr>
          <w:rFonts w:ascii="Cambria Math" w:hAnsi="Cambria Math"/>
          <w:i/>
        </w:rPr>
        <w:t>j</w:t>
      </w:r>
      <w:r>
        <w:t xml:space="preserve">. The </w:t>
      </w:r>
      <w:r w:rsidRPr="00363977">
        <w:t xml:space="preserve">value of the </w:t>
      </w:r>
      <w:r w:rsidR="00283771">
        <w:t>derivative is calculated using E</w:t>
      </w:r>
      <w:r w:rsidRPr="00363977">
        <w:t>quation</w:t>
      </w:r>
      <w:r w:rsidR="00396103">
        <w:t>s</w:t>
      </w:r>
      <w:r w:rsidRPr="00363977">
        <w:t xml:space="preserve"> </w:t>
      </w:r>
      <w:r w:rsidR="00283771">
        <w:t>S</w:t>
      </w:r>
      <w:r w:rsidR="009E748F">
        <w:t>7</w:t>
      </w:r>
      <w:r w:rsidRPr="00363977">
        <w:t xml:space="preserve"> and </w:t>
      </w:r>
      <w:r w:rsidR="00283771">
        <w:t>S</w:t>
      </w:r>
      <w:r w:rsidR="009E748F">
        <w:t>8</w:t>
      </w:r>
      <w:r w:rsidR="00283771">
        <w:t>. In E</w:t>
      </w:r>
      <w:r w:rsidRPr="00363977">
        <w:t xml:space="preserve">quation </w:t>
      </w:r>
      <w:r w:rsidR="00283771">
        <w:t>S</w:t>
      </w:r>
      <w:r w:rsidR="009E748F">
        <w:t>7</w:t>
      </w:r>
      <w:r w:rsidRPr="00363977">
        <w:t xml:space="preserve">, </w:t>
      </w:r>
      <w:r w:rsidRPr="00363977">
        <w:rPr>
          <w:rFonts w:ascii="Cambria Math" w:hAnsi="Cambria Math"/>
          <w:i/>
        </w:rPr>
        <w:t>μ</w:t>
      </w:r>
      <w:r w:rsidRPr="00363977">
        <w:t xml:space="preserve"> is the viscosity of air,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p</m:t>
            </m:r>
          </m:sub>
        </m:sSub>
      </m:oMath>
      <w:r>
        <w:rPr>
          <w:rFonts w:eastAsiaTheme="minorEastAsia"/>
        </w:rPr>
        <w:t xml:space="preserve"> </w:t>
      </w:r>
      <w:r w:rsidRPr="00363977">
        <w:t xml:space="preserve">is the DMA2 non-dimensional mobility, </w:t>
      </w:r>
      <w:proofErr w:type="spellStart"/>
      <w:r w:rsidRPr="00363977">
        <w:rPr>
          <w:rFonts w:ascii="Cambria Math" w:hAnsi="Cambria Math"/>
          <w:i/>
        </w:rPr>
        <w:t>Z</w:t>
      </w:r>
      <w:r w:rsidRPr="00363977">
        <w:rPr>
          <w:rFonts w:ascii="Cambria Math" w:hAnsi="Cambria Math"/>
          <w:i/>
          <w:vertAlign w:val="subscript"/>
        </w:rPr>
        <w:t>p</w:t>
      </w:r>
      <w:proofErr w:type="spellEnd"/>
      <w:r w:rsidRPr="00363977">
        <w:rPr>
          <w:rFonts w:ascii="Cambria Math" w:hAnsi="Cambria Math"/>
          <w:i/>
        </w:rPr>
        <w:t>*</w:t>
      </w:r>
      <w:r w:rsidRPr="00363977">
        <w:t xml:space="preserve"> is the centroid mobility, </w:t>
      </w:r>
      <w:r w:rsidRPr="00363977">
        <w:rPr>
          <w:rFonts w:ascii="Cambria Math" w:hAnsi="Cambria Math"/>
          <w:i/>
        </w:rPr>
        <w:t>j</w:t>
      </w:r>
      <w:r w:rsidRPr="00363977">
        <w:t xml:space="preserve"> is the charge number, </w:t>
      </w:r>
      <w:r w:rsidRPr="00363977">
        <w:rPr>
          <w:rFonts w:ascii="Cambria Math" w:hAnsi="Cambria Math"/>
          <w:i/>
        </w:rPr>
        <w:t>e</w:t>
      </w:r>
      <w:r w:rsidRPr="00363977">
        <w:t xml:space="preserve"> is the charge of an electron, and </w:t>
      </w:r>
      <w:r w:rsidRPr="00363977">
        <w:rPr>
          <w:rFonts w:ascii="Cambria Math" w:hAnsi="Cambria Math"/>
          <w:i/>
        </w:rPr>
        <w:t>C</w:t>
      </w:r>
      <w:r w:rsidRPr="00363977">
        <w:t xml:space="preserve"> is the Cu</w:t>
      </w:r>
      <w:r>
        <w:t>nningham correction factor. In E</w:t>
      </w:r>
      <w:r w:rsidRPr="00363977">
        <w:t xml:space="preserve">quation </w:t>
      </w:r>
      <w:r w:rsidR="00283771">
        <w:t>S</w:t>
      </w:r>
      <w:r w:rsidR="009E748F">
        <w:t>8</w:t>
      </w:r>
      <w:r w:rsidRPr="00363977">
        <w:t xml:space="preserve">, </w:t>
      </w:r>
      <w:proofErr w:type="spellStart"/>
      <w:r w:rsidRPr="00363977">
        <w:rPr>
          <w:rFonts w:ascii="Cambria Math" w:hAnsi="Cambria Math"/>
          <w:i/>
        </w:rPr>
        <w:t>λ</w:t>
      </w:r>
      <w:r w:rsidRPr="00363977">
        <w:rPr>
          <w:rFonts w:ascii="Cambria Math" w:hAnsi="Cambria Math"/>
          <w:i/>
          <w:vertAlign w:val="subscript"/>
        </w:rPr>
        <w:t>air</w:t>
      </w:r>
      <w:proofErr w:type="spellEnd"/>
      <w:r w:rsidRPr="00363977">
        <w:t xml:space="preserve"> is the mean free path in air; and </w:t>
      </w:r>
      <w:r w:rsidRPr="00363977">
        <w:rPr>
          <w:rFonts w:ascii="Cambria Math" w:hAnsi="Cambria Math"/>
          <w:i/>
        </w:rPr>
        <w:t>A</w:t>
      </w:r>
      <w:r w:rsidRPr="00363977">
        <w:rPr>
          <w:rFonts w:ascii="Cambria Math" w:hAnsi="Cambria Math"/>
          <w:i/>
          <w:vertAlign w:val="subscript"/>
        </w:rPr>
        <w:t>1</w:t>
      </w:r>
      <w:r w:rsidRPr="00363977">
        <w:t xml:space="preserve">, </w:t>
      </w:r>
      <w:r w:rsidRPr="00363977">
        <w:rPr>
          <w:rFonts w:ascii="Cambria Math" w:hAnsi="Cambria Math"/>
          <w:i/>
        </w:rPr>
        <w:t>A</w:t>
      </w:r>
      <w:r w:rsidRPr="00363977">
        <w:rPr>
          <w:rFonts w:ascii="Cambria Math" w:hAnsi="Cambria Math"/>
          <w:i/>
          <w:vertAlign w:val="subscript"/>
        </w:rPr>
        <w:t>2</w:t>
      </w:r>
      <w:r w:rsidRPr="00363977">
        <w:t xml:space="preserve">, and </w:t>
      </w:r>
      <w:r w:rsidRPr="00363977">
        <w:rPr>
          <w:rFonts w:ascii="Cambria Math" w:hAnsi="Cambria Math"/>
          <w:i/>
        </w:rPr>
        <w:t>A</w:t>
      </w:r>
      <w:r w:rsidRPr="00363977">
        <w:rPr>
          <w:rFonts w:ascii="Cambria Math" w:hAnsi="Cambria Math"/>
          <w:i/>
          <w:vertAlign w:val="subscript"/>
        </w:rPr>
        <w:t>3</w:t>
      </w:r>
      <w:r w:rsidRPr="00363977">
        <w:t xml:space="preserve"> are the constants in the Cunningham correction factor equation</w:t>
      </w:r>
      <w:r w:rsidR="00427637">
        <w:t xml:space="preserve"> </w:t>
      </w:r>
      <w:r w:rsidR="00427637">
        <w:fldChar w:fldCharType="begin"/>
      </w:r>
      <w:r w:rsidR="00427637">
        <w:instrText xml:space="preserve"> ADDIN EN.CITE &lt;EndNote&gt;&lt;Cite&gt;&lt;Author&gt;Kim&lt;/Author&gt;&lt;Year&gt;2005&lt;/Year&gt;&lt;RecNum&gt;6&lt;/RecNum&gt;&lt;DisplayText&gt;(Kim et al. 2005)&lt;/DisplayText&gt;&lt;record&gt;&lt;rec-number&gt;6&lt;/rec-number&gt;&lt;foreign-keys&gt;&lt;key app="EN" db-id="fe9vv2zfxper5zexazopfffns5v2wpzed5xv"&gt;6&lt;/key&gt;&lt;/foreign-keys&gt;&lt;ref-type name="Journal Article"&gt;17&lt;/ref-type&gt;&lt;contributors&gt;&lt;authors&gt;&lt;author&gt;Kim, Jung Hyeun&lt;/author&gt;&lt;author&gt;Mulholland, George W.&lt;/author&gt;&lt;author&gt;Kukuck, Scott R.&lt;/author&gt;&lt;author&gt;Pui, David Y. H.&lt;/author&gt;&lt;/authors&gt;&lt;/contributors&gt;&lt;titles&gt;&lt;title&gt;Slip Correction Measurements of Certified PSL Nanoparticles Using a Nanometer Differential Mobility Analyzer (Nano-DMA) for Knudsen Number From 0.5 to 83&lt;/title&gt;&lt;secondary-title&gt;Journal of Research of the National Institute of Standards and Technology&lt;/secondary-title&gt;&lt;/titles&gt;&lt;pages&gt;31-54&lt;/pages&gt;&lt;volume&gt;110&lt;/volume&gt;&lt;number&gt;1&lt;/number&gt;&lt;dates&gt;&lt;year&gt;2005&lt;/year&gt;&lt;pub-dates&gt;&lt;date&gt;Jan-Feb&amp;#xD;02/01&amp;#xD;01/05/accepted&lt;/date&gt;&lt;/pub-dates&gt;&lt;/dates&gt;&lt;publisher&gt;[Gaithersburg, MD] : U.S. Dept. of Commerce, National Institute of Standards and Technology&lt;/publisher&gt;&lt;isbn&gt;1044-677X&amp;#xD;2165-7254&lt;/isbn&gt;&lt;accession-num&gt;PMC4849562&lt;/accession-num&gt;&lt;urls&gt;&lt;related-urls&gt;&lt;url&gt;http://www.ncbi.nlm.nih.gov/pmc/articles/PMC4849562/&lt;/url&gt;&lt;/related-urls&gt;&lt;/urls&gt;&lt;electronic-resource-num&gt;10.6028/jres.110.005&lt;/electronic-resource-num&gt;&lt;remote-database-name&gt;PMC&lt;/remote-database-name&gt;&lt;/record&gt;&lt;/Cite&gt;&lt;/EndNote&gt;</w:instrText>
      </w:r>
      <w:r w:rsidR="00427637">
        <w:fldChar w:fldCharType="separate"/>
      </w:r>
      <w:r w:rsidR="00427637">
        <w:rPr>
          <w:noProof/>
        </w:rPr>
        <w:t>(</w:t>
      </w:r>
      <w:hyperlink w:anchor="_ENREF_6" w:tooltip="Kim, 2005 #877" w:history="1">
        <w:r w:rsidR="0055410F">
          <w:rPr>
            <w:noProof/>
          </w:rPr>
          <w:t>Kim et al. 2005</w:t>
        </w:r>
      </w:hyperlink>
      <w:r w:rsidR="00427637">
        <w:rPr>
          <w:noProof/>
        </w:rPr>
        <w:t>)</w:t>
      </w:r>
      <w:r w:rsidR="00427637">
        <w:fldChar w:fldCharType="end"/>
      </w:r>
      <w:r w:rsidRPr="00363977">
        <w:t>. Due to the binning, the integ</w:t>
      </w:r>
      <w:r w:rsidR="001C6C60">
        <w:t>ral in E</w:t>
      </w:r>
      <w:r w:rsidRPr="00363977">
        <w:t xml:space="preserve">quation </w:t>
      </w:r>
      <w:r w:rsidR="00283771">
        <w:t>S</w:t>
      </w:r>
      <w:r w:rsidR="009E748F">
        <w:t>6</w:t>
      </w:r>
      <w:r w:rsidRPr="00363977">
        <w:t xml:space="preserve"> is performed using MATLAB’s </w:t>
      </w:r>
      <w:r w:rsidR="00396103" w:rsidRPr="00363977">
        <w:t>trapezoidal</w:t>
      </w:r>
      <w:r w:rsidRPr="00363977">
        <w:t xml:space="preserve"> rule.</w:t>
      </w:r>
    </w:p>
    <w:p w14:paraId="73134714" w14:textId="21D5DFDE" w:rsidR="00363977" w:rsidRPr="00363977" w:rsidRDefault="00DE2A2E" w:rsidP="00E251A2">
      <w:pPr>
        <w:ind w:firstLine="360"/>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nc</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a</m:t>
                      </m:r>
                    </m:sub>
                  </m:sSub>
                </m:num>
                <m:den>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den>
              </m:f>
              <m:nary>
                <m:naryPr>
                  <m:limLoc m:val="subSup"/>
                  <m:ctrlPr>
                    <w:rPr>
                      <w:rFonts w:ascii="Cambria Math" w:hAnsi="Cambria Math"/>
                      <w:i/>
                      <w:sz w:val="24"/>
                      <w:szCs w:val="24"/>
                    </w:rPr>
                  </m:ctrlPr>
                </m:naryPr>
                <m:sub>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p,0,j</m:t>
                      </m:r>
                    </m:sub>
                  </m:sSub>
                </m:sub>
                <m: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p,f,j</m:t>
                      </m:r>
                    </m:sub>
                  </m:sSub>
                </m:sup>
                <m:e>
                  <m:sSub>
                    <m:sSubPr>
                      <m:ctrlPr>
                        <w:rPr>
                          <w:rFonts w:ascii="Cambria Math" w:hAnsi="Cambria Math"/>
                          <w:sz w:val="24"/>
                          <w:szCs w:val="24"/>
                        </w:rPr>
                      </m:ctrlPr>
                    </m:sSubPr>
                    <m:e>
                      <m:r>
                        <m:rPr>
                          <m:sty m:val="p"/>
                        </m:rPr>
                        <w:rPr>
                          <w:rFonts w:ascii="Cambria Math" w:hAnsi="Cambria Math"/>
                          <w:sz w:val="24"/>
                          <w:szCs w:val="24"/>
                        </w:rPr>
                        <m:t>Ω</m:t>
                      </m:r>
                    </m:e>
                    <m:sub>
                      <m:r>
                        <w:rPr>
                          <w:rFonts w:ascii="Cambria Math" w:hAnsi="Cambria Math"/>
                          <w:sz w:val="24"/>
                          <w:szCs w:val="24"/>
                        </w:rPr>
                        <m:t>nd</m:t>
                      </m:r>
                    </m:sub>
                  </m:sSub>
                  <m:f>
                    <m:fPr>
                      <m:ctrlPr>
                        <w:rPr>
                          <w:rFonts w:ascii="Cambria Math" w:hAnsi="Cambria Math"/>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exp,j</m:t>
                          </m:r>
                        </m:sub>
                      </m:sSub>
                    </m:num>
                    <m:den>
                      <m:r>
                        <w:rPr>
                          <w:rFonts w:ascii="Cambria Math" w:hAnsi="Cambria Math"/>
                          <w:sz w:val="24"/>
                          <w:szCs w:val="24"/>
                        </w:rPr>
                        <m:t>d</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p</m:t>
                              </m:r>
                            </m:sub>
                          </m:sSub>
                        </m:e>
                      </m:d>
                    </m:den>
                  </m:f>
                  <m:f>
                    <m:fPr>
                      <m:ctrlPr>
                        <w:rPr>
                          <w:rFonts w:ascii="Cambria Math" w:hAnsi="Cambria Math"/>
                          <w:i/>
                          <w:sz w:val="24"/>
                          <w:szCs w:val="24"/>
                        </w:rPr>
                      </m:ctrlPr>
                    </m:fPr>
                    <m:num>
                      <m:r>
                        <w:rPr>
                          <w:rFonts w:ascii="Cambria Math" w:hAnsi="Cambria Math"/>
                          <w:sz w:val="24"/>
                          <w:szCs w:val="24"/>
                        </w:rPr>
                        <m:t>d</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p</m:t>
                              </m:r>
                            </m:sub>
                          </m:sSub>
                        </m:e>
                      </m:d>
                    </m:num>
                    <m:den>
                      <m:r>
                        <w:rPr>
                          <w:rFonts w:ascii="Cambria Math" w:hAnsi="Cambria Math"/>
                          <w:sz w:val="24"/>
                          <w:szCs w:val="24"/>
                        </w:rPr>
                        <m:t>d</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p</m:t>
                          </m:r>
                        </m:sub>
                      </m:sSub>
                    </m:den>
                  </m:f>
                  <m:r>
                    <w:rPr>
                      <w:rFonts w:ascii="Cambria Math" w:hAnsi="Cambria Math"/>
                      <w:sz w:val="24"/>
                      <w:szCs w:val="24"/>
                    </w:rPr>
                    <m:t>d</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p</m:t>
                      </m:r>
                    </m:sub>
                  </m:sSub>
                </m:e>
              </m:nary>
            </m:e>
          </m:nary>
          <m:r>
            <w:rPr>
              <w:rFonts w:ascii="Cambria Math" w:hAnsi="Cambria Math"/>
              <w:sz w:val="24"/>
              <w:szCs w:val="24"/>
            </w:rPr>
            <m:t xml:space="preserve">                             (S6)</m:t>
          </m:r>
        </m:oMath>
      </m:oMathPara>
    </w:p>
    <w:p w14:paraId="459ACD51" w14:textId="7B87CD5C" w:rsidR="00363977" w:rsidRPr="00363977" w:rsidRDefault="00DE2A2E" w:rsidP="00E251A2">
      <w:pPr>
        <w:ind w:firstLine="360"/>
        <w:rPr>
          <w:rFonts w:eastAsiaTheme="minorEastAsia"/>
          <w:sz w:val="24"/>
          <w:szCs w:val="24"/>
        </w:rPr>
      </w:pPr>
      <m:oMathPara>
        <m:oMath>
          <m:f>
            <m:fPr>
              <m:ctrlPr>
                <w:rPr>
                  <w:rFonts w:ascii="Cambria Math" w:hAnsi="Cambria Math"/>
                  <w:i/>
                  <w:sz w:val="24"/>
                  <w:szCs w:val="24"/>
                </w:rPr>
              </m:ctrlPr>
            </m:fPr>
            <m:num>
              <m:r>
                <w:rPr>
                  <w:rFonts w:ascii="Cambria Math" w:hAnsi="Cambria Math"/>
                  <w:sz w:val="24"/>
                  <w:szCs w:val="24"/>
                </w:rPr>
                <m:t>d</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p</m:t>
                      </m:r>
                    </m:sub>
                  </m:sSub>
                </m:e>
              </m:d>
            </m:num>
            <m:den>
              <m:r>
                <w:rPr>
                  <w:rFonts w:ascii="Cambria Math" w:hAnsi="Cambria Math"/>
                  <w:sz w:val="24"/>
                  <w:szCs w:val="24"/>
                </w:rPr>
                <m:t>d</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p</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3πμ</m:t>
              </m:r>
              <m:sSubSup>
                <m:sSubSupPr>
                  <m:ctrlPr>
                    <w:rPr>
                      <w:rFonts w:ascii="Cambria Math" w:hAnsi="Cambria Math"/>
                      <w:i/>
                      <w:sz w:val="24"/>
                      <w:szCs w:val="24"/>
                    </w:rPr>
                  </m:ctrlPr>
                </m:sSubSupPr>
                <m:e>
                  <m:r>
                    <w:rPr>
                      <w:rFonts w:ascii="Cambria Math" w:hAnsi="Cambria Math"/>
                      <w:sz w:val="24"/>
                      <w:szCs w:val="24"/>
                    </w:rPr>
                    <m:t>Z</m:t>
                  </m:r>
                </m:e>
                <m:sub>
                  <m:r>
                    <w:rPr>
                      <w:rFonts w:ascii="Cambria Math" w:hAnsi="Cambria Math"/>
                      <w:sz w:val="24"/>
                      <w:szCs w:val="24"/>
                    </w:rPr>
                    <m:t>p</m:t>
                  </m:r>
                </m:sub>
                <m:sup>
                  <m:r>
                    <w:rPr>
                      <w:rFonts w:ascii="Cambria Math" w:hAnsi="Cambria Math"/>
                      <w:sz w:val="24"/>
                      <w:szCs w:val="24"/>
                    </w:rPr>
                    <m:t>*</m:t>
                  </m:r>
                </m:sup>
              </m:sSubSup>
            </m:num>
            <m:den>
              <m:r>
                <w:rPr>
                  <w:rFonts w:ascii="Cambria Math" w:hAnsi="Cambria Math"/>
                  <w:sz w:val="24"/>
                  <w:szCs w:val="24"/>
                </w:rPr>
                <m:t>je</m:t>
              </m:r>
            </m:den>
          </m:f>
          <m:d>
            <m:dPr>
              <m:begChr m:val="["/>
              <m:endChr m:val="]"/>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p</m:t>
                              </m:r>
                            </m:sub>
                          </m:sSub>
                        </m:e>
                      </m:d>
                    </m:e>
                    <m:sup>
                      <m:r>
                        <w:rPr>
                          <w:rFonts w:ascii="Cambria Math" w:hAnsi="Cambria Math"/>
                          <w:sz w:val="24"/>
                          <w:szCs w:val="24"/>
                        </w:rPr>
                        <m:t>2</m:t>
                      </m:r>
                    </m:sup>
                  </m:sSup>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p</m:t>
                      </m:r>
                    </m:sub>
                  </m:sSub>
                  <m:f>
                    <m:fPr>
                      <m:ctrlPr>
                        <w:rPr>
                          <w:rFonts w:ascii="Cambria Math" w:hAnsi="Cambria Math"/>
                          <w:i/>
                          <w:sz w:val="24"/>
                          <w:szCs w:val="24"/>
                        </w:rPr>
                      </m:ctrlPr>
                    </m:fPr>
                    <m:num>
                      <m:r>
                        <w:rPr>
                          <w:rFonts w:ascii="Cambria Math" w:hAnsi="Cambria Math"/>
                          <w:sz w:val="24"/>
                          <w:szCs w:val="24"/>
                        </w:rPr>
                        <m:t>dC</m:t>
                      </m:r>
                    </m:num>
                    <m:den>
                      <m:r>
                        <w:rPr>
                          <w:rFonts w:ascii="Cambria Math" w:hAnsi="Cambria Math"/>
                          <w:sz w:val="24"/>
                          <w:szCs w:val="24"/>
                        </w:rPr>
                        <m:t>d</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p</m:t>
                              </m:r>
                            </m:sub>
                          </m:sSub>
                        </m:e>
                      </m:d>
                    </m:den>
                  </m:f>
                  <m:r>
                    <w:rPr>
                      <w:rFonts w:ascii="Cambria Math" w:hAnsi="Cambria Math"/>
                      <w:sz w:val="24"/>
                      <w:szCs w:val="24"/>
                    </w:rPr>
                    <m:t>-C</m:t>
                  </m:r>
                </m:den>
              </m:f>
            </m:e>
          </m:d>
          <m:r>
            <w:rPr>
              <w:rFonts w:ascii="Cambria Math" w:eastAsiaTheme="minorEastAsia" w:hAnsi="Cambria Math"/>
              <w:sz w:val="24"/>
              <w:szCs w:val="24"/>
            </w:rPr>
            <m:t xml:space="preserve">                                         (S7)</m:t>
          </m:r>
        </m:oMath>
      </m:oMathPara>
    </w:p>
    <w:p w14:paraId="5EC36A6D" w14:textId="54DF777B" w:rsidR="00363977" w:rsidRPr="00F14334" w:rsidRDefault="00DE2A2E" w:rsidP="00E251A2">
      <w:pPr>
        <w:ind w:firstLine="360"/>
        <w:rPr>
          <w:rFonts w:eastAsiaTheme="minorEastAsia"/>
          <w:sz w:val="24"/>
          <w:szCs w:val="24"/>
        </w:rPr>
      </w:pPr>
      <m:oMathPara>
        <m:oMath>
          <m:f>
            <m:fPr>
              <m:ctrlPr>
                <w:rPr>
                  <w:rFonts w:ascii="Cambria Math" w:hAnsi="Cambria Math"/>
                  <w:i/>
                  <w:sz w:val="24"/>
                  <w:szCs w:val="24"/>
                </w:rPr>
              </m:ctrlPr>
            </m:fPr>
            <m:num>
              <m:r>
                <w:rPr>
                  <w:rFonts w:ascii="Cambria Math" w:hAnsi="Cambria Math"/>
                  <w:sz w:val="24"/>
                  <w:szCs w:val="24"/>
                </w:rPr>
                <m:t>dC</m:t>
              </m:r>
            </m:num>
            <m:den>
              <m:r>
                <w:rPr>
                  <w:rFonts w:ascii="Cambria Math" w:hAnsi="Cambria Math"/>
                  <w:sz w:val="24"/>
                  <w:szCs w:val="24"/>
                </w:rPr>
                <m:t>d</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p</m:t>
                      </m:r>
                    </m:sub>
                  </m:sSub>
                </m:e>
              </m: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air</m:t>
                  </m:r>
                </m:sub>
              </m:sSub>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num>
            <m:den>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p</m:t>
                          </m:r>
                        </m:sub>
                      </m:sSub>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air</m:t>
                  </m:r>
                </m:sub>
              </m:sSub>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num>
            <m:den>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p</m:t>
                          </m:r>
                        </m:sub>
                      </m:sSub>
                    </m:e>
                  </m:d>
                </m:e>
                <m:sup>
                  <m:r>
                    <w:rPr>
                      <w:rFonts w:ascii="Cambria Math" w:hAnsi="Cambria Math"/>
                      <w:sz w:val="24"/>
                      <w:szCs w:val="24"/>
                    </w:rPr>
                    <m:t>2</m:t>
                  </m:r>
                </m:sup>
              </m:sSup>
            </m:den>
          </m:f>
          <m:sSup>
            <m:sSupPr>
              <m:ctrlPr>
                <w:rPr>
                  <w:rFonts w:ascii="Cambria Math" w:hAnsi="Cambria Math"/>
                  <w:i/>
                  <w:sz w:val="24"/>
                  <w:szCs w:val="24"/>
                </w:rPr>
              </m:ctrlPr>
            </m:sSupPr>
            <m:e>
              <m:r>
                <w:rPr>
                  <w:rFonts w:ascii="Cambria Math" w:hAnsi="Cambria Math"/>
                  <w:sz w:val="24"/>
                  <w:szCs w:val="24"/>
                </w:rPr>
                <m:t>exp</m:t>
              </m:r>
            </m:e>
            <m:sup>
              <m:d>
                <m:dPr>
                  <m:ctrlPr>
                    <w:rPr>
                      <w:rFonts w:ascii="Cambria Math" w:hAnsi="Cambria Math"/>
                      <w:i/>
                      <w:sz w:val="24"/>
                      <w:szCs w:val="24"/>
                    </w:rPr>
                  </m:ctrlPr>
                </m:dPr>
                <m:e>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p</m:t>
                          </m:r>
                        </m:sub>
                      </m:sSub>
                    </m:num>
                    <m:den>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air</m:t>
                          </m:r>
                        </m:sub>
                      </m:sSub>
                    </m:den>
                  </m:f>
                </m:e>
              </m:d>
            </m:sup>
          </m:sSup>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3</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p</m:t>
                  </m:r>
                </m:sub>
              </m:sSub>
            </m:den>
          </m:f>
          <m:sSup>
            <m:sSupPr>
              <m:ctrlPr>
                <w:rPr>
                  <w:rFonts w:ascii="Cambria Math" w:eastAsiaTheme="minorEastAsia" w:hAnsi="Cambria Math"/>
                  <w:i/>
                  <w:sz w:val="24"/>
                  <w:szCs w:val="24"/>
                </w:rPr>
              </m:ctrlPr>
            </m:sSupPr>
            <m:e>
              <m:r>
                <w:rPr>
                  <w:rFonts w:ascii="Cambria Math" w:eastAsiaTheme="minorEastAsia" w:hAnsi="Cambria Math"/>
                  <w:sz w:val="24"/>
                  <w:szCs w:val="24"/>
                </w:rPr>
                <m:t>exp</m:t>
              </m:r>
            </m:e>
            <m:sup>
              <m:d>
                <m:dPr>
                  <m:ctrlPr>
                    <w:rPr>
                      <w:rFonts w:ascii="Cambria Math" w:eastAsiaTheme="minorEastAsia" w:hAnsi="Cambria Math"/>
                      <w:i/>
                      <w:sz w:val="24"/>
                      <w:szCs w:val="24"/>
                    </w:rPr>
                  </m:ctrlPr>
                </m:dPr>
                <m:e>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p</m:t>
                          </m:r>
                        </m:sub>
                      </m:sSub>
                    </m:num>
                    <m:den>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air</m:t>
                          </m:r>
                        </m:sub>
                      </m:sSub>
                    </m:den>
                  </m:f>
                </m:e>
              </m:d>
            </m:sup>
          </m:sSup>
          <m:r>
            <w:rPr>
              <w:rFonts w:ascii="Cambria Math" w:eastAsiaTheme="minorEastAsia" w:hAnsi="Cambria Math"/>
              <w:sz w:val="24"/>
              <w:szCs w:val="24"/>
            </w:rPr>
            <m:t xml:space="preserve">                 (S8)</m:t>
          </m:r>
        </m:oMath>
      </m:oMathPara>
    </w:p>
    <w:p w14:paraId="09D6B4D0" w14:textId="77777777" w:rsidR="00F14334" w:rsidRDefault="00F14334" w:rsidP="00E251A2">
      <w:pPr>
        <w:ind w:firstLine="360"/>
      </w:pPr>
    </w:p>
    <w:p w14:paraId="0CE3418B" w14:textId="2FD7BB3D" w:rsidR="00F14334" w:rsidRDefault="00F14334" w:rsidP="00F71821">
      <w:pPr>
        <w:pStyle w:val="ListParagraph"/>
        <w:numPr>
          <w:ilvl w:val="1"/>
          <w:numId w:val="1"/>
        </w:numPr>
      </w:pPr>
      <w:r>
        <w:lastRenderedPageBreak/>
        <w:t>Volatility</w:t>
      </w:r>
    </w:p>
    <w:p w14:paraId="05562AE5" w14:textId="112A7F53" w:rsidR="00363977" w:rsidRDefault="00F14334" w:rsidP="00F14334">
      <w:pPr>
        <w:ind w:firstLine="360"/>
      </w:pPr>
      <w:r>
        <w:t xml:space="preserve">The </w:t>
      </w:r>
      <w:r w:rsidR="009E748F">
        <w:t>selected</w:t>
      </w:r>
      <w:r>
        <w:t xml:space="preserve"> size distribution tables (one for each charge) are the input to the experimental routines. The main routine queries the user for estimates of vapor pressure, surface tension, and accommodation coefficient. These values are placed within each </w:t>
      </w:r>
      <w:r w:rsidR="009E748F">
        <w:t xml:space="preserve">selected </w:t>
      </w:r>
      <w:r>
        <w:t xml:space="preserve">size distribution table (one table for each charge). Therefore, the contents of each table are the bin diameter, the mobility, the population in </w:t>
      </w:r>
      <w:proofErr w:type="spellStart"/>
      <w:r w:rsidR="00CA66FB">
        <w:rPr>
          <w:rFonts w:ascii="Cambria Math" w:hAnsi="Cambria Math"/>
          <w:i/>
        </w:rPr>
        <w:t>dN</w:t>
      </w:r>
      <w:proofErr w:type="spellEnd"/>
      <w:r w:rsidR="00CA66FB">
        <w:rPr>
          <w:rFonts w:ascii="Cambria Math" w:hAnsi="Cambria Math"/>
          <w:i/>
        </w:rPr>
        <w:t>/</w:t>
      </w:r>
      <w:proofErr w:type="spellStart"/>
      <w:r w:rsidR="00CA66FB">
        <w:rPr>
          <w:rFonts w:ascii="Cambria Math" w:hAnsi="Cambria Math"/>
          <w:i/>
        </w:rPr>
        <w:t>dD</w:t>
      </w:r>
      <w:r w:rsidRPr="00F14334">
        <w:rPr>
          <w:rFonts w:ascii="Cambria Math" w:hAnsi="Cambria Math"/>
          <w:i/>
          <w:vertAlign w:val="subscript"/>
        </w:rPr>
        <w:t>p</w:t>
      </w:r>
      <w:proofErr w:type="spellEnd"/>
      <w:r>
        <w:t xml:space="preserve">, the vapor pressure, surface tension, and accommodation coefficient. The experimental subroutine must accept this data format for </w:t>
      </w:r>
      <w:r w:rsidR="0099586D">
        <w:t>calculation and</w:t>
      </w:r>
      <w:r>
        <w:t xml:space="preserve"> must return the experimental size distribution in the same format. The volatility calculation creates many temporary size distributions as we will see. The combination of the number of temporary size distributions and return data format requires a data reduction routine.   </w:t>
      </w:r>
    </w:p>
    <w:p w14:paraId="55B84BE9" w14:textId="48D9B7DE" w:rsidR="00F14334" w:rsidRDefault="003B7B17" w:rsidP="00F14334">
      <w:pPr>
        <w:ind w:firstLine="360"/>
      </w:pPr>
      <w:r w:rsidRPr="003B7B17">
        <w:t xml:space="preserve">The experimental subroutine first converts the </w:t>
      </w:r>
      <w:r w:rsidR="009E748F">
        <w:t xml:space="preserve">selected </w:t>
      </w:r>
      <w:r w:rsidRPr="003B7B17">
        <w:t xml:space="preserve">size distribution from </w:t>
      </w:r>
      <w:proofErr w:type="spellStart"/>
      <w:r w:rsidR="00CA66FB">
        <w:rPr>
          <w:rFonts w:ascii="Cambria Math" w:hAnsi="Cambria Math"/>
          <w:i/>
        </w:rPr>
        <w:t>dN</w:t>
      </w:r>
      <w:proofErr w:type="spellEnd"/>
      <w:r w:rsidR="00CA66FB">
        <w:rPr>
          <w:rFonts w:ascii="Cambria Math" w:hAnsi="Cambria Math"/>
          <w:i/>
        </w:rPr>
        <w:t>/</w:t>
      </w:r>
      <w:proofErr w:type="spellStart"/>
      <w:r w:rsidR="00CA66FB">
        <w:rPr>
          <w:rFonts w:ascii="Cambria Math" w:hAnsi="Cambria Math"/>
          <w:i/>
        </w:rPr>
        <w:t>dD</w:t>
      </w:r>
      <w:r w:rsidRPr="003B7B17">
        <w:rPr>
          <w:rFonts w:ascii="Cambria Math" w:hAnsi="Cambria Math"/>
          <w:i/>
          <w:vertAlign w:val="subscript"/>
        </w:rPr>
        <w:t>p</w:t>
      </w:r>
      <w:proofErr w:type="spellEnd"/>
      <w:r w:rsidRPr="003B7B17">
        <w:t xml:space="preserve"> to absolute particle counts. TAO moves from the smallest diameter to the largest, and each bin diameter is used as limits in an integral by trapezoidal rule. This integrated absolute particle count is then assigned to a new bin diameter that is assumed as the midpoint between the two previous bin diameters. For example, we assume two subsequent bins of 150 nm and 152 nm. The 150 nm bin has a size distribution of 100 #/cc/nm, and the 152 nm bin has a size distribution of 110 #/cc/nm. The new bin would have a size of 151 nm with an absolute population of 210 #/cc. The smallest bin and the largest bin are assumed to have a particle count of zero. This method will result with one more bin than the original count of </w:t>
      </w:r>
      <w:r w:rsidR="009E748F">
        <w:t>selected size distribution</w:t>
      </w:r>
      <w:r w:rsidRPr="003B7B17">
        <w:t xml:space="preserve"> bins.</w:t>
      </w:r>
    </w:p>
    <w:p w14:paraId="1A4516BE" w14:textId="04DCFC12" w:rsidR="003B7B17" w:rsidRDefault="003B7B17" w:rsidP="00F14334">
      <w:pPr>
        <w:ind w:firstLine="360"/>
      </w:pPr>
      <w:r w:rsidRPr="003B7B17">
        <w:t>Th</w:t>
      </w:r>
      <w:r>
        <w:t>en the volatility routine uses E</w:t>
      </w:r>
      <w:r w:rsidRPr="003B7B17">
        <w:t>quation</w:t>
      </w:r>
      <w:r w:rsidR="00C14977">
        <w:t>s</w:t>
      </w:r>
      <w:r w:rsidRPr="003B7B17">
        <w:t xml:space="preserve"> </w:t>
      </w:r>
      <w:r w:rsidR="00DB5B4B">
        <w:t>S</w:t>
      </w:r>
      <w:r w:rsidR="009E748F">
        <w:t>9</w:t>
      </w:r>
      <w:r w:rsidRPr="003B7B17">
        <w:t xml:space="preserve">, </w:t>
      </w:r>
      <w:r w:rsidR="00DB5B4B">
        <w:t>S1</w:t>
      </w:r>
      <w:r w:rsidR="009E748F">
        <w:t>0</w:t>
      </w:r>
      <w:r w:rsidRPr="003B7B17">
        <w:t xml:space="preserve">, and </w:t>
      </w:r>
      <w:r w:rsidR="00DB5B4B">
        <w:t>S1</w:t>
      </w:r>
      <w:r w:rsidR="009E748F">
        <w:t>1</w:t>
      </w:r>
      <w:r w:rsidRPr="003B7B17">
        <w:t xml:space="preserve"> to </w:t>
      </w:r>
      <w:r w:rsidR="00427637">
        <w:t xml:space="preserve">model the </w:t>
      </w:r>
      <w:r w:rsidRPr="003B7B17">
        <w:t>evaporat</w:t>
      </w:r>
      <w:r w:rsidR="00427637">
        <w:t>ion</w:t>
      </w:r>
      <w:r w:rsidRPr="003B7B17">
        <w:t xml:space="preserve"> </w:t>
      </w:r>
      <w:r w:rsidR="00427637">
        <w:t xml:space="preserve">of </w:t>
      </w:r>
      <w:r w:rsidRPr="003B7B17">
        <w:t xml:space="preserve">the </w:t>
      </w:r>
      <w:r w:rsidR="009E748F">
        <w:t>selected size distribution</w:t>
      </w:r>
      <w:r>
        <w:t xml:space="preserve"> </w:t>
      </w:r>
      <w:r>
        <w:fldChar w:fldCharType="begin"/>
      </w:r>
      <w:r>
        <w:instrText xml:space="preserve"> ADDIN EN.CITE &lt;EndNote&gt;&lt;Cite&gt;&lt;Author&gt;Bilde&lt;/Author&gt;&lt;Year&gt;2003&lt;/Year&gt;&lt;RecNum&gt;643&lt;/RecNum&gt;&lt;DisplayText&gt;(Bilde et al. 2003)&lt;/DisplayText&gt;&lt;record&gt;&lt;rec-number&gt;643&lt;/rec-number&gt;&lt;foreign-keys&gt;&lt;key app="EN" db-id="r99eafwtqexr2ker550xv5962er5200sdxep"&gt;643&lt;/key&gt;&lt;/foreign-keys&gt;&lt;ref-type name="Journal Article"&gt;17&lt;/ref-type&gt;&lt;contributors&gt;&lt;authors&gt;&lt;author&gt;Bilde, M.&lt;/author&gt;&lt;author&gt;Svenningsson, B.&lt;/author&gt;&lt;author&gt;Monster, J.&lt;/author&gt;&lt;author&gt;Rosenorn, T.&lt;/author&gt;&lt;/authors&gt;&lt;/contributors&gt;&lt;auth-address&gt;Bilde, M&amp;#xD;Univ Copenhagen, Dept Chem, Univ Pk 5, DK-2100 Copenhagen, Denmark&amp;#xD;Univ Copenhagen, Dept Chem, Univ Pk 5, DK-2100 Copenhagen, Denmark&amp;#xD;Univ Copenhagen, Dept Chem, DK-2100 Copenhagen, Denmark&lt;/auth-address&gt;&lt;titles&gt;&lt;title&gt;Even-odd alternation of evaporation rates and vapor pressures of C3-C9 dicarboxylic acid aerosols&lt;/title&gt;&lt;secondary-title&gt;Environmental Science &amp;amp; Technology&lt;/secondary-title&gt;&lt;alt-title&gt;Environ Sci Technol&lt;/alt-title&gt;&lt;/titles&gt;&lt;periodical&gt;&lt;full-title&gt;Environmental Science &amp;amp; Technology&lt;/full-title&gt;&lt;abbr-1&gt;Environ Sci Technol&lt;/abbr-1&gt;&lt;/periodical&gt;&lt;alt-periodical&gt;&lt;full-title&gt;Environmental Science &amp;amp; Technology&lt;/full-title&gt;&lt;abbr-1&gt;Environ Sci Technol&lt;/abbr-1&gt;&lt;/alt-periodical&gt;&lt;pages&gt;1371-1378&lt;/pages&gt;&lt;volume&gt;37&lt;/volume&gt;&lt;number&gt;7&lt;/number&gt;&lt;keywords&gt;&lt;keyword&gt;melting-point alternation&lt;/keyword&gt;&lt;keyword&gt;differential mobility analyzer&lt;/keyword&gt;&lt;keyword&gt;airborne particulate matter&lt;/keyword&gt;&lt;keyword&gt;secondary organic aerosol&lt;/keyword&gt;&lt;keyword&gt;mass accommodation&lt;/keyword&gt;&lt;keyword&gt;urban atmosphere&lt;/keyword&gt;&lt;keyword&gt;absorption-model&lt;/keyword&gt;&lt;keyword&gt;gas&lt;/keyword&gt;&lt;keyword&gt;identification&lt;/keyword&gt;&lt;keyword&gt;products&lt;/keyword&gt;&lt;/keywords&gt;&lt;dates&gt;&lt;year&gt;2003&lt;/year&gt;&lt;pub-dates&gt;&lt;date&gt;Apr 1&lt;/date&gt;&lt;/pub-dates&gt;&lt;/dates&gt;&lt;isbn&gt;0013-936X&lt;/isbn&gt;&lt;accession-num&gt;WOS:000181977000044&lt;/accession-num&gt;&lt;urls&gt;&lt;related-urls&gt;&lt;url&gt;&amp;lt;Go to ISI&amp;gt;://WOS:000181977000044&lt;/url&gt;&lt;/related-urls&gt;&lt;/urls&gt;&lt;electronic-resource-num&gt;Doi 10.1021/Es0201810&lt;/electronic-resource-num&gt;&lt;language&gt;English&lt;/language&gt;&lt;/record&gt;&lt;/Cite&gt;&lt;/EndNote&gt;</w:instrText>
      </w:r>
      <w:r>
        <w:fldChar w:fldCharType="separate"/>
      </w:r>
      <w:r>
        <w:rPr>
          <w:noProof/>
        </w:rPr>
        <w:t>(</w:t>
      </w:r>
      <w:hyperlink w:anchor="_ENREF_3" w:tooltip="Bilde, 2003 #643" w:history="1">
        <w:r w:rsidR="0055410F">
          <w:rPr>
            <w:noProof/>
          </w:rPr>
          <w:t>Bilde et al. 2003</w:t>
        </w:r>
      </w:hyperlink>
      <w:r>
        <w:rPr>
          <w:noProof/>
        </w:rPr>
        <w:t>)</w:t>
      </w:r>
      <w:r>
        <w:fldChar w:fldCharType="end"/>
      </w:r>
      <w:r w:rsidRPr="003B7B17">
        <w:t xml:space="preserve">. Particle diameter is </w:t>
      </w:r>
      <w:proofErr w:type="spellStart"/>
      <w:r w:rsidR="00CA66FB">
        <w:rPr>
          <w:rFonts w:ascii="Cambria Math" w:hAnsi="Cambria Math"/>
          <w:i/>
        </w:rPr>
        <w:t>D</w:t>
      </w:r>
      <w:r w:rsidRPr="003B7B17">
        <w:rPr>
          <w:rFonts w:ascii="Cambria Math" w:hAnsi="Cambria Math"/>
          <w:i/>
          <w:vertAlign w:val="subscript"/>
        </w:rPr>
        <w:t>p</w:t>
      </w:r>
      <w:proofErr w:type="spellEnd"/>
      <w:r w:rsidRPr="003B7B17">
        <w:t xml:space="preserve"> (</w:t>
      </w:r>
      <w:r w:rsidR="00C614D6" w:rsidRPr="00C614D6">
        <w:rPr>
          <w:rFonts w:ascii="Cambria Math" w:hAnsi="Cambria Math"/>
          <w:i/>
        </w:rPr>
        <w:t>0</w:t>
      </w:r>
      <w:r w:rsidRPr="003B7B17">
        <w:t xml:space="preserve">  and </w:t>
      </w:r>
      <w:r w:rsidRPr="003B7B17">
        <w:rPr>
          <w:rFonts w:ascii="Cambria Math" w:hAnsi="Cambria Math"/>
          <w:i/>
        </w:rPr>
        <w:t>f</w:t>
      </w:r>
      <w:r w:rsidRPr="003B7B17">
        <w:t xml:space="preserve">  subscripts are initial and final respectively), </w:t>
      </w:r>
      <w:r w:rsidRPr="003B7B17">
        <w:rPr>
          <w:rFonts w:ascii="Cambria Math" w:hAnsi="Cambria Math"/>
          <w:i/>
        </w:rPr>
        <w:t>F</w:t>
      </w:r>
      <w:r w:rsidRPr="003B7B17">
        <w:t xml:space="preserve"> is the transition regime correction factor, </w:t>
      </w:r>
      <w:proofErr w:type="spellStart"/>
      <w:r w:rsidRPr="003B7B17">
        <w:rPr>
          <w:rFonts w:ascii="Cambria Math" w:hAnsi="Cambria Math"/>
          <w:i/>
        </w:rPr>
        <w:t>Kn</w:t>
      </w:r>
      <w:r w:rsidRPr="003B7B17">
        <w:rPr>
          <w:rFonts w:ascii="Cambria Math" w:hAnsi="Cambria Math"/>
          <w:i/>
          <w:vertAlign w:val="subscript"/>
        </w:rPr>
        <w:t>i</w:t>
      </w:r>
      <w:proofErr w:type="spellEnd"/>
      <w:r w:rsidRPr="003B7B17">
        <w:t xml:space="preserve"> is the Knudsen number of gas species </w:t>
      </w:r>
      <w:proofErr w:type="spellStart"/>
      <w:r w:rsidRPr="003B7B17">
        <w:rPr>
          <w:rFonts w:ascii="Cambria Math" w:hAnsi="Cambria Math"/>
          <w:i/>
        </w:rPr>
        <w:t>i</w:t>
      </w:r>
      <w:proofErr w:type="spellEnd"/>
      <w:r w:rsidRPr="003B7B17">
        <w:t xml:space="preserve">, </w:t>
      </w:r>
      <w:r w:rsidRPr="003B7B17">
        <w:rPr>
          <w:rFonts w:ascii="Cambria Math" w:hAnsi="Cambria Math"/>
          <w:i/>
        </w:rPr>
        <w:t>α</w:t>
      </w:r>
      <w:proofErr w:type="spellStart"/>
      <w:r w:rsidRPr="003B7B17">
        <w:rPr>
          <w:rFonts w:ascii="Cambria Math" w:hAnsi="Cambria Math"/>
          <w:i/>
          <w:vertAlign w:val="subscript"/>
        </w:rPr>
        <w:t>i</w:t>
      </w:r>
      <w:proofErr w:type="spellEnd"/>
      <w:r w:rsidRPr="003B7B17">
        <w:t xml:space="preserve"> is the accommodation coefficient for gas species </w:t>
      </w:r>
      <w:proofErr w:type="spellStart"/>
      <w:r w:rsidRPr="003B7B17">
        <w:rPr>
          <w:rFonts w:ascii="Cambria Math" w:hAnsi="Cambria Math"/>
          <w:i/>
        </w:rPr>
        <w:t>i</w:t>
      </w:r>
      <w:proofErr w:type="spellEnd"/>
      <w:r w:rsidRPr="003B7B17">
        <w:t xml:space="preserve">, </w:t>
      </w:r>
      <w:proofErr w:type="spellStart"/>
      <w:r w:rsidRPr="003B7B17">
        <w:rPr>
          <w:rFonts w:ascii="Cambria Math" w:hAnsi="Cambria Math"/>
          <w:i/>
        </w:rPr>
        <w:t>σ</w:t>
      </w:r>
      <w:r w:rsidRPr="003B7B17">
        <w:rPr>
          <w:rFonts w:ascii="Cambria Math" w:hAnsi="Cambria Math"/>
          <w:i/>
          <w:vertAlign w:val="subscript"/>
        </w:rPr>
        <w:t>i</w:t>
      </w:r>
      <w:proofErr w:type="spellEnd"/>
      <w:r w:rsidRPr="003B7B17">
        <w:t xml:space="preserve"> is the surface tension, </w:t>
      </w:r>
      <w:r w:rsidRPr="003B7B17">
        <w:rPr>
          <w:rFonts w:ascii="Cambria Math" w:hAnsi="Cambria Math"/>
          <w:i/>
        </w:rPr>
        <w:t>M</w:t>
      </w:r>
      <w:r w:rsidRPr="003B7B17">
        <w:rPr>
          <w:rFonts w:ascii="Cambria Math" w:hAnsi="Cambria Math"/>
          <w:i/>
          <w:vertAlign w:val="subscript"/>
        </w:rPr>
        <w:t>i</w:t>
      </w:r>
      <w:r w:rsidRPr="003B7B17">
        <w:t xml:space="preserve"> is the molecular weight of species </w:t>
      </w:r>
      <w:proofErr w:type="spellStart"/>
      <w:r w:rsidRPr="003B7B17">
        <w:rPr>
          <w:rFonts w:ascii="Cambria Math" w:hAnsi="Cambria Math"/>
          <w:i/>
        </w:rPr>
        <w:t>i</w:t>
      </w:r>
      <w:proofErr w:type="spellEnd"/>
      <w:r w:rsidRPr="003B7B17">
        <w:t xml:space="preserve">, </w:t>
      </w:r>
      <w:r w:rsidRPr="003B7B17">
        <w:rPr>
          <w:rFonts w:ascii="Cambria Math" w:hAnsi="Cambria Math"/>
          <w:i/>
        </w:rPr>
        <w:t>R</w:t>
      </w:r>
      <w:r w:rsidRPr="003B7B17">
        <w:t xml:space="preserve"> is the gas constant, </w:t>
      </w:r>
      <w:r w:rsidRPr="003B7B17">
        <w:rPr>
          <w:rFonts w:ascii="Cambria Math" w:hAnsi="Cambria Math"/>
          <w:i/>
        </w:rPr>
        <w:t>T</w:t>
      </w:r>
      <w:r w:rsidRPr="003B7B17">
        <w:t xml:space="preserve"> is the temperature of the oven, </w:t>
      </w:r>
      <w:proofErr w:type="spellStart"/>
      <w:r w:rsidRPr="003B7B17">
        <w:rPr>
          <w:rFonts w:ascii="Cambria Math" w:hAnsi="Cambria Math"/>
          <w:i/>
        </w:rPr>
        <w:t>ρ</w:t>
      </w:r>
      <w:r w:rsidRPr="003B7B17">
        <w:rPr>
          <w:rFonts w:ascii="Cambria Math" w:hAnsi="Cambria Math"/>
          <w:i/>
          <w:vertAlign w:val="subscript"/>
        </w:rPr>
        <w:t>i</w:t>
      </w:r>
      <w:proofErr w:type="spellEnd"/>
      <w:r w:rsidRPr="003B7B17">
        <w:t xml:space="preserve"> is the density of the condensed phase, </w:t>
      </w:r>
      <w:r w:rsidRPr="003B7B17">
        <w:rPr>
          <w:rFonts w:ascii="Cambria Math" w:hAnsi="Cambria Math"/>
          <w:i/>
        </w:rPr>
        <w:t>P*</w:t>
      </w:r>
      <w:r w:rsidRPr="003B7B17">
        <w:t xml:space="preserve"> is the vapor pressure of species </w:t>
      </w:r>
      <w:proofErr w:type="spellStart"/>
      <w:r w:rsidRPr="003B7B17">
        <w:rPr>
          <w:rFonts w:ascii="Cambria Math" w:hAnsi="Cambria Math"/>
          <w:i/>
        </w:rPr>
        <w:t>i</w:t>
      </w:r>
      <w:proofErr w:type="spellEnd"/>
      <w:r w:rsidRPr="003B7B17">
        <w:t xml:space="preserve">, </w:t>
      </w:r>
      <w:r w:rsidRPr="003B7B17">
        <w:rPr>
          <w:rFonts w:ascii="Cambria Math" w:hAnsi="Cambria Math"/>
          <w:i/>
        </w:rPr>
        <w:t>t</w:t>
      </w:r>
      <w:r w:rsidR="00C97DDF">
        <w:rPr>
          <w:rFonts w:ascii="Cambria Math" w:hAnsi="Cambria Math"/>
          <w:i/>
        </w:rPr>
        <w:t>’</w:t>
      </w:r>
      <w:r w:rsidRPr="003B7B17">
        <w:t xml:space="preserve"> is time, </w:t>
      </w:r>
      <w:proofErr w:type="spellStart"/>
      <w:r w:rsidRPr="003B7B17">
        <w:rPr>
          <w:rFonts w:ascii="Cambria Math" w:hAnsi="Cambria Math"/>
          <w:i/>
        </w:rPr>
        <w:t>D</w:t>
      </w:r>
      <w:r w:rsidRPr="003B7B17">
        <w:rPr>
          <w:rFonts w:ascii="Cambria Math" w:hAnsi="Cambria Math"/>
          <w:i/>
          <w:vertAlign w:val="subscript"/>
        </w:rPr>
        <w:t>i,air</w:t>
      </w:r>
      <w:proofErr w:type="spellEnd"/>
      <w:r w:rsidRPr="003B7B17">
        <w:t xml:space="preserve"> is the diffusivity of species </w:t>
      </w:r>
      <w:proofErr w:type="spellStart"/>
      <w:r w:rsidRPr="003B7B17">
        <w:rPr>
          <w:rFonts w:ascii="Cambria Math" w:hAnsi="Cambria Math"/>
          <w:i/>
        </w:rPr>
        <w:t>i</w:t>
      </w:r>
      <w:proofErr w:type="spellEnd"/>
      <w:r w:rsidRPr="003B7B17">
        <w:t xml:space="preserve"> in air, and </w:t>
      </w:r>
      <w:proofErr w:type="spellStart"/>
      <w:r w:rsidRPr="003B7B17">
        <w:rPr>
          <w:rFonts w:ascii="Cambria Math" w:hAnsi="Cambria Math"/>
          <w:i/>
        </w:rPr>
        <w:t>λ</w:t>
      </w:r>
      <w:r w:rsidRPr="003B7B17">
        <w:rPr>
          <w:rFonts w:ascii="Cambria Math" w:hAnsi="Cambria Math"/>
          <w:i/>
          <w:vertAlign w:val="subscript"/>
        </w:rPr>
        <w:t>i</w:t>
      </w:r>
      <w:proofErr w:type="spellEnd"/>
      <w:r w:rsidRPr="003B7B17">
        <w:t xml:space="preserve"> is the mean free path of species </w:t>
      </w:r>
      <w:proofErr w:type="spellStart"/>
      <w:r w:rsidRPr="003B7B17">
        <w:rPr>
          <w:rFonts w:ascii="Cambria Math" w:hAnsi="Cambria Math"/>
          <w:i/>
        </w:rPr>
        <w:t>i</w:t>
      </w:r>
      <w:proofErr w:type="spellEnd"/>
      <w:r w:rsidRPr="003B7B17">
        <w:t>. The Knudsen number is calculated by dividing 2 times the mean free path of species</w:t>
      </w:r>
      <w:r w:rsidRPr="003B7B17">
        <w:rPr>
          <w:rFonts w:ascii="Cambria Math" w:hAnsi="Cambria Math"/>
          <w:i/>
        </w:rPr>
        <w:t xml:space="preserve"> </w:t>
      </w:r>
      <w:proofErr w:type="spellStart"/>
      <w:r w:rsidRPr="003B7B17">
        <w:rPr>
          <w:rFonts w:ascii="Cambria Math" w:hAnsi="Cambria Math"/>
          <w:i/>
        </w:rPr>
        <w:t>i</w:t>
      </w:r>
      <w:proofErr w:type="spellEnd"/>
      <w:r w:rsidRPr="003B7B17">
        <w:t xml:space="preserve"> by the diameter of the particle. The mean free path of species </w:t>
      </w:r>
      <w:proofErr w:type="spellStart"/>
      <w:r w:rsidRPr="003B7B17">
        <w:rPr>
          <w:rFonts w:ascii="Cambria Math" w:hAnsi="Cambria Math"/>
          <w:i/>
        </w:rPr>
        <w:t>i</w:t>
      </w:r>
      <w:proofErr w:type="spellEnd"/>
      <w:r w:rsidR="002E3887">
        <w:t xml:space="preserve"> is calculated by E</w:t>
      </w:r>
      <w:r w:rsidR="00120C85">
        <w:t>quation S1</w:t>
      </w:r>
      <w:r w:rsidR="009E748F">
        <w:t>1</w:t>
      </w:r>
      <w:r w:rsidRPr="003B7B17">
        <w:t>.</w:t>
      </w:r>
    </w:p>
    <w:p w14:paraId="67863C7B" w14:textId="266F48F7" w:rsidR="003B7B17" w:rsidRDefault="003B7B17" w:rsidP="00F14334">
      <w:pPr>
        <w:ind w:firstLine="360"/>
      </w:pPr>
      <w:r w:rsidRPr="003B7B17">
        <w:t xml:space="preserve">There is not a single characteristic residence time but a distribution of residence times in the </w:t>
      </w:r>
      <w:r w:rsidR="00EB1772">
        <w:t xml:space="preserve">oven </w:t>
      </w:r>
      <w:r>
        <w:t xml:space="preserve">(see </w:t>
      </w:r>
      <w:r w:rsidRPr="003B7B17">
        <w:rPr>
          <w:i/>
        </w:rPr>
        <w:t>Supplemental Information</w:t>
      </w:r>
      <w:r>
        <w:t xml:space="preserve"> </w:t>
      </w:r>
      <w:r w:rsidRPr="003B7B17">
        <w:rPr>
          <w:i/>
        </w:rPr>
        <w:t>S</w:t>
      </w:r>
      <w:r w:rsidR="009E748F">
        <w:rPr>
          <w:i/>
        </w:rPr>
        <w:t>3</w:t>
      </w:r>
      <w:r>
        <w:t>)</w:t>
      </w:r>
      <w:r w:rsidRPr="003B7B17">
        <w:t>. Particles on the centerline of the tube will have a different residence time than those near the wall. Thus, fluid flow creates a distribution of residence times, and the distribution must be measured and entered as a discrete table. The format of the residence time distribution should be a vertical two column array of time and the cumulative distribution response</w:t>
      </w:r>
      <w:r w:rsidR="00981F40">
        <w:t xml:space="preserve"> (</w:t>
      </w:r>
      <w:proofErr w:type="spellStart"/>
      <w:r w:rsidR="00981F40">
        <w:t>fcurve</w:t>
      </w:r>
      <w:proofErr w:type="spellEnd"/>
      <w:r w:rsidR="00981F40">
        <w:t>)</w:t>
      </w:r>
      <w:r w:rsidRPr="003B7B17">
        <w:t xml:space="preserve"> associated with that time. For eac</w:t>
      </w:r>
      <w:r>
        <w:t>h</w:t>
      </w:r>
      <w:r w:rsidR="009E748F">
        <w:t xml:space="preserve"> selected</w:t>
      </w:r>
      <w:r>
        <w:t xml:space="preserve"> size distribution bin, E</w:t>
      </w:r>
      <w:r w:rsidRPr="003B7B17">
        <w:t>quation</w:t>
      </w:r>
      <w:r w:rsidR="00C14977">
        <w:t>s</w:t>
      </w:r>
      <w:r w:rsidRPr="003B7B17">
        <w:t xml:space="preserve"> </w:t>
      </w:r>
      <w:r w:rsidR="00120C85">
        <w:t>S</w:t>
      </w:r>
      <w:r w:rsidR="009E748F">
        <w:t>9</w:t>
      </w:r>
      <w:r w:rsidRPr="003B7B17">
        <w:t xml:space="preserve"> through </w:t>
      </w:r>
      <w:r w:rsidR="00120C85">
        <w:t>S</w:t>
      </w:r>
      <w:r w:rsidRPr="003B7B17">
        <w:t>1</w:t>
      </w:r>
      <w:r w:rsidR="009E748F">
        <w:t>1</w:t>
      </w:r>
      <w:r w:rsidRPr="003B7B17">
        <w:t xml:space="preserve"> </w:t>
      </w:r>
      <w:r w:rsidR="00500FD8">
        <w:t>are</w:t>
      </w:r>
      <w:r w:rsidRPr="003B7B17">
        <w:t xml:space="preserve"> used along with the residence time distribution to </w:t>
      </w:r>
      <w:r w:rsidR="00EB1772">
        <w:t xml:space="preserve">model the </w:t>
      </w:r>
      <w:r w:rsidRPr="003B7B17">
        <w:t>evaporat</w:t>
      </w:r>
      <w:r w:rsidR="00EB1772">
        <w:t>ion of</w:t>
      </w:r>
      <w:r w:rsidRPr="003B7B17">
        <w:t xml:space="preserve"> the particles. The output from this step is a set of </w:t>
      </w:r>
      <w:r w:rsidR="009E748F">
        <w:t xml:space="preserve">experimental </w:t>
      </w:r>
      <w:r w:rsidRPr="003B7B17">
        <w:t>size distributions: one size distribution (temporary table) for each residence time entry.</w:t>
      </w:r>
    </w:p>
    <w:p w14:paraId="23CB2323" w14:textId="77777777" w:rsidR="0014533C" w:rsidRDefault="0014533C" w:rsidP="00F14334">
      <w:pPr>
        <w:ind w:firstLine="360"/>
      </w:pPr>
    </w:p>
    <w:p w14:paraId="430FB122" w14:textId="14823336" w:rsidR="003B7B17" w:rsidRPr="002E3887" w:rsidRDefault="00DE2A2E" w:rsidP="00F14334">
      <w:pPr>
        <w:ind w:firstLine="360"/>
        <w:rPr>
          <w:rFonts w:eastAsiaTheme="minorEastAsia"/>
          <w:sz w:val="20"/>
        </w:rPr>
      </w:pPr>
      <m:oMathPara>
        <m:oMath>
          <m:nary>
            <m:naryPr>
              <m:limLoc m:val="subSup"/>
              <m:ctrlPr>
                <w:rPr>
                  <w:rFonts w:ascii="Cambria Math" w:hAnsi="Cambria Math"/>
                  <w:i/>
                  <w:sz w:val="20"/>
                </w:rPr>
              </m:ctrlPr>
            </m:naryPr>
            <m:sub>
              <m:sSub>
                <m:sSubPr>
                  <m:ctrlPr>
                    <w:rPr>
                      <w:rFonts w:ascii="Cambria Math" w:hAnsi="Cambria Math"/>
                      <w:i/>
                      <w:sz w:val="20"/>
                    </w:rPr>
                  </m:ctrlPr>
                </m:sSubPr>
                <m:e>
                  <m:r>
                    <w:rPr>
                      <w:rFonts w:ascii="Cambria Math" w:hAnsi="Cambria Math"/>
                      <w:sz w:val="20"/>
                    </w:rPr>
                    <m:t>D</m:t>
                  </m:r>
                </m:e>
                <m:sub>
                  <m:r>
                    <w:rPr>
                      <w:rFonts w:ascii="Cambria Math" w:hAnsi="Cambria Math"/>
                      <w:sz w:val="20"/>
                    </w:rPr>
                    <m:t>p,0</m:t>
                  </m:r>
                </m:sub>
              </m:sSub>
            </m:sub>
            <m:sup>
              <m:sSub>
                <m:sSubPr>
                  <m:ctrlPr>
                    <w:rPr>
                      <w:rFonts w:ascii="Cambria Math" w:hAnsi="Cambria Math"/>
                      <w:i/>
                      <w:sz w:val="20"/>
                    </w:rPr>
                  </m:ctrlPr>
                </m:sSubPr>
                <m:e>
                  <m:r>
                    <w:rPr>
                      <w:rFonts w:ascii="Cambria Math" w:hAnsi="Cambria Math"/>
                      <w:sz w:val="20"/>
                    </w:rPr>
                    <m:t>D</m:t>
                  </m:r>
                </m:e>
                <m:sub>
                  <m:r>
                    <w:rPr>
                      <w:rFonts w:ascii="Cambria Math" w:hAnsi="Cambria Math"/>
                      <w:sz w:val="20"/>
                    </w:rPr>
                    <m:t>p,f</m:t>
                  </m:r>
                </m:sub>
              </m:sSub>
            </m:sup>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D</m:t>
                      </m:r>
                    </m:e>
                    <m:sub>
                      <m:r>
                        <w:rPr>
                          <w:rFonts w:ascii="Cambria Math" w:hAnsi="Cambria Math"/>
                          <w:sz w:val="20"/>
                        </w:rPr>
                        <m:t>p</m:t>
                      </m:r>
                    </m:sub>
                  </m:sSub>
                </m:num>
                <m:den>
                  <m:r>
                    <w:rPr>
                      <w:rFonts w:ascii="Cambria Math" w:hAnsi="Cambria Math"/>
                      <w:sz w:val="20"/>
                    </w:rPr>
                    <m:t>F</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Kn</m:t>
                          </m:r>
                        </m:e>
                        <m:sub>
                          <m:r>
                            <w:rPr>
                              <w:rFonts w:ascii="Cambria Math" w:hAnsi="Cambria Math"/>
                              <w:sz w:val="20"/>
                            </w:rPr>
                            <m:t>i</m:t>
                          </m:r>
                        </m:sub>
                      </m:sSub>
                      <m:r>
                        <w:rPr>
                          <w:rFonts w:ascii="Cambria Math" w:hAnsi="Cambria Math"/>
                          <w:sz w:val="20"/>
                        </w:rPr>
                        <m:t>,</m:t>
                      </m:r>
                      <m:sSub>
                        <m:sSubPr>
                          <m:ctrlPr>
                            <w:rPr>
                              <w:rFonts w:ascii="Cambria Math" w:hAnsi="Cambria Math"/>
                              <w:i/>
                              <w:sz w:val="20"/>
                            </w:rPr>
                          </m:ctrlPr>
                        </m:sSubPr>
                        <m:e>
                          <m:r>
                            <w:rPr>
                              <w:rFonts w:ascii="Cambria Math" w:hAnsi="Cambria Math"/>
                              <w:sz w:val="20"/>
                            </w:rPr>
                            <m:t>α</m:t>
                          </m:r>
                        </m:e>
                        <m:sub>
                          <m:r>
                            <w:rPr>
                              <w:rFonts w:ascii="Cambria Math" w:hAnsi="Cambria Math"/>
                              <w:sz w:val="20"/>
                            </w:rPr>
                            <m:t>i</m:t>
                          </m:r>
                        </m:sub>
                      </m:sSub>
                    </m:e>
                  </m:d>
                </m:den>
              </m:f>
              <m:sSup>
                <m:sSupPr>
                  <m:ctrlPr>
                    <w:rPr>
                      <w:rFonts w:ascii="Cambria Math" w:hAnsi="Cambria Math"/>
                      <w:i/>
                      <w:sz w:val="20"/>
                    </w:rPr>
                  </m:ctrlPr>
                </m:sSupPr>
                <m:e>
                  <m:r>
                    <w:rPr>
                      <w:rFonts w:ascii="Cambria Math" w:hAnsi="Cambria Math"/>
                      <w:sz w:val="20"/>
                    </w:rPr>
                    <m:t>exp</m:t>
                  </m:r>
                </m:e>
                <m:sup>
                  <m:d>
                    <m:dPr>
                      <m:ctrlPr>
                        <w:rPr>
                          <w:rFonts w:ascii="Cambria Math" w:hAnsi="Cambria Math"/>
                          <w:i/>
                          <w:sz w:val="20"/>
                        </w:rPr>
                      </m:ctrlPr>
                    </m:dPr>
                    <m:e>
                      <m:f>
                        <m:fPr>
                          <m:ctrlPr>
                            <w:rPr>
                              <w:rFonts w:ascii="Cambria Math" w:hAnsi="Cambria Math"/>
                              <w:i/>
                              <w:sz w:val="20"/>
                            </w:rPr>
                          </m:ctrlPr>
                        </m:fPr>
                        <m:num>
                          <m:r>
                            <w:rPr>
                              <w:rFonts w:ascii="Cambria Math" w:hAnsi="Cambria Math"/>
                              <w:sz w:val="20"/>
                            </w:rPr>
                            <m:t>4</m:t>
                          </m:r>
                          <m:sSub>
                            <m:sSubPr>
                              <m:ctrlPr>
                                <w:rPr>
                                  <w:rFonts w:ascii="Cambria Math" w:hAnsi="Cambria Math"/>
                                  <w:i/>
                                  <w:sz w:val="20"/>
                                </w:rPr>
                              </m:ctrlPr>
                            </m:sSubPr>
                            <m:e>
                              <m:r>
                                <w:rPr>
                                  <w:rFonts w:ascii="Cambria Math" w:hAnsi="Cambria Math"/>
                                  <w:sz w:val="20"/>
                                </w:rPr>
                                <m:t>σ</m:t>
                              </m:r>
                            </m:e>
                            <m:sub>
                              <m:r>
                                <w:rPr>
                                  <w:rFonts w:ascii="Cambria Math" w:hAnsi="Cambria Math"/>
                                  <w:sz w:val="20"/>
                                </w:rPr>
                                <m:t>i</m:t>
                              </m:r>
                            </m:sub>
                          </m:sSub>
                          <m:sSub>
                            <m:sSubPr>
                              <m:ctrlPr>
                                <w:rPr>
                                  <w:rFonts w:ascii="Cambria Math" w:hAnsi="Cambria Math"/>
                                  <w:i/>
                                  <w:sz w:val="20"/>
                                </w:rPr>
                              </m:ctrlPr>
                            </m:sSubPr>
                            <m:e>
                              <m:r>
                                <w:rPr>
                                  <w:rFonts w:ascii="Cambria Math" w:hAnsi="Cambria Math"/>
                                  <w:sz w:val="20"/>
                                </w:rPr>
                                <m:t>M</m:t>
                              </m:r>
                            </m:e>
                            <m:sub>
                              <m:r>
                                <w:rPr>
                                  <w:rFonts w:ascii="Cambria Math" w:hAnsi="Cambria Math"/>
                                  <w:sz w:val="20"/>
                                </w:rPr>
                                <m:t>i</m:t>
                              </m:r>
                            </m:sub>
                          </m:sSub>
                        </m:num>
                        <m:den>
                          <m:r>
                            <w:rPr>
                              <w:rFonts w:ascii="Cambria Math" w:hAnsi="Cambria Math"/>
                              <w:sz w:val="20"/>
                            </w:rPr>
                            <m:t>RT</m:t>
                          </m:r>
                          <m:sSub>
                            <m:sSubPr>
                              <m:ctrlPr>
                                <w:rPr>
                                  <w:rFonts w:ascii="Cambria Math" w:hAnsi="Cambria Math"/>
                                  <w:i/>
                                  <w:sz w:val="20"/>
                                </w:rPr>
                              </m:ctrlPr>
                            </m:sSubPr>
                            <m:e>
                              <m:r>
                                <w:rPr>
                                  <w:rFonts w:ascii="Cambria Math" w:hAnsi="Cambria Math"/>
                                  <w:sz w:val="20"/>
                                </w:rPr>
                                <m:t>ρ</m:t>
                              </m:r>
                            </m:e>
                            <m:sub>
                              <m:r>
                                <w:rPr>
                                  <w:rFonts w:ascii="Cambria Math" w:hAnsi="Cambria Math"/>
                                  <w:sz w:val="20"/>
                                </w:rPr>
                                <m:t>i</m:t>
                              </m:r>
                            </m:sub>
                          </m:sSub>
                          <m:sSub>
                            <m:sSubPr>
                              <m:ctrlPr>
                                <w:rPr>
                                  <w:rFonts w:ascii="Cambria Math" w:hAnsi="Cambria Math"/>
                                  <w:i/>
                                  <w:sz w:val="20"/>
                                </w:rPr>
                              </m:ctrlPr>
                            </m:sSubPr>
                            <m:e>
                              <m:r>
                                <w:rPr>
                                  <w:rFonts w:ascii="Cambria Math" w:hAnsi="Cambria Math"/>
                                  <w:sz w:val="20"/>
                                </w:rPr>
                                <m:t>D</m:t>
                              </m:r>
                            </m:e>
                            <m:sub>
                              <m:r>
                                <w:rPr>
                                  <w:rFonts w:ascii="Cambria Math" w:hAnsi="Cambria Math"/>
                                  <w:sz w:val="20"/>
                                </w:rPr>
                                <m:t>p</m:t>
                              </m:r>
                            </m:sub>
                          </m:sSub>
                        </m:den>
                      </m:f>
                    </m:e>
                  </m:d>
                </m:sup>
              </m:sSup>
              <m:r>
                <w:rPr>
                  <w:rFonts w:ascii="Cambria Math" w:hAnsi="Cambria Math"/>
                  <w:sz w:val="20"/>
                </w:rPr>
                <m:t>d</m:t>
              </m:r>
              <m:sSub>
                <m:sSubPr>
                  <m:ctrlPr>
                    <w:rPr>
                      <w:rFonts w:ascii="Cambria Math" w:hAnsi="Cambria Math"/>
                      <w:i/>
                      <w:sz w:val="20"/>
                    </w:rPr>
                  </m:ctrlPr>
                </m:sSubPr>
                <m:e>
                  <m:r>
                    <w:rPr>
                      <w:rFonts w:ascii="Cambria Math" w:hAnsi="Cambria Math"/>
                      <w:sz w:val="20"/>
                    </w:rPr>
                    <m:t>D</m:t>
                  </m:r>
                </m:e>
                <m:sub>
                  <m:r>
                    <w:rPr>
                      <w:rFonts w:ascii="Cambria Math" w:hAnsi="Cambria Math"/>
                      <w:sz w:val="20"/>
                    </w:rPr>
                    <m:t>p</m:t>
                  </m:r>
                </m:sub>
              </m:sSub>
            </m:e>
          </m:nary>
          <m:r>
            <w:rPr>
              <w:rFonts w:ascii="Cambria Math" w:eastAsiaTheme="minorEastAsia" w:hAnsi="Cambria Math"/>
              <w:sz w:val="20"/>
            </w:rPr>
            <m:t>=-</m:t>
          </m:r>
          <m:f>
            <m:fPr>
              <m:ctrlPr>
                <w:rPr>
                  <w:rFonts w:ascii="Cambria Math" w:eastAsiaTheme="minorEastAsia" w:hAnsi="Cambria Math"/>
                  <w:i/>
                  <w:sz w:val="20"/>
                </w:rPr>
              </m:ctrlPr>
            </m:fPr>
            <m:num>
              <m:r>
                <w:rPr>
                  <w:rFonts w:ascii="Cambria Math" w:eastAsiaTheme="minorEastAsia" w:hAnsi="Cambria Math"/>
                  <w:sz w:val="20"/>
                </w:rPr>
                <m:t>4</m:t>
              </m:r>
              <m:sSub>
                <m:sSubPr>
                  <m:ctrlPr>
                    <w:rPr>
                      <w:rFonts w:ascii="Cambria Math" w:eastAsiaTheme="minorEastAsia" w:hAnsi="Cambria Math"/>
                      <w:i/>
                      <w:sz w:val="20"/>
                    </w:rPr>
                  </m:ctrlPr>
                </m:sSubPr>
                <m:e>
                  <m:r>
                    <w:rPr>
                      <w:rFonts w:ascii="Cambria Math" w:eastAsiaTheme="minorEastAsia" w:hAnsi="Cambria Math"/>
                      <w:sz w:val="20"/>
                    </w:rPr>
                    <m:t>D</m:t>
                  </m:r>
                </m:e>
                <m:sub>
                  <m:r>
                    <w:rPr>
                      <w:rFonts w:ascii="Cambria Math" w:eastAsiaTheme="minorEastAsia" w:hAnsi="Cambria Math"/>
                      <w:sz w:val="20"/>
                    </w:rPr>
                    <m:t>i,air</m:t>
                  </m:r>
                </m:sub>
              </m:sSub>
              <m:sSub>
                <m:sSubPr>
                  <m:ctrlPr>
                    <w:rPr>
                      <w:rFonts w:ascii="Cambria Math" w:eastAsiaTheme="minorEastAsia" w:hAnsi="Cambria Math"/>
                      <w:i/>
                      <w:sz w:val="20"/>
                    </w:rPr>
                  </m:ctrlPr>
                </m:sSubPr>
                <m:e>
                  <m:r>
                    <w:rPr>
                      <w:rFonts w:ascii="Cambria Math" w:eastAsiaTheme="minorEastAsia" w:hAnsi="Cambria Math"/>
                      <w:sz w:val="20"/>
                    </w:rPr>
                    <m:t>M</m:t>
                  </m:r>
                </m:e>
                <m:sub>
                  <m:r>
                    <w:rPr>
                      <w:rFonts w:ascii="Cambria Math" w:eastAsiaTheme="minorEastAsia" w:hAnsi="Cambria Math"/>
                      <w:sz w:val="20"/>
                    </w:rPr>
                    <m:t>i</m:t>
                  </m:r>
                </m:sub>
              </m:sSub>
              <m:sSup>
                <m:sSupPr>
                  <m:ctrlPr>
                    <w:rPr>
                      <w:rFonts w:ascii="Cambria Math" w:eastAsiaTheme="minorEastAsia" w:hAnsi="Cambria Math"/>
                      <w:i/>
                      <w:sz w:val="20"/>
                    </w:rPr>
                  </m:ctrlPr>
                </m:sSupPr>
                <m:e>
                  <m:r>
                    <w:rPr>
                      <w:rFonts w:ascii="Cambria Math" w:eastAsiaTheme="minorEastAsia" w:hAnsi="Cambria Math"/>
                      <w:sz w:val="20"/>
                    </w:rPr>
                    <m:t>P</m:t>
                  </m:r>
                </m:e>
                <m:sup>
                  <m:r>
                    <w:rPr>
                      <w:rFonts w:ascii="Cambria Math" w:eastAsiaTheme="minorEastAsia" w:hAnsi="Cambria Math"/>
                      <w:sz w:val="20"/>
                    </w:rPr>
                    <m:t>*</m:t>
                  </m:r>
                </m:sup>
              </m:sSup>
              <m:r>
                <w:rPr>
                  <w:rFonts w:ascii="Cambria Math" w:eastAsiaTheme="minorEastAsia" w:hAnsi="Cambria Math"/>
                  <w:sz w:val="20"/>
                </w:rPr>
                <m:t>∆</m:t>
              </m:r>
              <m:sSup>
                <m:sSupPr>
                  <m:ctrlPr>
                    <w:rPr>
                      <w:rFonts w:ascii="Cambria Math" w:eastAsiaTheme="minorEastAsia" w:hAnsi="Cambria Math"/>
                      <w:i/>
                      <w:sz w:val="20"/>
                    </w:rPr>
                  </m:ctrlPr>
                </m:sSupPr>
                <m:e>
                  <m:r>
                    <w:rPr>
                      <w:rFonts w:ascii="Cambria Math" w:eastAsiaTheme="minorEastAsia" w:hAnsi="Cambria Math"/>
                      <w:sz w:val="20"/>
                    </w:rPr>
                    <m:t>t</m:t>
                  </m:r>
                </m:e>
                <m:sup>
                  <m:r>
                    <w:rPr>
                      <w:rFonts w:ascii="Cambria Math" w:eastAsiaTheme="minorEastAsia" w:hAnsi="Cambria Math"/>
                      <w:sz w:val="20"/>
                    </w:rPr>
                    <m:t>'</m:t>
                  </m:r>
                </m:sup>
              </m:sSup>
            </m:num>
            <m:den>
              <m:sSub>
                <m:sSubPr>
                  <m:ctrlPr>
                    <w:rPr>
                      <w:rFonts w:ascii="Cambria Math" w:eastAsiaTheme="minorEastAsia" w:hAnsi="Cambria Math"/>
                      <w:i/>
                      <w:sz w:val="20"/>
                    </w:rPr>
                  </m:ctrlPr>
                </m:sSubPr>
                <m:e>
                  <m:r>
                    <w:rPr>
                      <w:rFonts w:ascii="Cambria Math" w:eastAsiaTheme="minorEastAsia" w:hAnsi="Cambria Math"/>
                      <w:sz w:val="20"/>
                    </w:rPr>
                    <m:t>ρ</m:t>
                  </m:r>
                </m:e>
                <m:sub>
                  <m:r>
                    <w:rPr>
                      <w:rFonts w:ascii="Cambria Math" w:eastAsiaTheme="minorEastAsia" w:hAnsi="Cambria Math"/>
                      <w:sz w:val="20"/>
                    </w:rPr>
                    <m:t>i</m:t>
                  </m:r>
                </m:sub>
              </m:sSub>
              <m:r>
                <w:rPr>
                  <w:rFonts w:ascii="Cambria Math" w:eastAsiaTheme="minorEastAsia" w:hAnsi="Cambria Math"/>
                  <w:sz w:val="20"/>
                </w:rPr>
                <m:t>RT</m:t>
              </m:r>
            </m:den>
          </m:f>
          <m:r>
            <w:rPr>
              <w:rFonts w:ascii="Cambria Math" w:eastAsiaTheme="minorEastAsia" w:hAnsi="Cambria Math"/>
              <w:sz w:val="20"/>
            </w:rPr>
            <m:t xml:space="preserve">                                   (S9)</m:t>
          </m:r>
        </m:oMath>
      </m:oMathPara>
    </w:p>
    <w:p w14:paraId="4C0B40C3" w14:textId="7FDE69BC" w:rsidR="002E3887" w:rsidRPr="002E3887" w:rsidRDefault="002E3887" w:rsidP="00F14334">
      <w:pPr>
        <w:ind w:firstLine="360"/>
        <w:rPr>
          <w:rFonts w:eastAsiaTheme="minorEastAsia"/>
          <w:sz w:val="20"/>
        </w:rPr>
      </w:pPr>
      <m:oMathPara>
        <m:oMath>
          <m:r>
            <w:rPr>
              <w:rFonts w:ascii="Cambria Math" w:hAnsi="Cambria Math"/>
              <w:sz w:val="20"/>
            </w:rPr>
            <w:lastRenderedPageBreak/>
            <m:t>F</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Kn</m:t>
                  </m:r>
                </m:e>
                <m:sub>
                  <m:r>
                    <w:rPr>
                      <w:rFonts w:ascii="Cambria Math" w:hAnsi="Cambria Math"/>
                      <w:sz w:val="20"/>
                    </w:rPr>
                    <m:t>i</m:t>
                  </m:r>
                </m:sub>
              </m:sSub>
              <m:r>
                <w:rPr>
                  <w:rFonts w:ascii="Cambria Math" w:hAnsi="Cambria Math"/>
                  <w:sz w:val="20"/>
                </w:rPr>
                <m:t>,</m:t>
              </m:r>
              <m:sSub>
                <m:sSubPr>
                  <m:ctrlPr>
                    <w:rPr>
                      <w:rFonts w:ascii="Cambria Math" w:hAnsi="Cambria Math"/>
                      <w:i/>
                      <w:sz w:val="20"/>
                    </w:rPr>
                  </m:ctrlPr>
                </m:sSubPr>
                <m:e>
                  <m:r>
                    <w:rPr>
                      <w:rFonts w:ascii="Cambria Math" w:hAnsi="Cambria Math"/>
                      <w:sz w:val="20"/>
                    </w:rPr>
                    <m:t>α</m:t>
                  </m:r>
                </m:e>
                <m:sub>
                  <m:r>
                    <w:rPr>
                      <w:rFonts w:ascii="Cambria Math" w:hAnsi="Cambria Math"/>
                      <w:sz w:val="20"/>
                    </w:rPr>
                    <m:t>i</m:t>
                  </m:r>
                </m:sub>
              </m:sSub>
            </m:e>
          </m:d>
          <m:r>
            <w:rPr>
              <w:rFonts w:ascii="Cambria Math" w:hAnsi="Cambria Math"/>
              <w:sz w:val="20"/>
            </w:rPr>
            <m:t>=</m:t>
          </m:r>
          <m:f>
            <m:fPr>
              <m:ctrlPr>
                <w:rPr>
                  <w:rFonts w:ascii="Cambria Math" w:hAnsi="Cambria Math"/>
                  <w:i/>
                  <w:sz w:val="20"/>
                </w:rPr>
              </m:ctrlPr>
            </m:fPr>
            <m:num>
              <m:r>
                <w:rPr>
                  <w:rFonts w:ascii="Cambria Math" w:hAnsi="Cambria Math"/>
                  <w:sz w:val="20"/>
                </w:rPr>
                <m:t>1+</m:t>
              </m:r>
              <m:sSub>
                <m:sSubPr>
                  <m:ctrlPr>
                    <w:rPr>
                      <w:rFonts w:ascii="Cambria Math" w:hAnsi="Cambria Math"/>
                      <w:i/>
                      <w:sz w:val="20"/>
                    </w:rPr>
                  </m:ctrlPr>
                </m:sSubPr>
                <m:e>
                  <m:r>
                    <w:rPr>
                      <w:rFonts w:ascii="Cambria Math" w:hAnsi="Cambria Math"/>
                      <w:sz w:val="20"/>
                    </w:rPr>
                    <m:t>Kn</m:t>
                  </m:r>
                </m:e>
                <m:sub>
                  <m:r>
                    <w:rPr>
                      <w:rFonts w:ascii="Cambria Math" w:hAnsi="Cambria Math"/>
                      <w:sz w:val="20"/>
                    </w:rPr>
                    <m:t>i</m:t>
                  </m:r>
                </m:sub>
              </m:sSub>
            </m:num>
            <m:den>
              <m:r>
                <w:rPr>
                  <w:rFonts w:ascii="Cambria Math" w:hAnsi="Cambria Math"/>
                  <w:sz w:val="20"/>
                </w:rPr>
                <m:t>1+0.3773</m:t>
              </m:r>
              <m:sSub>
                <m:sSubPr>
                  <m:ctrlPr>
                    <w:rPr>
                      <w:rFonts w:ascii="Cambria Math" w:hAnsi="Cambria Math"/>
                      <w:i/>
                      <w:sz w:val="20"/>
                    </w:rPr>
                  </m:ctrlPr>
                </m:sSubPr>
                <m:e>
                  <m:r>
                    <w:rPr>
                      <w:rFonts w:ascii="Cambria Math" w:hAnsi="Cambria Math"/>
                      <w:sz w:val="20"/>
                    </w:rPr>
                    <m:t>Kn</m:t>
                  </m:r>
                </m:e>
                <m:sub>
                  <m:r>
                    <w:rPr>
                      <w:rFonts w:ascii="Cambria Math" w:hAnsi="Cambria Math"/>
                      <w:sz w:val="20"/>
                    </w:rPr>
                    <m:t>i</m:t>
                  </m:r>
                </m:sub>
              </m:sSub>
              <m:r>
                <w:rPr>
                  <w:rFonts w:ascii="Cambria Math" w:hAnsi="Cambria Math"/>
                  <w:sz w:val="20"/>
                </w:rPr>
                <m:t>+</m:t>
              </m:r>
              <m:f>
                <m:fPr>
                  <m:ctrlPr>
                    <w:rPr>
                      <w:rFonts w:ascii="Cambria Math" w:hAnsi="Cambria Math"/>
                      <w:i/>
                      <w:sz w:val="20"/>
                    </w:rPr>
                  </m:ctrlPr>
                </m:fPr>
                <m:num>
                  <m:r>
                    <w:rPr>
                      <w:rFonts w:ascii="Cambria Math" w:hAnsi="Cambria Math"/>
                      <w:sz w:val="20"/>
                    </w:rPr>
                    <m:t>1.33</m:t>
                  </m:r>
                  <m:sSub>
                    <m:sSubPr>
                      <m:ctrlPr>
                        <w:rPr>
                          <w:rFonts w:ascii="Cambria Math" w:hAnsi="Cambria Math"/>
                          <w:i/>
                          <w:sz w:val="20"/>
                        </w:rPr>
                      </m:ctrlPr>
                    </m:sSubPr>
                    <m:e>
                      <m:r>
                        <w:rPr>
                          <w:rFonts w:ascii="Cambria Math" w:hAnsi="Cambria Math"/>
                          <w:sz w:val="20"/>
                        </w:rPr>
                        <m:t>Kn</m:t>
                      </m:r>
                    </m:e>
                    <m:sub>
                      <m:r>
                        <w:rPr>
                          <w:rFonts w:ascii="Cambria Math" w:hAnsi="Cambria Math"/>
                          <w:sz w:val="20"/>
                        </w:rPr>
                        <m:t>i</m:t>
                      </m:r>
                    </m:sub>
                  </m:sSub>
                  <m:d>
                    <m:dPr>
                      <m:ctrlPr>
                        <w:rPr>
                          <w:rFonts w:ascii="Cambria Math" w:hAnsi="Cambria Math"/>
                          <w:i/>
                          <w:sz w:val="20"/>
                        </w:rPr>
                      </m:ctrlPr>
                    </m:dPr>
                    <m:e>
                      <m:r>
                        <w:rPr>
                          <w:rFonts w:ascii="Cambria Math" w:hAnsi="Cambria Math"/>
                          <w:sz w:val="20"/>
                        </w:rPr>
                        <m:t>1+</m:t>
                      </m:r>
                      <m:sSub>
                        <m:sSubPr>
                          <m:ctrlPr>
                            <w:rPr>
                              <w:rFonts w:ascii="Cambria Math" w:hAnsi="Cambria Math"/>
                              <w:i/>
                              <w:sz w:val="20"/>
                            </w:rPr>
                          </m:ctrlPr>
                        </m:sSubPr>
                        <m:e>
                          <m:r>
                            <w:rPr>
                              <w:rFonts w:ascii="Cambria Math" w:hAnsi="Cambria Math"/>
                              <w:sz w:val="20"/>
                            </w:rPr>
                            <m:t>Kn</m:t>
                          </m:r>
                        </m:e>
                        <m:sub>
                          <m:r>
                            <w:rPr>
                              <w:rFonts w:ascii="Cambria Math" w:hAnsi="Cambria Math"/>
                              <w:sz w:val="20"/>
                            </w:rPr>
                            <m:t>i</m:t>
                          </m:r>
                        </m:sub>
                      </m:sSub>
                    </m:e>
                  </m:d>
                </m:num>
                <m:den>
                  <m:sSub>
                    <m:sSubPr>
                      <m:ctrlPr>
                        <w:rPr>
                          <w:rFonts w:ascii="Cambria Math" w:hAnsi="Cambria Math"/>
                          <w:i/>
                          <w:sz w:val="20"/>
                        </w:rPr>
                      </m:ctrlPr>
                    </m:sSubPr>
                    <m:e>
                      <m:r>
                        <w:rPr>
                          <w:rFonts w:ascii="Cambria Math" w:hAnsi="Cambria Math"/>
                          <w:sz w:val="20"/>
                        </w:rPr>
                        <m:t>α</m:t>
                      </m:r>
                    </m:e>
                    <m:sub>
                      <m:r>
                        <w:rPr>
                          <w:rFonts w:ascii="Cambria Math" w:hAnsi="Cambria Math"/>
                          <w:sz w:val="20"/>
                        </w:rPr>
                        <m:t>i</m:t>
                      </m:r>
                    </m:sub>
                  </m:sSub>
                </m:den>
              </m:f>
            </m:den>
          </m:f>
          <m:r>
            <w:rPr>
              <w:rFonts w:ascii="Cambria Math" w:hAnsi="Cambria Math"/>
              <w:sz w:val="20"/>
            </w:rPr>
            <m:t xml:space="preserve">                                     (S10)     </m:t>
          </m:r>
        </m:oMath>
      </m:oMathPara>
    </w:p>
    <w:p w14:paraId="66C069C1" w14:textId="074F1B67" w:rsidR="002E3887" w:rsidRPr="002E3887" w:rsidRDefault="00DE2A2E" w:rsidP="00F14334">
      <w:pPr>
        <w:ind w:firstLine="360"/>
        <w:rPr>
          <w:rFonts w:eastAsiaTheme="minorEastAsia"/>
          <w:sz w:val="20"/>
        </w:rPr>
      </w:pPr>
      <m:oMathPara>
        <m:oMath>
          <m:sSub>
            <m:sSubPr>
              <m:ctrlPr>
                <w:rPr>
                  <w:rFonts w:ascii="Cambria Math" w:eastAsiaTheme="minorEastAsia" w:hAnsi="Cambria Math"/>
                  <w:i/>
                  <w:sz w:val="20"/>
                </w:rPr>
              </m:ctrlPr>
            </m:sSubPr>
            <m:e>
              <m:r>
                <w:rPr>
                  <w:rFonts w:ascii="Cambria Math" w:eastAsiaTheme="minorEastAsia" w:hAnsi="Cambria Math"/>
                  <w:sz w:val="20"/>
                </w:rPr>
                <m:t>λ</m:t>
              </m:r>
            </m:e>
            <m:sub>
              <m:r>
                <w:rPr>
                  <w:rFonts w:ascii="Cambria Math" w:eastAsiaTheme="minorEastAsia" w:hAnsi="Cambria Math"/>
                  <w:sz w:val="20"/>
                </w:rPr>
                <m:t>i</m:t>
              </m:r>
            </m:sub>
          </m:sSub>
          <m:r>
            <w:rPr>
              <w:rFonts w:ascii="Cambria Math" w:eastAsiaTheme="minorEastAsia" w:hAnsi="Cambria Math"/>
              <w:sz w:val="20"/>
            </w:rPr>
            <m:t>=</m:t>
          </m:r>
          <m:f>
            <m:fPr>
              <m:ctrlPr>
                <w:rPr>
                  <w:rFonts w:ascii="Cambria Math" w:eastAsiaTheme="minorEastAsia" w:hAnsi="Cambria Math"/>
                  <w:i/>
                  <w:sz w:val="20"/>
                </w:rPr>
              </m:ctrlPr>
            </m:fPr>
            <m:num>
              <m:r>
                <w:rPr>
                  <w:rFonts w:ascii="Cambria Math" w:eastAsiaTheme="minorEastAsia" w:hAnsi="Cambria Math"/>
                  <w:sz w:val="20"/>
                </w:rPr>
                <m:t>3</m:t>
              </m:r>
              <m:sSub>
                <m:sSubPr>
                  <m:ctrlPr>
                    <w:rPr>
                      <w:rFonts w:ascii="Cambria Math" w:eastAsiaTheme="minorEastAsia" w:hAnsi="Cambria Math"/>
                      <w:i/>
                      <w:sz w:val="20"/>
                    </w:rPr>
                  </m:ctrlPr>
                </m:sSubPr>
                <m:e>
                  <m:r>
                    <w:rPr>
                      <w:rFonts w:ascii="Cambria Math" w:eastAsiaTheme="minorEastAsia" w:hAnsi="Cambria Math"/>
                      <w:sz w:val="20"/>
                    </w:rPr>
                    <m:t>D</m:t>
                  </m:r>
                </m:e>
                <m:sub>
                  <m:r>
                    <w:rPr>
                      <w:rFonts w:ascii="Cambria Math" w:eastAsiaTheme="minorEastAsia" w:hAnsi="Cambria Math"/>
                      <w:sz w:val="20"/>
                    </w:rPr>
                    <m:t>i,air</m:t>
                  </m:r>
                </m:sub>
              </m:sSub>
            </m:num>
            <m:den>
              <m:rad>
                <m:radPr>
                  <m:degHide m:val="1"/>
                  <m:ctrlPr>
                    <w:rPr>
                      <w:rFonts w:ascii="Cambria Math" w:eastAsiaTheme="minorEastAsia" w:hAnsi="Cambria Math"/>
                      <w:i/>
                      <w:sz w:val="20"/>
                    </w:rPr>
                  </m:ctrlPr>
                </m:radPr>
                <m:deg/>
                <m:e>
                  <m:f>
                    <m:fPr>
                      <m:ctrlPr>
                        <w:rPr>
                          <w:rFonts w:ascii="Cambria Math" w:eastAsiaTheme="minorEastAsia" w:hAnsi="Cambria Math"/>
                          <w:i/>
                          <w:sz w:val="20"/>
                        </w:rPr>
                      </m:ctrlPr>
                    </m:fPr>
                    <m:num>
                      <m:r>
                        <w:rPr>
                          <w:rFonts w:ascii="Cambria Math" w:eastAsiaTheme="minorEastAsia" w:hAnsi="Cambria Math"/>
                          <w:sz w:val="20"/>
                        </w:rPr>
                        <m:t>8RT</m:t>
                      </m:r>
                    </m:num>
                    <m:den>
                      <m:r>
                        <w:rPr>
                          <w:rFonts w:ascii="Cambria Math" w:eastAsiaTheme="minorEastAsia" w:hAnsi="Cambria Math"/>
                          <w:sz w:val="20"/>
                        </w:rPr>
                        <m:t>π</m:t>
                      </m:r>
                      <m:sSub>
                        <m:sSubPr>
                          <m:ctrlPr>
                            <w:rPr>
                              <w:rFonts w:ascii="Cambria Math" w:eastAsiaTheme="minorEastAsia" w:hAnsi="Cambria Math"/>
                              <w:i/>
                              <w:sz w:val="20"/>
                            </w:rPr>
                          </m:ctrlPr>
                        </m:sSubPr>
                        <m:e>
                          <m:r>
                            <w:rPr>
                              <w:rFonts w:ascii="Cambria Math" w:eastAsiaTheme="minorEastAsia" w:hAnsi="Cambria Math"/>
                              <w:sz w:val="20"/>
                            </w:rPr>
                            <m:t>M</m:t>
                          </m:r>
                        </m:e>
                        <m:sub>
                          <m:r>
                            <w:rPr>
                              <w:rFonts w:ascii="Cambria Math" w:eastAsiaTheme="minorEastAsia" w:hAnsi="Cambria Math"/>
                              <w:sz w:val="20"/>
                            </w:rPr>
                            <m:t>i</m:t>
                          </m:r>
                        </m:sub>
                      </m:sSub>
                    </m:den>
                  </m:f>
                </m:e>
              </m:rad>
            </m:den>
          </m:f>
          <m:r>
            <w:rPr>
              <w:rFonts w:ascii="Cambria Math" w:eastAsiaTheme="minorEastAsia" w:hAnsi="Cambria Math"/>
              <w:sz w:val="20"/>
            </w:rPr>
            <m:t xml:space="preserve">                                                                          (S11)</m:t>
          </m:r>
        </m:oMath>
      </m:oMathPara>
    </w:p>
    <w:p w14:paraId="7EA6070C" w14:textId="77777777" w:rsidR="002E3887" w:rsidRDefault="0014533C" w:rsidP="00F14334">
      <w:pPr>
        <w:ind w:firstLine="360"/>
      </w:pPr>
      <w:r w:rsidRPr="0014533C">
        <w:t xml:space="preserve">The experimental routine then returns the absolute particle count back to the originally specified bin widths with particle populations specified in </w:t>
      </w:r>
      <w:proofErr w:type="spellStart"/>
      <w:r w:rsidR="008B57BE">
        <w:rPr>
          <w:rFonts w:ascii="Cambria Math" w:hAnsi="Cambria Math"/>
          <w:i/>
        </w:rPr>
        <w:t>dN</w:t>
      </w:r>
      <w:proofErr w:type="spellEnd"/>
      <w:r w:rsidR="008B57BE">
        <w:rPr>
          <w:rFonts w:ascii="Cambria Math" w:hAnsi="Cambria Math"/>
          <w:i/>
        </w:rPr>
        <w:t>/</w:t>
      </w:r>
      <w:proofErr w:type="spellStart"/>
      <w:r w:rsidR="008B57BE">
        <w:rPr>
          <w:rFonts w:ascii="Cambria Math" w:hAnsi="Cambria Math"/>
          <w:i/>
        </w:rPr>
        <w:t>dD</w:t>
      </w:r>
      <w:r w:rsidRPr="0014533C">
        <w:rPr>
          <w:rFonts w:ascii="Cambria Math" w:hAnsi="Cambria Math"/>
          <w:i/>
          <w:vertAlign w:val="subscript"/>
        </w:rPr>
        <w:t>p</w:t>
      </w:r>
      <w:proofErr w:type="spellEnd"/>
      <w:r w:rsidRPr="0014533C">
        <w:t xml:space="preserve">. The program begins this process by creating a cumulative size distribution by progressively summing the particles in each bin for all temporary tables. Then </w:t>
      </w:r>
      <w:proofErr w:type="spellStart"/>
      <w:r w:rsidR="008B57BE">
        <w:rPr>
          <w:rFonts w:ascii="Cambria Math" w:hAnsi="Cambria Math"/>
          <w:i/>
        </w:rPr>
        <w:t>dN</w:t>
      </w:r>
      <w:proofErr w:type="spellEnd"/>
      <w:r w:rsidR="008B57BE">
        <w:rPr>
          <w:rFonts w:ascii="Cambria Math" w:hAnsi="Cambria Math"/>
          <w:i/>
        </w:rPr>
        <w:t>/</w:t>
      </w:r>
      <w:proofErr w:type="spellStart"/>
      <w:r w:rsidR="008B57BE">
        <w:rPr>
          <w:rFonts w:ascii="Cambria Math" w:hAnsi="Cambria Math"/>
          <w:i/>
        </w:rPr>
        <w:t>dD</w:t>
      </w:r>
      <w:r w:rsidRPr="0014533C">
        <w:rPr>
          <w:rFonts w:ascii="Cambria Math" w:hAnsi="Cambria Math"/>
          <w:i/>
          <w:vertAlign w:val="subscript"/>
        </w:rPr>
        <w:t>p</w:t>
      </w:r>
      <w:proofErr w:type="spellEnd"/>
      <w:r w:rsidRPr="0014533C">
        <w:t xml:space="preserve"> is calculated assuming linearity between bins. The routine creates the final experimental table containing bins spaced as specified by user settings at the beginning of the program. For each bin in the final experimental table, each temporary table is integrated using the experimental bins as limits and summed across all temporary tables. This places the total absolute particle numbers in each experimental bin. Then the routine creates the cumulative distribution and calculates the </w:t>
      </w:r>
      <w:proofErr w:type="spellStart"/>
      <w:r w:rsidR="008B57BE">
        <w:rPr>
          <w:rFonts w:ascii="Cambria Math" w:hAnsi="Cambria Math"/>
          <w:i/>
        </w:rPr>
        <w:t>dN</w:t>
      </w:r>
      <w:proofErr w:type="spellEnd"/>
      <w:r w:rsidR="008B57BE">
        <w:rPr>
          <w:rFonts w:ascii="Cambria Math" w:hAnsi="Cambria Math"/>
          <w:i/>
        </w:rPr>
        <w:t>/</w:t>
      </w:r>
      <w:proofErr w:type="spellStart"/>
      <w:r w:rsidR="008B57BE">
        <w:rPr>
          <w:rFonts w:ascii="Cambria Math" w:hAnsi="Cambria Math"/>
          <w:i/>
        </w:rPr>
        <w:t>dD</w:t>
      </w:r>
      <w:r w:rsidRPr="0014533C">
        <w:rPr>
          <w:rFonts w:ascii="Cambria Math" w:hAnsi="Cambria Math"/>
          <w:i/>
          <w:vertAlign w:val="subscript"/>
        </w:rPr>
        <w:t>p</w:t>
      </w:r>
      <w:proofErr w:type="spellEnd"/>
      <w:r w:rsidRPr="0014533C">
        <w:t xml:space="preserve"> for the experimental table. After all calculations, the routine conserves the total number of particles in the distribution to well within 1%.</w:t>
      </w:r>
    </w:p>
    <w:p w14:paraId="426953D1" w14:textId="0236EA4E" w:rsidR="00E9742B" w:rsidRDefault="00E9742B" w:rsidP="00F14334">
      <w:pPr>
        <w:ind w:firstLine="360"/>
      </w:pPr>
      <w:r w:rsidRPr="00E9742B">
        <w:t xml:space="preserve">This choice of accounting method has </w:t>
      </w:r>
      <w:r w:rsidR="00C14977">
        <w:t xml:space="preserve">two </w:t>
      </w:r>
      <w:r w:rsidRPr="00E9742B">
        <w:t>benefits</w:t>
      </w:r>
      <w:r w:rsidR="00C14977">
        <w:t xml:space="preserve"> </w:t>
      </w:r>
      <w:r w:rsidRPr="00E9742B">
        <w:t xml:space="preserve">with </w:t>
      </w:r>
      <w:r w:rsidR="00C14977">
        <w:t xml:space="preserve">several </w:t>
      </w:r>
      <w:r w:rsidRPr="00E9742B">
        <w:t>limitations. The first benefit is bins move as individuals and move relative to one another. This movement has two limits. First, the bins must change size. Second, each bin cannot pass over its neighbors. For example, the final diameter of the 15</w:t>
      </w:r>
      <w:r w:rsidR="000E7EE0">
        <w:t>2</w:t>
      </w:r>
      <w:r w:rsidRPr="00E9742B">
        <w:t xml:space="preserve"> nm bin cannot be </w:t>
      </w:r>
      <w:r w:rsidR="00D80E09">
        <w:t>smaller</w:t>
      </w:r>
      <w:r w:rsidRPr="00E9742B">
        <w:t xml:space="preserve"> than the final diameter of the neighboring 15</w:t>
      </w:r>
      <w:r w:rsidR="000E7EE0">
        <w:t>0</w:t>
      </w:r>
      <w:r w:rsidRPr="00E9742B">
        <w:t xml:space="preserve"> nm bin. </w:t>
      </w:r>
      <w:r w:rsidR="000E7EE0" w:rsidRPr="00E9742B">
        <w:t>Thus,</w:t>
      </w:r>
      <w:r w:rsidRPr="00E9742B">
        <w:t xml:space="preserve"> the experimental response can assume any shape as defined by the experimental model. </w:t>
      </w:r>
      <w:bookmarkStart w:id="0" w:name="_Hlk23764487"/>
      <w:r w:rsidRPr="00E9742B">
        <w:t xml:space="preserve">The second benefit is the experimental routine </w:t>
      </w:r>
      <w:r w:rsidR="000F101D">
        <w:t xml:space="preserve">can </w:t>
      </w:r>
      <w:r w:rsidR="00C45EB9">
        <w:t>model the evaporation of each bin using the residence time distribution.</w:t>
      </w:r>
      <w:bookmarkEnd w:id="0"/>
      <w:r w:rsidR="00C45EB9">
        <w:t xml:space="preserve"> </w:t>
      </w:r>
      <w:r w:rsidRPr="00E9742B">
        <w:t>This is a requirement of volatility due to the</w:t>
      </w:r>
      <w:r w:rsidR="00C45EB9">
        <w:t xml:space="preserve"> discrete</w:t>
      </w:r>
      <w:r w:rsidRPr="00E9742B">
        <w:t xml:space="preserve"> residence time distribution. </w:t>
      </w:r>
    </w:p>
    <w:p w14:paraId="0FC76F55" w14:textId="77777777" w:rsidR="00F71821" w:rsidRDefault="00F71821" w:rsidP="00F14334">
      <w:pPr>
        <w:ind w:firstLine="360"/>
      </w:pPr>
    </w:p>
    <w:p w14:paraId="411A6A43" w14:textId="77777777" w:rsidR="0091512F" w:rsidRDefault="0091512F" w:rsidP="00F71821">
      <w:pPr>
        <w:pStyle w:val="ListParagraph"/>
        <w:numPr>
          <w:ilvl w:val="0"/>
          <w:numId w:val="1"/>
        </w:numPr>
      </w:pPr>
      <w:r>
        <w:t>Residence time distribution calculation, measurement, and error</w:t>
      </w:r>
    </w:p>
    <w:p w14:paraId="2D6B6EDF" w14:textId="77777777" w:rsidR="0091512F" w:rsidRDefault="0091512F" w:rsidP="0091512F">
      <w:r>
        <w:tab/>
        <w:t>In the oven, a single residence time does not exist. If we assume that flow is laminar inside the tubing, a particle passing through the oven while traveling along the tubing centerline has a shorter residence time than a particle traveling along the wall. A distribution of residence times exists in the oven due to the velocity distribution inside the tubing. TAO uses a discrete table of residence times as a function of number fraction (e.g. 1/10</w:t>
      </w:r>
      <w:r w:rsidRPr="005A6DC4">
        <w:rPr>
          <w:vertAlign w:val="superscript"/>
        </w:rPr>
        <w:t>th</w:t>
      </w:r>
      <w:r>
        <w:t xml:space="preserve"> of the particles by number pass through the oven at 26.5 seconds). This supplemental section documents the methods used to recover the residence time distribution of our oven. </w:t>
      </w:r>
    </w:p>
    <w:p w14:paraId="0D893562" w14:textId="049AF2C3" w:rsidR="0091512F" w:rsidRDefault="0091512F" w:rsidP="0091512F">
      <w:pPr>
        <w:ind w:firstLine="360"/>
      </w:pPr>
      <w:r w:rsidDel="003D0AB2">
        <w:t xml:space="preserve">To determine the residence time distribution in the oven, 0.2 g Ammonium Sulfate (Sigma Aldrich </w:t>
      </w:r>
      <w:r w:rsidRPr="00640B21" w:rsidDel="003D0AB2">
        <w:t>A4915</w:t>
      </w:r>
      <w:r w:rsidDel="003D0AB2">
        <w:t xml:space="preserve">) in 18 MΩ deionized water was atomized and dried by a silica drier. </w:t>
      </w:r>
      <w:r>
        <w:t>After the first Differential Mobility Analyzer (DMA1), a</w:t>
      </w:r>
      <w:r w:rsidDel="003D0AB2">
        <w:t xml:space="preserve"> bypass line directly connecting the entrance to the exit of the oven was selected by a manual three-way </w:t>
      </w:r>
      <w:r w:rsidR="00BE746A">
        <w:t xml:space="preserve">ball </w:t>
      </w:r>
      <w:r w:rsidDel="003D0AB2">
        <w:t xml:space="preserve">valve. </w:t>
      </w:r>
      <w:r>
        <w:t xml:space="preserve">The average residence time in the bypass line was significantly smaller than the residence time in the oven. By comparing the time required for the particles to pass through the V-TDMA, using the bypass line, to the time required for the particles to pass through the V-TDMA, using the oven; we can extract the oven residence time distribution. </w:t>
      </w:r>
    </w:p>
    <w:p w14:paraId="63D1B84E" w14:textId="77777777" w:rsidR="0091512F" w:rsidRDefault="0091512F" w:rsidP="0091512F">
      <w:pPr>
        <w:ind w:firstLine="360"/>
      </w:pPr>
      <w:r>
        <w:lastRenderedPageBreak/>
        <w:t>To do this, we confirmed</w:t>
      </w:r>
      <w:r w:rsidDel="003D0AB2">
        <w:t xml:space="preserve"> the first differential mobility analyzer (DMA1) </w:t>
      </w:r>
      <w:r>
        <w:t xml:space="preserve">was aligned with </w:t>
      </w:r>
      <w:r w:rsidDel="003D0AB2">
        <w:t>DMA2 at 100 nm</w:t>
      </w:r>
      <w:r>
        <w:t>, and the bypass line was selected by the three-way valve</w:t>
      </w:r>
      <w:r w:rsidDel="003D0AB2">
        <w:t>. Then the voltage at DMA1 was set to zero volts. At t=0, DMA1 voltage is returned to alignment with DMA2. At t=2 s (5 s for the 0.4 LPM case), DMA1 voltage is set to 9,500 V, which was well outside the detectible range of DMA2. Each step up in voltage is near instantaneous.</w:t>
      </w:r>
      <w:r>
        <w:t xml:space="preserve"> The particle count (#/cc) was recorded as a function of time. The temporal resolution (</w:t>
      </w:r>
      <w:proofErr w:type="spellStart"/>
      <w:r>
        <w:rPr>
          <w:rFonts w:ascii="Arial Narrow" w:hAnsi="Arial Narrow"/>
        </w:rPr>
        <w:t>Δ</w:t>
      </w:r>
      <w:r>
        <w:t>t</w:t>
      </w:r>
      <w:proofErr w:type="spellEnd"/>
      <w:r>
        <w:t>) of the response was 0.5 s throughout (e.g. a CPC measurement every 0.5 s).</w:t>
      </w:r>
      <w:r w:rsidDel="003D0AB2">
        <w:t xml:space="preserve"> This procedure was repeated 20 times (25 times for 0.4 LPM) </w:t>
      </w:r>
      <w:r>
        <w:t>for the bypass line. We then averaged the 20 (or 25) measurements to obtain the average response</w:t>
      </w:r>
      <w:r w:rsidDel="003D0AB2">
        <w:t xml:space="preserve">. This average response is the sum of the time to traverse DMA1, the time from DMA1 to the oven, the time from the oven to DMA2, the time to traverse DMA2, and the time to be detected by the </w:t>
      </w:r>
      <w:r>
        <w:t>C</w:t>
      </w:r>
      <w:r w:rsidDel="003D0AB2">
        <w:t xml:space="preserve">ondensation </w:t>
      </w:r>
      <w:r>
        <w:t>P</w:t>
      </w:r>
      <w:r w:rsidDel="003D0AB2">
        <w:t xml:space="preserve">article </w:t>
      </w:r>
      <w:r>
        <w:t>C</w:t>
      </w:r>
      <w:r w:rsidDel="003D0AB2">
        <w:t xml:space="preserve">ounter (CPC). </w:t>
      </w:r>
      <w:r>
        <w:t xml:space="preserve">This residence time distribution is denoted by </w:t>
      </w:r>
      <w:proofErr w:type="spellStart"/>
      <w:r>
        <w:t>C</w:t>
      </w:r>
      <w:r w:rsidRPr="00170839">
        <w:rPr>
          <w:vertAlign w:val="subscript"/>
        </w:rPr>
        <w:t>in</w:t>
      </w:r>
      <w:proofErr w:type="spellEnd"/>
      <w:r>
        <w:t xml:space="preserve">. </w:t>
      </w:r>
      <w:r w:rsidDel="003D0AB2">
        <w:t xml:space="preserve"> Once </w:t>
      </w:r>
      <w:proofErr w:type="spellStart"/>
      <w:r w:rsidDel="003D0AB2">
        <w:t>C</w:t>
      </w:r>
      <w:r w:rsidRPr="009903C8" w:rsidDel="003D0AB2">
        <w:rPr>
          <w:vertAlign w:val="subscript"/>
        </w:rPr>
        <w:t>in</w:t>
      </w:r>
      <w:proofErr w:type="spellEnd"/>
      <w:r w:rsidDel="003D0AB2">
        <w:t xml:space="preserve"> was measured, the three-way valve selected the oven and the procedure</w:t>
      </w:r>
      <w:r>
        <w:t xml:space="preserve"> was</w:t>
      </w:r>
      <w:r w:rsidDel="003D0AB2">
        <w:t xml:space="preserve"> repeated. The second response represents the first response plus the time in the oven</w:t>
      </w:r>
      <w:r>
        <w:t>.</w:t>
      </w:r>
      <w:r w:rsidDel="003D0AB2">
        <w:t xml:space="preserve"> </w:t>
      </w:r>
      <w:r>
        <w:t xml:space="preserve">This response is denoted by </w:t>
      </w:r>
      <w:proofErr w:type="spellStart"/>
      <w:r w:rsidRPr="009903C8" w:rsidDel="003D0AB2">
        <w:rPr>
          <w:i/>
        </w:rPr>
        <w:t>C</w:t>
      </w:r>
      <w:r w:rsidRPr="009903C8" w:rsidDel="003D0AB2">
        <w:rPr>
          <w:i/>
          <w:vertAlign w:val="subscript"/>
        </w:rPr>
        <w:t>out</w:t>
      </w:r>
      <w:proofErr w:type="spellEnd"/>
      <w:r w:rsidDel="003D0AB2">
        <w:t xml:space="preserve">. Diameters of 50 nm and 200 nm were also investigated during the experiment. These diameters did not vary significantly from the 100 nm shown below. </w:t>
      </w:r>
    </w:p>
    <w:p w14:paraId="7F988204" w14:textId="77777777" w:rsidR="0091512F" w:rsidDel="003D0AB2" w:rsidRDefault="0091512F" w:rsidP="0091512F">
      <w:pPr>
        <w:ind w:firstLine="360"/>
      </w:pPr>
    </w:p>
    <w:p w14:paraId="18C0D30F" w14:textId="77777777" w:rsidR="0091512F" w:rsidRDefault="0091512F" w:rsidP="0091512F">
      <w:pPr>
        <w:jc w:val="center"/>
      </w:pPr>
      <w:r>
        <w:rPr>
          <w:noProof/>
        </w:rPr>
        <w:drawing>
          <wp:inline distT="0" distB="0" distL="0" distR="0" wp14:anchorId="47EA0F84" wp14:editId="796203A1">
            <wp:extent cx="5436108"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board 50.jpg"/>
                    <pic:cNvPicPr/>
                  </pic:nvPicPr>
                  <pic:blipFill>
                    <a:blip r:embed="rId7"/>
                    <a:stretch>
                      <a:fillRect/>
                    </a:stretch>
                  </pic:blipFill>
                  <pic:spPr>
                    <a:xfrm>
                      <a:off x="0" y="0"/>
                      <a:ext cx="5436108" cy="2743200"/>
                    </a:xfrm>
                    <a:prstGeom prst="rect">
                      <a:avLst/>
                    </a:prstGeom>
                  </pic:spPr>
                </pic:pic>
              </a:graphicData>
            </a:graphic>
          </wp:inline>
        </w:drawing>
      </w:r>
    </w:p>
    <w:p w14:paraId="386DA6D0" w14:textId="26227145" w:rsidR="0091512F" w:rsidRDefault="0091512F" w:rsidP="00F71821">
      <w:pPr>
        <w:pStyle w:val="supplementcaptions"/>
        <w:numPr>
          <w:ilvl w:val="0"/>
          <w:numId w:val="4"/>
        </w:numPr>
      </w:pPr>
      <w:r>
        <w:t xml:space="preserve">Apparatus used to measure the oven residence time. The average residence time in the bypass line is significantly shorter than the average residence time in the oven. </w:t>
      </w:r>
    </w:p>
    <w:p w14:paraId="61A55486" w14:textId="77777777" w:rsidR="0091512F" w:rsidRDefault="0091512F" w:rsidP="0091512F">
      <w:pPr>
        <w:ind w:firstLine="360"/>
      </w:pPr>
    </w:p>
    <w:p w14:paraId="1EA88627" w14:textId="3AAA1234" w:rsidR="0091512F" w:rsidRPr="00D978BF" w:rsidRDefault="0091512F" w:rsidP="0091512F">
      <w:pPr>
        <w:ind w:firstLine="360"/>
        <w:rPr>
          <w:rFonts w:cs="Times New Roman"/>
        </w:rPr>
      </w:pPr>
      <w:r>
        <w:t xml:space="preserve">The residence time distribution (RTD) in the oven can be determined by deconvolution </w:t>
      </w:r>
      <w:r>
        <w:fldChar w:fldCharType="begin"/>
      </w:r>
      <w:r>
        <w:instrText xml:space="preserve"> ADDIN EN.CITE &lt;EndNote&gt;&lt;Cite&gt;&lt;Author&gt;Levenspiel&lt;/Author&gt;&lt;Year&gt;1999&lt;/Year&gt;&lt;RecNum&gt;27&lt;/RecNum&gt;&lt;DisplayText&gt;(Levenspiel 1999)&lt;/DisplayText&gt;&lt;record&gt;&lt;rec-number&gt;27&lt;/rec-number&gt;&lt;foreign-keys&gt;&lt;key app="EN" db-id="w5vt2rse70avfmezsabxaepdstztv5svdxt2"&gt;27&lt;/key&gt;&lt;/foreign-keys&gt;&lt;ref-type name="Book"&gt;6&lt;/ref-type&gt;&lt;contributors&gt;&lt;authors&gt;&lt;author&gt;Levenspiel, Octave&lt;/author&gt;&lt;/authors&gt;&lt;/contributors&gt;&lt;titles&gt;&lt;title&gt;Chemical reaction engineering&lt;/title&gt;&lt;/titles&gt;&lt;pages&gt;xvi, 668 p.&lt;/pages&gt;&lt;edition&gt;3rd&lt;/edition&gt;&lt;keywords&gt;&lt;keyword&gt;Chemical reactors.&lt;/keyword&gt;&lt;/keywords&gt;&lt;dates&gt;&lt;year&gt;1999&lt;/year&gt;&lt;/dates&gt;&lt;pub-location&gt;New York&lt;/pub-location&gt;&lt;publisher&gt;Wiley&lt;/publisher&gt;&lt;isbn&gt;047125424X (cloth alk. paper)&lt;/isbn&gt;&lt;accession-num&gt;4964944&lt;/accession-num&gt;&lt;call-num&gt;Jefferson or Adams Building Reading Rooms TP157 .L4 1999&lt;/call-num&gt;&lt;urls&gt;&lt;related-urls&gt;&lt;url&gt;Publisher description http://www.loc.gov/catdir/description/wiley033/97046872.html&lt;/url&gt;&lt;url&gt;Table of Contents http://www.loc.gov/catdir/toc/onix04/97046872.html&lt;/url&gt;&lt;/related-urls&gt;&lt;/urls&gt;&lt;/record&gt;&lt;/Cite&gt;&lt;/EndNote&gt;</w:instrText>
      </w:r>
      <w:r>
        <w:fldChar w:fldCharType="separate"/>
      </w:r>
      <w:r>
        <w:rPr>
          <w:noProof/>
        </w:rPr>
        <w:t>(</w:t>
      </w:r>
      <w:hyperlink w:anchor="_ENREF_8" w:tooltip="Levenspiel, 1999 #27" w:history="1">
        <w:r w:rsidR="0055410F">
          <w:rPr>
            <w:noProof/>
          </w:rPr>
          <w:t>Levenspiel 1999</w:t>
        </w:r>
      </w:hyperlink>
      <w:r>
        <w:rPr>
          <w:noProof/>
        </w:rPr>
        <w:t>)</w:t>
      </w:r>
      <w:r>
        <w:fldChar w:fldCharType="end"/>
      </w:r>
      <w:r>
        <w:t xml:space="preserve"> of the response. The entire TDMA system can be visualized as all the support tubing, DMA1, DMA2, and CPC preceding the oven (</w:t>
      </w:r>
      <w:proofErr w:type="spellStart"/>
      <w:r>
        <w:t>C</w:t>
      </w:r>
      <w:r w:rsidRPr="00170839">
        <w:rPr>
          <w:vertAlign w:val="subscript"/>
        </w:rPr>
        <w:t>in</w:t>
      </w:r>
      <w:proofErr w:type="spellEnd"/>
      <w:r>
        <w:t xml:space="preserve">). Then, Equation S1 represents the convolution of </w:t>
      </w:r>
      <w:r w:rsidRPr="0076170E">
        <w:rPr>
          <w:rFonts w:ascii="Cambria Math" w:hAnsi="Cambria Math"/>
          <w:b/>
          <w:i/>
        </w:rPr>
        <w:t>E</w:t>
      </w:r>
      <w:r>
        <w:t xml:space="preserve">, the fraction of number in oven at any time </w:t>
      </w:r>
      <w:r w:rsidRPr="0076170E">
        <w:rPr>
          <w:rFonts w:ascii="Cambria Math" w:hAnsi="Cambria Math"/>
          <w:i/>
        </w:rPr>
        <w:t>t´</w:t>
      </w:r>
      <w:r>
        <w:t xml:space="preserve">, with </w:t>
      </w:r>
      <w:proofErr w:type="spellStart"/>
      <w:r>
        <w:t>C</w:t>
      </w:r>
      <w:r w:rsidRPr="0076170E">
        <w:rPr>
          <w:vertAlign w:val="subscript"/>
        </w:rPr>
        <w:t>in</w:t>
      </w:r>
      <w:proofErr w:type="spellEnd"/>
      <w:r>
        <w:t xml:space="preserve">, the concentration entering the oven at time </w:t>
      </w:r>
      <w:r w:rsidRPr="0076170E">
        <w:rPr>
          <w:rFonts w:ascii="Cambria Math" w:hAnsi="Cambria Math"/>
          <w:i/>
        </w:rPr>
        <w:t>t-t´</w:t>
      </w:r>
      <w:r>
        <w:t>. Two measured responses, one for all supporting equipment (</w:t>
      </w:r>
      <w:proofErr w:type="spellStart"/>
      <w:r w:rsidRPr="0076170E">
        <w:rPr>
          <w:rFonts w:ascii="Cambria Math" w:hAnsi="Cambria Math"/>
          <w:i/>
        </w:rPr>
        <w:t>C</w:t>
      </w:r>
      <w:r w:rsidRPr="0076170E">
        <w:rPr>
          <w:rFonts w:ascii="Cambria Math" w:hAnsi="Cambria Math"/>
          <w:i/>
          <w:vertAlign w:val="subscript"/>
        </w:rPr>
        <w:t>in</w:t>
      </w:r>
      <w:proofErr w:type="spellEnd"/>
      <w:r>
        <w:t>) and one for the supporting equipment and the oven (</w:t>
      </w:r>
      <w:proofErr w:type="spellStart"/>
      <w:r w:rsidRPr="004B6FFB">
        <w:rPr>
          <w:rFonts w:ascii="Cambria Math" w:hAnsi="Cambria Math"/>
          <w:i/>
        </w:rPr>
        <w:t>C</w:t>
      </w:r>
      <w:r w:rsidRPr="004B6FFB">
        <w:rPr>
          <w:rFonts w:ascii="Cambria Math" w:hAnsi="Cambria Math"/>
          <w:i/>
          <w:vertAlign w:val="subscript"/>
        </w:rPr>
        <w:t>out</w:t>
      </w:r>
      <w:proofErr w:type="spellEnd"/>
      <w:r>
        <w:t xml:space="preserve">), are required for deconvolution. </w:t>
      </w:r>
      <w:r w:rsidRPr="004B6FFB">
        <w:rPr>
          <w:rFonts w:ascii="Cambria Math" w:hAnsi="Cambria Math"/>
          <w:b/>
          <w:i/>
        </w:rPr>
        <w:t>E</w:t>
      </w:r>
      <w:r>
        <w:t xml:space="preserve"> is the residence time distribution (</w:t>
      </w:r>
      <w:proofErr w:type="spellStart"/>
      <w:r>
        <w:t>ecurve</w:t>
      </w:r>
      <w:proofErr w:type="spellEnd"/>
      <w:r>
        <w:t>) in the oven. In Equation S1</w:t>
      </w:r>
      <w:r w:rsidR="00994A13">
        <w:t>2</w:t>
      </w:r>
      <w:r>
        <w:t xml:space="preserve">, </w:t>
      </w:r>
      <w:r w:rsidRPr="003C20CC">
        <w:rPr>
          <w:rFonts w:ascii="Cambria Math" w:hAnsi="Cambria Math"/>
          <w:i/>
        </w:rPr>
        <w:t>t</w:t>
      </w:r>
      <w:r>
        <w:t xml:space="preserve"> is the time at exit of the oven, and </w:t>
      </w:r>
      <w:r w:rsidRPr="0076170E">
        <w:rPr>
          <w:rFonts w:ascii="Cambria Math" w:hAnsi="Cambria Math"/>
          <w:i/>
        </w:rPr>
        <w:t>t´</w:t>
      </w:r>
      <w:r>
        <w:rPr>
          <w:rFonts w:ascii="Cambria Math" w:hAnsi="Cambria Math"/>
          <w:i/>
        </w:rPr>
        <w:t xml:space="preserve"> </w:t>
      </w:r>
      <w:r w:rsidRPr="00D978BF">
        <w:rPr>
          <w:rFonts w:cs="Times New Roman"/>
        </w:rPr>
        <w:t>is the residence time in the oven</w:t>
      </w:r>
      <w:r>
        <w:rPr>
          <w:rFonts w:cs="Times New Roman"/>
        </w:rPr>
        <w:t xml:space="preserve"> (or time at the entrance of the oven)</w:t>
      </w:r>
      <w:r w:rsidRPr="00D978BF">
        <w:rPr>
          <w:rFonts w:cs="Times New Roman"/>
        </w:rPr>
        <w:t>.</w:t>
      </w:r>
    </w:p>
    <w:p w14:paraId="422F481B" w14:textId="7779A440" w:rsidR="0091512F" w:rsidRDefault="00DE2A2E" w:rsidP="0091512F">
      <w:pPr>
        <w:ind w:firstLine="720"/>
      </w:pPr>
      <m:oMathPara>
        <m:oMath>
          <m:sSub>
            <m:sSubPr>
              <m:ctrlPr>
                <w:rPr>
                  <w:rFonts w:ascii="Cambria Math" w:hAnsi="Cambria Math"/>
                  <w:b/>
                  <w:bCs/>
                  <w:i/>
                  <w:sz w:val="20"/>
                </w:rPr>
              </m:ctrlPr>
            </m:sSubPr>
            <m:e>
              <m:r>
                <m:rPr>
                  <m:sty m:val="bi"/>
                </m:rPr>
                <w:rPr>
                  <w:rFonts w:ascii="Cambria Math" w:hAnsi="Cambria Math"/>
                  <w:sz w:val="20"/>
                </w:rPr>
                <m:t>C</m:t>
              </m:r>
            </m:e>
            <m:sub>
              <m:r>
                <m:rPr>
                  <m:sty m:val="bi"/>
                </m:rPr>
                <w:rPr>
                  <w:rFonts w:ascii="Cambria Math" w:hAnsi="Cambria Math"/>
                  <w:sz w:val="20"/>
                </w:rPr>
                <m:t>out</m:t>
              </m:r>
            </m:sub>
          </m:sSub>
          <m:d>
            <m:dPr>
              <m:ctrlPr>
                <w:rPr>
                  <w:rFonts w:ascii="Cambria Math" w:hAnsi="Cambria Math"/>
                  <w:i/>
                  <w:sz w:val="20"/>
                </w:rPr>
              </m:ctrlPr>
            </m:dPr>
            <m:e>
              <m:r>
                <w:rPr>
                  <w:rFonts w:ascii="Cambria Math" w:hAnsi="Cambria Math"/>
                  <w:sz w:val="20"/>
                </w:rPr>
                <m:t>t</m:t>
              </m:r>
            </m:e>
          </m:d>
          <m:r>
            <w:rPr>
              <w:rFonts w:ascii="Cambria Math" w:hAnsi="Cambria Math"/>
              <w:sz w:val="20"/>
            </w:rPr>
            <m:t>=</m:t>
          </m:r>
          <m:nary>
            <m:naryPr>
              <m:chr m:val="∑"/>
              <m:limLoc m:val="undOvr"/>
              <m:subHide m:val="1"/>
              <m:supHide m:val="1"/>
              <m:ctrlPr>
                <w:rPr>
                  <w:rFonts w:ascii="Cambria Math" w:hAnsi="Cambria Math"/>
                  <w:i/>
                  <w:sz w:val="20"/>
                </w:rPr>
              </m:ctrlPr>
            </m:naryPr>
            <m:sub/>
            <m:sup/>
            <m:e>
              <m:r>
                <m:rPr>
                  <m:sty m:val="bi"/>
                </m:rPr>
                <w:rPr>
                  <w:rFonts w:ascii="Cambria Math" w:hAnsi="Cambria Math"/>
                  <w:sz w:val="20"/>
                </w:rPr>
                <m:t>E</m:t>
              </m:r>
              <m:d>
                <m:dPr>
                  <m:ctrlPr>
                    <w:rPr>
                      <w:rFonts w:ascii="Cambria Math" w:hAnsi="Cambria Math"/>
                      <w:b/>
                      <w:i/>
                      <w:sz w:val="20"/>
                    </w:rPr>
                  </m:ctrlPr>
                </m:dPr>
                <m:e>
                  <m:sSup>
                    <m:sSupPr>
                      <m:ctrlPr>
                        <w:rPr>
                          <w:rFonts w:ascii="Cambria Math" w:hAnsi="Cambria Math"/>
                          <w:i/>
                          <w:sz w:val="20"/>
                        </w:rPr>
                      </m:ctrlPr>
                    </m:sSupPr>
                    <m:e>
                      <m:r>
                        <w:rPr>
                          <w:rFonts w:ascii="Cambria Math" w:hAnsi="Cambria Math"/>
                          <w:sz w:val="20"/>
                        </w:rPr>
                        <m:t>t</m:t>
                      </m:r>
                    </m:e>
                    <m:sup>
                      <m:r>
                        <w:rPr>
                          <w:rFonts w:ascii="Cambria Math" w:hAnsi="Cambria Math"/>
                          <w:sz w:val="20"/>
                        </w:rPr>
                        <m:t>'</m:t>
                      </m:r>
                    </m:sup>
                  </m:sSup>
                </m:e>
              </m:d>
              <m:r>
                <w:rPr>
                  <w:rFonts w:ascii="Cambria Math" w:hAnsi="Cambria Math"/>
                  <w:sz w:val="20"/>
                </w:rPr>
                <m:t>*</m:t>
              </m:r>
              <m:sSub>
                <m:sSubPr>
                  <m:ctrlPr>
                    <w:rPr>
                      <w:rFonts w:ascii="Cambria Math" w:hAnsi="Cambria Math"/>
                      <w:b/>
                      <w:bCs/>
                      <w:i/>
                      <w:sz w:val="20"/>
                    </w:rPr>
                  </m:ctrlPr>
                </m:sSubPr>
                <m:e>
                  <m:r>
                    <m:rPr>
                      <m:sty m:val="bi"/>
                    </m:rPr>
                    <w:rPr>
                      <w:rFonts w:ascii="Cambria Math" w:hAnsi="Cambria Math"/>
                      <w:sz w:val="20"/>
                    </w:rPr>
                    <m:t>C</m:t>
                  </m:r>
                </m:e>
                <m:sub>
                  <m:r>
                    <m:rPr>
                      <m:sty m:val="bi"/>
                    </m:rPr>
                    <w:rPr>
                      <w:rFonts w:ascii="Cambria Math" w:hAnsi="Cambria Math"/>
                      <w:sz w:val="20"/>
                    </w:rPr>
                    <m:t>in</m:t>
                  </m:r>
                </m:sub>
              </m:sSub>
              <m:d>
                <m:dPr>
                  <m:ctrlPr>
                    <w:rPr>
                      <w:rFonts w:ascii="Cambria Math" w:hAnsi="Cambria Math"/>
                      <w:i/>
                      <w:sz w:val="20"/>
                    </w:rPr>
                  </m:ctrlPr>
                </m:dPr>
                <m:e>
                  <m:r>
                    <w:rPr>
                      <w:rFonts w:ascii="Cambria Math" w:hAnsi="Cambria Math"/>
                      <w:sz w:val="20"/>
                    </w:rPr>
                    <m:t>t-</m:t>
                  </m:r>
                  <m:sSup>
                    <m:sSupPr>
                      <m:ctrlPr>
                        <w:rPr>
                          <w:rFonts w:ascii="Cambria Math" w:hAnsi="Cambria Math"/>
                          <w:i/>
                          <w:sz w:val="20"/>
                        </w:rPr>
                      </m:ctrlPr>
                    </m:sSupPr>
                    <m:e>
                      <m:r>
                        <w:rPr>
                          <w:rFonts w:ascii="Cambria Math" w:hAnsi="Cambria Math"/>
                          <w:sz w:val="20"/>
                        </w:rPr>
                        <m:t>t</m:t>
                      </m:r>
                    </m:e>
                    <m:sup>
                      <m:r>
                        <w:rPr>
                          <w:rFonts w:ascii="Cambria Math" w:hAnsi="Cambria Math"/>
                          <w:sz w:val="20"/>
                        </w:rPr>
                        <m:t>'</m:t>
                      </m:r>
                    </m:sup>
                  </m:sSup>
                </m:e>
              </m:d>
              <m:r>
                <w:rPr>
                  <w:rFonts w:ascii="Cambria Math" w:hAnsi="Cambria Math"/>
                  <w:sz w:val="20"/>
                </w:rPr>
                <m:t>△t</m:t>
              </m:r>
            </m:e>
          </m:nary>
          <m:r>
            <w:rPr>
              <w:rFonts w:ascii="Cambria Math" w:hAnsi="Cambria Math"/>
              <w:sz w:val="20"/>
            </w:rPr>
            <m:t xml:space="preserve">                                 (S12)   </m:t>
          </m:r>
        </m:oMath>
      </m:oMathPara>
    </w:p>
    <w:p w14:paraId="2AEE07A8" w14:textId="77777777" w:rsidR="0091512F" w:rsidRDefault="0091512F" w:rsidP="0091512F">
      <w:pPr>
        <w:ind w:firstLine="360"/>
      </w:pPr>
    </w:p>
    <w:p w14:paraId="08A87554" w14:textId="77777777" w:rsidR="0091512F" w:rsidRDefault="0091512F" w:rsidP="0091512F">
      <w:pPr>
        <w:ind w:firstLine="360"/>
      </w:pPr>
      <w:r>
        <w:t xml:space="preserve">Our deconvolution routine assumes an </w:t>
      </w:r>
      <w:r w:rsidRPr="00D978BF">
        <w:rPr>
          <w:rFonts w:ascii="Cambria Math" w:hAnsi="Cambria Math"/>
          <w:i/>
        </w:rPr>
        <w:t>n</w:t>
      </w:r>
      <w:r>
        <w:t xml:space="preserve"> number of summed beta distributions represent the </w:t>
      </w:r>
      <w:proofErr w:type="spellStart"/>
      <w:r>
        <w:t>ecurve</w:t>
      </w:r>
      <w:proofErr w:type="spellEnd"/>
      <w:r>
        <w:t xml:space="preserve">. The computer iterates the values describing the beta distributions until the sum of the square of the errors in </w:t>
      </w:r>
      <w:proofErr w:type="spellStart"/>
      <w:r w:rsidRPr="003C20CC">
        <w:rPr>
          <w:rFonts w:ascii="Cambria Math" w:hAnsi="Cambria Math"/>
          <w:i/>
        </w:rPr>
        <w:t>C</w:t>
      </w:r>
      <w:r w:rsidRPr="003C20CC">
        <w:rPr>
          <w:rFonts w:ascii="Cambria Math" w:hAnsi="Cambria Math"/>
          <w:i/>
          <w:vertAlign w:val="subscript"/>
        </w:rPr>
        <w:t>ou</w:t>
      </w:r>
      <w:r w:rsidRPr="003C20CC">
        <w:rPr>
          <w:rFonts w:ascii="Cambria Math" w:hAnsi="Cambria Math"/>
          <w:vertAlign w:val="subscript"/>
        </w:rPr>
        <w:t>t</w:t>
      </w:r>
      <w:proofErr w:type="spellEnd"/>
      <w:r>
        <w:t xml:space="preserve"> is minimized. We used the minimum number of beta distributions required to explain the phenomena. For the two cases examined in this paper (one in this section and one further below), only a single beta distribution was necessary to explain the observations. </w:t>
      </w:r>
    </w:p>
    <w:p w14:paraId="41A9BAF5" w14:textId="35191FF6" w:rsidR="0091512F" w:rsidRDefault="0091512F" w:rsidP="0091512F">
      <w:pPr>
        <w:ind w:firstLine="360"/>
      </w:pPr>
      <w:r>
        <w:t>Figure S</w:t>
      </w:r>
      <w:r w:rsidR="00994A13">
        <w:t>4</w:t>
      </w:r>
      <w:r>
        <w:t xml:space="preserve"> displays the results of the deconvolution at 1.5 LPM. The x-axis is the time, </w:t>
      </w:r>
      <w:r w:rsidRPr="00C23A49">
        <w:rPr>
          <w:rFonts w:ascii="Cambria Math" w:hAnsi="Cambria Math"/>
          <w:i/>
        </w:rPr>
        <w:t>t</w:t>
      </w:r>
      <w:r>
        <w:t xml:space="preserve">, from the beginning of the DMA alignment. The y-axis is the </w:t>
      </w:r>
      <w:r w:rsidRPr="00600519">
        <w:rPr>
          <w:rFonts w:ascii="Cambria Math" w:hAnsi="Cambria Math"/>
          <w:i/>
        </w:rPr>
        <w:t>E</w:t>
      </w:r>
      <w:r>
        <w:t xml:space="preserve"> value. This value is the fraction of particles emitted at time</w:t>
      </w:r>
      <w:r w:rsidRPr="00600519">
        <w:rPr>
          <w:rFonts w:ascii="Cambria Math" w:hAnsi="Cambria Math"/>
          <w:i/>
        </w:rPr>
        <w:t xml:space="preserve"> t</w:t>
      </w:r>
      <w:r>
        <w:t xml:space="preserve"> divided by the total number of particles. The blue curve is the time for the particles to navigate the TDMA system without the oven; the red curve is the time for the particles to navigate the entire TDMA system. The cyan curve is the time required for the particles to navigate the oven. This measurement was performed at a flow rate of 1.5 LPM and room temperature with 100 nm particles. </w:t>
      </w:r>
      <w:r w:rsidR="00994A13">
        <w:t>Since E is divided by the total particle count, t</w:t>
      </w:r>
      <w:r>
        <w:t>he area under each curve is equal to 1.</w:t>
      </w:r>
    </w:p>
    <w:p w14:paraId="27761F9F" w14:textId="77777777" w:rsidR="0091512F" w:rsidRDefault="0091512F" w:rsidP="0091512F">
      <w:pPr>
        <w:ind w:firstLine="360"/>
      </w:pPr>
    </w:p>
    <w:p w14:paraId="79A7EFB3" w14:textId="77777777" w:rsidR="0091512F" w:rsidRDefault="0091512F" w:rsidP="0091512F">
      <w:r>
        <w:rPr>
          <w:noProof/>
        </w:rPr>
        <w:drawing>
          <wp:inline distT="0" distB="0" distL="0" distR="0" wp14:anchorId="40323F09" wp14:editId="62A9065F">
            <wp:extent cx="2743206" cy="2514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6" cy="2514605"/>
                    </a:xfrm>
                    <a:prstGeom prst="rect">
                      <a:avLst/>
                    </a:prstGeom>
                  </pic:spPr>
                </pic:pic>
              </a:graphicData>
            </a:graphic>
          </wp:inline>
        </w:drawing>
      </w:r>
    </w:p>
    <w:p w14:paraId="3AA3972B" w14:textId="044B86E8" w:rsidR="0091512F" w:rsidRDefault="0091512F" w:rsidP="00F71821">
      <w:pPr>
        <w:pStyle w:val="supplementcaptions"/>
        <w:numPr>
          <w:ilvl w:val="0"/>
          <w:numId w:val="4"/>
        </w:numPr>
      </w:pPr>
      <w:r>
        <w:t xml:space="preserve">The response from the oven residence time experiment. The blue curve represents </w:t>
      </w:r>
      <w:proofErr w:type="spellStart"/>
      <w:r>
        <w:t>C</w:t>
      </w:r>
      <w:r w:rsidRPr="009903C8">
        <w:rPr>
          <w:vertAlign w:val="subscript"/>
        </w:rPr>
        <w:t>in</w:t>
      </w:r>
      <w:proofErr w:type="spellEnd"/>
      <w:r>
        <w:t xml:space="preserve">, the red curve represents </w:t>
      </w:r>
      <w:proofErr w:type="spellStart"/>
      <w:r w:rsidRPr="009903C8">
        <w:rPr>
          <w:i/>
        </w:rPr>
        <w:t>C</w:t>
      </w:r>
      <w:r w:rsidRPr="009903C8">
        <w:rPr>
          <w:i/>
          <w:vertAlign w:val="subscript"/>
        </w:rPr>
        <w:t>out</w:t>
      </w:r>
      <w:proofErr w:type="spellEnd"/>
      <w:r>
        <w:t>, and the cyan curve is the solved residence time distribution (</w:t>
      </w:r>
      <w:proofErr w:type="spellStart"/>
      <w:r>
        <w:t>ecurve</w:t>
      </w:r>
      <w:proofErr w:type="spellEnd"/>
      <w:r>
        <w:t xml:space="preserve">). </w:t>
      </w:r>
    </w:p>
    <w:p w14:paraId="30EB3140" w14:textId="77777777" w:rsidR="0091512F" w:rsidRDefault="0091512F" w:rsidP="0091512F"/>
    <w:p w14:paraId="49CD3BEA" w14:textId="012C6F0A" w:rsidR="0091512F" w:rsidRDefault="0091512F" w:rsidP="0091512F">
      <w:pPr>
        <w:ind w:firstLine="360"/>
      </w:pPr>
      <w:r>
        <w:t xml:space="preserve">The </w:t>
      </w:r>
      <w:proofErr w:type="spellStart"/>
      <w:r>
        <w:t>ecurve</w:t>
      </w:r>
      <w:proofErr w:type="spellEnd"/>
      <w:r>
        <w:t xml:space="preserve"> is converted to the </w:t>
      </w:r>
      <w:proofErr w:type="spellStart"/>
      <w:r>
        <w:t>fcurve</w:t>
      </w:r>
      <w:proofErr w:type="spellEnd"/>
      <w:r>
        <w:t>: a</w:t>
      </w:r>
      <w:r w:rsidR="00994A13">
        <w:t>n</w:t>
      </w:r>
      <w:r>
        <w:t xml:space="preserve"> </w:t>
      </w:r>
      <w:r w:rsidR="00994A13">
        <w:t xml:space="preserve">integration </w:t>
      </w:r>
      <w:r>
        <w:t xml:space="preserve">of the </w:t>
      </w:r>
      <w:proofErr w:type="spellStart"/>
      <w:r>
        <w:t>ecurve</w:t>
      </w:r>
      <w:proofErr w:type="spellEnd"/>
      <w:r>
        <w:t>. This area can be visualized as a progressive sum in time as shown in Figure S</w:t>
      </w:r>
      <w:r w:rsidR="00994A13">
        <w:t>5</w:t>
      </w:r>
      <w:r>
        <w:t xml:space="preserve">. This </w:t>
      </w:r>
      <w:proofErr w:type="spellStart"/>
      <w:r w:rsidR="00994A13">
        <w:t>fcurve</w:t>
      </w:r>
      <w:proofErr w:type="spellEnd"/>
      <w:r>
        <w:t xml:space="preserve"> is loaded into TAO. When the temperature in the oven is elevated, the gas inside the tubing expands, decreasing the residence time distribution. TAO uses the </w:t>
      </w:r>
      <w:proofErr w:type="spellStart"/>
      <w:r>
        <w:t>fcurve</w:t>
      </w:r>
      <w:proofErr w:type="spellEnd"/>
      <w:r>
        <w:t xml:space="preserve"> to estimate this phenomenon. We assume ideal gas law and scale the x-axis by the ratio of the room temperature divided by the oven temperature. In addition to assuming ideal gas law, this method assumes that the tubing dimensions remain constant for the different temperatures. Once a new </w:t>
      </w:r>
      <w:proofErr w:type="spellStart"/>
      <w:r>
        <w:t>fcurve</w:t>
      </w:r>
      <w:proofErr w:type="spellEnd"/>
      <w:r>
        <w:t xml:space="preserve"> is </w:t>
      </w:r>
      <w:r>
        <w:lastRenderedPageBreak/>
        <w:t xml:space="preserve">calculated, the new </w:t>
      </w:r>
      <w:proofErr w:type="spellStart"/>
      <w:r>
        <w:t>ecurve</w:t>
      </w:r>
      <w:proofErr w:type="spellEnd"/>
      <w:r>
        <w:t xml:space="preserve"> is calculated from the resulting temperature adjusted </w:t>
      </w:r>
      <w:proofErr w:type="spellStart"/>
      <w:r>
        <w:t>fcurve</w:t>
      </w:r>
      <w:proofErr w:type="spellEnd"/>
      <w:r>
        <w:t xml:space="preserve">. An </w:t>
      </w:r>
      <w:proofErr w:type="spellStart"/>
      <w:r>
        <w:t>ecurve</w:t>
      </w:r>
      <w:proofErr w:type="spellEnd"/>
      <w:r>
        <w:t xml:space="preserve"> was also measured at 52 </w:t>
      </w:r>
      <w:r>
        <w:rPr>
          <w:rFonts w:ascii="Cambria Math" w:hAnsi="Cambria Math"/>
        </w:rPr>
        <w:t>°</w:t>
      </w:r>
      <w:r>
        <w:t xml:space="preserve">C and found to correlate well with this estimation. </w:t>
      </w:r>
    </w:p>
    <w:p w14:paraId="61806DC7" w14:textId="77777777" w:rsidR="0091512F" w:rsidRDefault="0091512F" w:rsidP="0091512F">
      <w:pPr>
        <w:ind w:firstLine="360"/>
      </w:pPr>
    </w:p>
    <w:p w14:paraId="1700491B" w14:textId="77777777" w:rsidR="0091512F" w:rsidRDefault="0091512F" w:rsidP="0091512F">
      <w:pPr>
        <w:ind w:firstLine="360"/>
        <w:jc w:val="center"/>
      </w:pPr>
      <w:r>
        <w:rPr>
          <w:noProof/>
        </w:rPr>
        <w:drawing>
          <wp:inline distT="0" distB="0" distL="0" distR="0" wp14:anchorId="09665D01" wp14:editId="370AB7D2">
            <wp:extent cx="2820924" cy="2514600"/>
            <wp:effectExtent l="0" t="0" r="0" b="0"/>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tboard 16.jpg"/>
                    <pic:cNvPicPr/>
                  </pic:nvPicPr>
                  <pic:blipFill>
                    <a:blip r:embed="rId9"/>
                    <a:stretch>
                      <a:fillRect/>
                    </a:stretch>
                  </pic:blipFill>
                  <pic:spPr>
                    <a:xfrm>
                      <a:off x="0" y="0"/>
                      <a:ext cx="2820924" cy="2514600"/>
                    </a:xfrm>
                    <a:prstGeom prst="rect">
                      <a:avLst/>
                    </a:prstGeom>
                  </pic:spPr>
                </pic:pic>
              </a:graphicData>
            </a:graphic>
          </wp:inline>
        </w:drawing>
      </w:r>
    </w:p>
    <w:p w14:paraId="0101542C" w14:textId="567F6A93" w:rsidR="0091512F" w:rsidRDefault="0091512F" w:rsidP="00F71821">
      <w:pPr>
        <w:pStyle w:val="supplementcaptions"/>
        <w:numPr>
          <w:ilvl w:val="0"/>
          <w:numId w:val="4"/>
        </w:numPr>
      </w:pPr>
      <w:r>
        <w:t xml:space="preserve">The measured </w:t>
      </w:r>
      <w:proofErr w:type="spellStart"/>
      <w:r>
        <w:t>ecurve</w:t>
      </w:r>
      <w:proofErr w:type="spellEnd"/>
      <w:r>
        <w:t xml:space="preserve"> and the corresponding </w:t>
      </w:r>
      <w:proofErr w:type="spellStart"/>
      <w:r>
        <w:t>fcurve</w:t>
      </w:r>
      <w:proofErr w:type="spellEnd"/>
      <w:r>
        <w:t xml:space="preserve">. The primary y-axis is the e value and the secondary y-axis is the f value. Three vertical lines denote the time at peak, the mean time, and the calculated time. The time at peak is the location of the peak of the </w:t>
      </w:r>
      <w:proofErr w:type="spellStart"/>
      <w:r>
        <w:t>ecurve</w:t>
      </w:r>
      <w:proofErr w:type="spellEnd"/>
      <w:r>
        <w:t xml:space="preserve">. The mean time is the first moment of the </w:t>
      </w:r>
      <w:proofErr w:type="spellStart"/>
      <w:r>
        <w:t>ecurve</w:t>
      </w:r>
      <w:proofErr w:type="spellEnd"/>
      <w:r>
        <w:t xml:space="preserve">. The calculated time is the calculated mean residence time based on the advertised inside diameter of the copper tubing. </w:t>
      </w:r>
    </w:p>
    <w:p w14:paraId="2B06DAC7" w14:textId="77777777" w:rsidR="0091512F" w:rsidRDefault="0091512F" w:rsidP="0091512F"/>
    <w:p w14:paraId="4103C003" w14:textId="77777777" w:rsidR="0091512F" w:rsidRDefault="0091512F" w:rsidP="0091512F">
      <w:pPr>
        <w:ind w:firstLine="360"/>
      </w:pPr>
      <w:r>
        <w:t xml:space="preserve">Assuming an average residence time based on an advertised diameter can lead to large errors. The advertised tubing inside diameter was 0.79 cm. For a 1.5 LPM flow rate, the calculated mean residence time in the oven is 29.9 seconds for the 15.25 m length. The actual mean residence time (first moment of the </w:t>
      </w:r>
      <w:proofErr w:type="spellStart"/>
      <w:r>
        <w:t>ecurve</w:t>
      </w:r>
      <w:proofErr w:type="spellEnd"/>
      <w:r>
        <w:t xml:space="preserve">) was 26.5 seconds. The difference in these times is 3.4 seconds, but neither measurement should be used to calculate vapor pressure. To calculate the vapor pressure of a pure component, the peak of the response should be used. The time corresponding with the peak of the DMA2 response correlates with the peak of the </w:t>
      </w:r>
      <w:proofErr w:type="spellStart"/>
      <w:r>
        <w:t>ecurve</w:t>
      </w:r>
      <w:proofErr w:type="spellEnd"/>
      <w:r>
        <w:t xml:space="preserve">. This time is 23.5 seconds. If we had assumed the advertised diameter, an error of nearly 30 % would occur when calculating vapor pressure. This difference underscores the importance of not only deconvoluting the actual </w:t>
      </w:r>
      <w:proofErr w:type="spellStart"/>
      <w:r>
        <w:t>ecurve</w:t>
      </w:r>
      <w:proofErr w:type="spellEnd"/>
      <w:r>
        <w:t>, but also determining the peak (not just the mean) of the residence time distribution. Even the peak time does not guarantee accurate results. See Supplemental Information S6.</w:t>
      </w:r>
    </w:p>
    <w:p w14:paraId="5DC14786" w14:textId="77777777" w:rsidR="00F4586D" w:rsidRDefault="00F4586D" w:rsidP="0091512F"/>
    <w:p w14:paraId="0F75A97B" w14:textId="64B13641" w:rsidR="00BE3435" w:rsidRDefault="00BE3435" w:rsidP="00F71821">
      <w:pPr>
        <w:pStyle w:val="ListParagraph"/>
        <w:numPr>
          <w:ilvl w:val="0"/>
          <w:numId w:val="1"/>
        </w:numPr>
      </w:pPr>
      <w:r>
        <w:t xml:space="preserve">Derivation of Equation </w:t>
      </w:r>
      <w:r w:rsidR="00553BD2">
        <w:t>3</w:t>
      </w:r>
    </w:p>
    <w:p w14:paraId="2FF3965F" w14:textId="2F009A28" w:rsidR="005B34E8" w:rsidRDefault="000B586F" w:rsidP="000B586F">
      <w:pPr>
        <w:ind w:firstLine="360"/>
      </w:pPr>
      <w:r>
        <w:t xml:space="preserve">Two versions of Equation </w:t>
      </w:r>
      <w:r w:rsidR="00994A13">
        <w:t>2</w:t>
      </w:r>
      <w:r>
        <w:t xml:space="preserve"> are used in the derivation of Equation </w:t>
      </w:r>
      <w:r w:rsidR="00994A13">
        <w:t>3</w:t>
      </w:r>
      <w:r>
        <w:t xml:space="preserve">. The first version is written for </w:t>
      </w:r>
      <w:r w:rsidR="00994A13">
        <w:t>a</w:t>
      </w:r>
      <w:r>
        <w:t xml:space="preserve"> </w:t>
      </w:r>
      <w:r w:rsidR="00994A13">
        <w:t>singly charged particle</w:t>
      </w:r>
      <w:r>
        <w:t xml:space="preserve"> and the second version for </w:t>
      </w:r>
      <w:r w:rsidR="00553BD2">
        <w:t>a</w:t>
      </w:r>
      <w:r>
        <w:t xml:space="preserve"> </w:t>
      </w:r>
      <w:r w:rsidR="00994A13">
        <w:t>doubly charged particle</w:t>
      </w:r>
      <w:r>
        <w:t xml:space="preserve">. Since all charges pass through the oven and DMAs under the same conditions, the constants cancel. </w:t>
      </w:r>
      <w:r w:rsidR="005B34E8">
        <w:t xml:space="preserve">This ratio results in </w:t>
      </w:r>
      <w:r w:rsidR="005B34E8">
        <w:lastRenderedPageBreak/>
        <w:t xml:space="preserve">Equation S13. In </w:t>
      </w:r>
      <w:r w:rsidR="0020665D">
        <w:t>E</w:t>
      </w:r>
      <w:r w:rsidR="005B34E8">
        <w:t xml:space="preserve">quation S13, </w:t>
      </w:r>
      <w:proofErr w:type="spellStart"/>
      <w:r w:rsidR="00CA66FB">
        <w:t>D</w:t>
      </w:r>
      <w:r w:rsidR="005B34E8" w:rsidRPr="005B34E8">
        <w:rPr>
          <w:rFonts w:ascii="Cambria Math" w:hAnsi="Cambria Math"/>
          <w:i/>
          <w:vertAlign w:val="subscript"/>
        </w:rPr>
        <w:t>p</w:t>
      </w:r>
      <w:proofErr w:type="spellEnd"/>
      <w:r w:rsidR="005B34E8">
        <w:t xml:space="preserve"> is the particle diameter, and the subscript </w:t>
      </w:r>
      <w:r w:rsidR="005B34E8" w:rsidRPr="005B34E8">
        <w:rPr>
          <w:rFonts w:ascii="Cambria Math" w:hAnsi="Cambria Math"/>
          <w:i/>
        </w:rPr>
        <w:t>1</w:t>
      </w:r>
      <w:r w:rsidR="005B34E8">
        <w:t xml:space="preserve"> is the </w:t>
      </w:r>
      <w:r w:rsidR="00553BD2">
        <w:t>singly</w:t>
      </w:r>
      <w:r w:rsidR="005B34E8">
        <w:t xml:space="preserve"> charge</w:t>
      </w:r>
      <w:r w:rsidR="00553BD2">
        <w:t>d</w:t>
      </w:r>
      <w:r w:rsidR="00994A13">
        <w:t xml:space="preserve"> particle</w:t>
      </w:r>
      <w:r w:rsidR="005B34E8">
        <w:t xml:space="preserve"> and the subscript </w:t>
      </w:r>
      <w:r w:rsidR="005B34E8" w:rsidRPr="005B34E8">
        <w:rPr>
          <w:rFonts w:ascii="Cambria Math" w:hAnsi="Cambria Math"/>
          <w:i/>
        </w:rPr>
        <w:t>2</w:t>
      </w:r>
      <w:r w:rsidR="005B34E8">
        <w:t xml:space="preserve"> is the </w:t>
      </w:r>
      <w:r w:rsidR="00553BD2">
        <w:t>doubly</w:t>
      </w:r>
      <w:r w:rsidR="005B34E8">
        <w:t xml:space="preserve"> charge</w:t>
      </w:r>
      <w:r w:rsidR="00553BD2">
        <w:t>d particle</w:t>
      </w:r>
      <w:r w:rsidR="005B34E8">
        <w:t xml:space="preserve">. The surface tension is </w:t>
      </w:r>
      <w:proofErr w:type="spellStart"/>
      <w:r w:rsidR="005B34E8" w:rsidRPr="005B34E8">
        <w:rPr>
          <w:rFonts w:ascii="Cambria Math" w:hAnsi="Cambria Math"/>
          <w:i/>
        </w:rPr>
        <w:t>σ</w:t>
      </w:r>
      <w:r w:rsidR="005B34E8" w:rsidRPr="005B34E8">
        <w:rPr>
          <w:rFonts w:ascii="Cambria Math" w:hAnsi="Cambria Math"/>
          <w:i/>
          <w:vertAlign w:val="subscript"/>
        </w:rPr>
        <w:t>i</w:t>
      </w:r>
      <w:proofErr w:type="spellEnd"/>
      <w:r w:rsidR="005B34E8">
        <w:t xml:space="preserve">, the molecular weight is </w:t>
      </w:r>
      <w:r w:rsidR="005B34E8" w:rsidRPr="005B34E8">
        <w:rPr>
          <w:rFonts w:ascii="Cambria Math" w:hAnsi="Cambria Math"/>
          <w:i/>
        </w:rPr>
        <w:t>M</w:t>
      </w:r>
      <w:r w:rsidR="005B34E8" w:rsidRPr="005B34E8">
        <w:rPr>
          <w:rFonts w:ascii="Cambria Math" w:hAnsi="Cambria Math"/>
          <w:i/>
          <w:vertAlign w:val="subscript"/>
        </w:rPr>
        <w:t>i</w:t>
      </w:r>
      <w:r w:rsidR="005B34E8">
        <w:t xml:space="preserve">, </w:t>
      </w:r>
      <w:r w:rsidR="005B34E8" w:rsidRPr="005B34E8">
        <w:rPr>
          <w:rFonts w:ascii="Cambria Math" w:hAnsi="Cambria Math"/>
          <w:i/>
        </w:rPr>
        <w:t>R</w:t>
      </w:r>
      <w:r w:rsidR="005B34E8">
        <w:t xml:space="preserve"> is the gas constant, </w:t>
      </w:r>
      <w:r w:rsidR="005B34E8" w:rsidRPr="005B34E8">
        <w:rPr>
          <w:rFonts w:ascii="Cambria Math" w:hAnsi="Cambria Math"/>
          <w:i/>
        </w:rPr>
        <w:t>T</w:t>
      </w:r>
      <w:r w:rsidR="005B34E8">
        <w:t xml:space="preserve"> is the temperature, and </w:t>
      </w:r>
      <w:proofErr w:type="spellStart"/>
      <w:r w:rsidR="005B34E8" w:rsidRPr="005B34E8">
        <w:rPr>
          <w:rFonts w:ascii="Cambria Math" w:hAnsi="Cambria Math"/>
          <w:i/>
        </w:rPr>
        <w:t>ρ</w:t>
      </w:r>
      <w:r w:rsidR="005B34E8" w:rsidRPr="005B34E8">
        <w:rPr>
          <w:rFonts w:ascii="Cambria Math" w:hAnsi="Cambria Math"/>
          <w:i/>
          <w:vertAlign w:val="subscript"/>
        </w:rPr>
        <w:t>i</w:t>
      </w:r>
      <w:proofErr w:type="spellEnd"/>
      <w:r w:rsidR="005B34E8">
        <w:t xml:space="preserve"> is the particle density. </w:t>
      </w:r>
      <w:r w:rsidR="005B34E8" w:rsidRPr="005B34E8">
        <w:rPr>
          <w:rFonts w:ascii="Cambria Math" w:hAnsi="Cambria Math"/>
          <w:i/>
        </w:rPr>
        <w:t>F</w:t>
      </w:r>
      <w:r w:rsidR="005B34E8">
        <w:t xml:space="preserve"> is the ratio of the flux in the transitional regime divided by the flux in the continuous regime. </w:t>
      </w:r>
      <w:proofErr w:type="spellStart"/>
      <w:r w:rsidR="005B34E8" w:rsidRPr="005B34E8">
        <w:rPr>
          <w:rFonts w:ascii="Cambria Math" w:hAnsi="Cambria Math"/>
          <w:i/>
        </w:rPr>
        <w:t>Kn</w:t>
      </w:r>
      <w:r w:rsidR="005B34E8" w:rsidRPr="005B34E8">
        <w:rPr>
          <w:rFonts w:ascii="Cambria Math" w:hAnsi="Cambria Math"/>
          <w:i/>
          <w:vertAlign w:val="subscript"/>
        </w:rPr>
        <w:t>i</w:t>
      </w:r>
      <w:proofErr w:type="spellEnd"/>
      <w:r w:rsidR="005B34E8">
        <w:t xml:space="preserve"> is the Knudsen number</w:t>
      </w:r>
      <w:r w:rsidR="00DC3D08">
        <w:t>,</w:t>
      </w:r>
      <w:r w:rsidR="005B34E8">
        <w:t xml:space="preserve"> and </w:t>
      </w:r>
      <w:r w:rsidR="005B34E8" w:rsidRPr="005B34E8">
        <w:rPr>
          <w:rFonts w:ascii="Cambria Math" w:hAnsi="Cambria Math"/>
          <w:i/>
        </w:rPr>
        <w:t>α</w:t>
      </w:r>
      <w:proofErr w:type="spellStart"/>
      <w:r w:rsidR="005B34E8" w:rsidRPr="005B34E8">
        <w:rPr>
          <w:rFonts w:ascii="Cambria Math" w:hAnsi="Cambria Math"/>
          <w:i/>
          <w:vertAlign w:val="subscript"/>
        </w:rPr>
        <w:t>i</w:t>
      </w:r>
      <w:proofErr w:type="spellEnd"/>
      <w:r w:rsidR="005B34E8">
        <w:t xml:space="preserve"> is the mass accommodation coefficient. Use of Equation S13 will determine the rate of evaporation of the </w:t>
      </w:r>
      <w:r w:rsidR="00553BD2">
        <w:t xml:space="preserve">singly </w:t>
      </w:r>
      <w:r w:rsidR="005B34E8">
        <w:t xml:space="preserve">charged particle divided by the rate of evaporation of the </w:t>
      </w:r>
      <w:r w:rsidR="00553BD2">
        <w:t>doubly</w:t>
      </w:r>
      <w:r w:rsidR="005B34E8">
        <w:t xml:space="preserve"> charged particle. This formula must be corrected so that the </w:t>
      </w:r>
      <w:r w:rsidR="00553BD2">
        <w:t>doubly</w:t>
      </w:r>
      <w:r w:rsidR="005B34E8">
        <w:t xml:space="preserve"> charge</w:t>
      </w:r>
      <w:r w:rsidR="00553BD2">
        <w:t>d particle</w:t>
      </w:r>
      <w:r w:rsidR="005B34E8">
        <w:t xml:space="preserve"> is expressed in first charge </w:t>
      </w:r>
      <w:r w:rsidR="00FF7C9F">
        <w:t>diameter</w:t>
      </w:r>
      <w:r w:rsidR="005B34E8">
        <w:t xml:space="preserve"> space. </w:t>
      </w:r>
    </w:p>
    <w:p w14:paraId="2EDC8751" w14:textId="77777777" w:rsidR="00BE3435" w:rsidRPr="005B34E8" w:rsidRDefault="000B586F" w:rsidP="000B586F">
      <w:pPr>
        <w:ind w:firstLine="360"/>
        <w:rPr>
          <w:rFonts w:eastAsiaTheme="minorEastAsia"/>
        </w:rPr>
      </w:pPr>
      <w:r>
        <w:t xml:space="preserve"> </w:t>
      </w:r>
      <m:oMath>
        <m:r>
          <m:rPr>
            <m:sty m:val="p"/>
          </m:rPr>
          <w:rPr>
            <w:rFonts w:ascii="Cambria Math" w:hAnsi="Cambria Math"/>
          </w:rPr>
          <w:br/>
        </m:r>
      </m:oMath>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p,1</m:t>
                  </m:r>
                </m:sub>
              </m:sSub>
            </m:num>
            <m:den>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p,2</m:t>
                  </m:r>
                </m:sub>
              </m:sSub>
            </m:den>
          </m:f>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p,2</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p,1</m:t>
                      </m:r>
                    </m:sub>
                  </m:sSub>
                </m:e>
              </m:d>
            </m:den>
          </m:f>
          <m:f>
            <m:fPr>
              <m:ctrlPr>
                <w:rPr>
                  <w:rFonts w:ascii="Cambria Math" w:hAnsi="Cambria Math"/>
                  <w:i/>
                </w:rPr>
              </m:ctrlPr>
            </m:fPr>
            <m:num>
              <m:sSup>
                <m:sSupPr>
                  <m:ctrlPr>
                    <w:rPr>
                      <w:rFonts w:ascii="Cambria Math" w:hAnsi="Cambria Math"/>
                      <w:i/>
                      <w:sz w:val="20"/>
                    </w:rPr>
                  </m:ctrlPr>
                </m:sSupPr>
                <m:e>
                  <m:r>
                    <w:rPr>
                      <w:rFonts w:ascii="Cambria Math" w:hAnsi="Cambria Math"/>
                      <w:sz w:val="20"/>
                    </w:rPr>
                    <m:t>exp</m:t>
                  </m:r>
                </m:e>
                <m:sup>
                  <m:d>
                    <m:dPr>
                      <m:ctrlPr>
                        <w:rPr>
                          <w:rFonts w:ascii="Cambria Math" w:hAnsi="Cambria Math"/>
                          <w:i/>
                          <w:sz w:val="20"/>
                        </w:rPr>
                      </m:ctrlPr>
                    </m:dPr>
                    <m:e>
                      <m:f>
                        <m:fPr>
                          <m:ctrlPr>
                            <w:rPr>
                              <w:rFonts w:ascii="Cambria Math" w:hAnsi="Cambria Math"/>
                              <w:i/>
                              <w:sz w:val="20"/>
                            </w:rPr>
                          </m:ctrlPr>
                        </m:fPr>
                        <m:num>
                          <m:r>
                            <w:rPr>
                              <w:rFonts w:ascii="Cambria Math" w:hAnsi="Cambria Math"/>
                              <w:sz w:val="20"/>
                            </w:rPr>
                            <m:t>4</m:t>
                          </m:r>
                          <m:sSub>
                            <m:sSubPr>
                              <m:ctrlPr>
                                <w:rPr>
                                  <w:rFonts w:ascii="Cambria Math" w:hAnsi="Cambria Math"/>
                                  <w:i/>
                                  <w:sz w:val="20"/>
                                </w:rPr>
                              </m:ctrlPr>
                            </m:sSubPr>
                            <m:e>
                              <m:r>
                                <w:rPr>
                                  <w:rFonts w:ascii="Cambria Math" w:hAnsi="Cambria Math"/>
                                  <w:sz w:val="20"/>
                                </w:rPr>
                                <m:t>σ</m:t>
                              </m:r>
                            </m:e>
                            <m:sub>
                              <m:r>
                                <w:rPr>
                                  <w:rFonts w:ascii="Cambria Math" w:hAnsi="Cambria Math"/>
                                  <w:sz w:val="20"/>
                                </w:rPr>
                                <m:t>i</m:t>
                              </m:r>
                            </m:sub>
                          </m:sSub>
                          <m:sSub>
                            <m:sSubPr>
                              <m:ctrlPr>
                                <w:rPr>
                                  <w:rFonts w:ascii="Cambria Math" w:hAnsi="Cambria Math"/>
                                  <w:i/>
                                  <w:sz w:val="20"/>
                                </w:rPr>
                              </m:ctrlPr>
                            </m:sSubPr>
                            <m:e>
                              <m:r>
                                <w:rPr>
                                  <w:rFonts w:ascii="Cambria Math" w:hAnsi="Cambria Math"/>
                                  <w:sz w:val="20"/>
                                </w:rPr>
                                <m:t>M</m:t>
                              </m:r>
                            </m:e>
                            <m:sub>
                              <m:r>
                                <w:rPr>
                                  <w:rFonts w:ascii="Cambria Math" w:hAnsi="Cambria Math"/>
                                  <w:sz w:val="20"/>
                                </w:rPr>
                                <m:t>i</m:t>
                              </m:r>
                            </m:sub>
                          </m:sSub>
                        </m:num>
                        <m:den>
                          <m:r>
                            <w:rPr>
                              <w:rFonts w:ascii="Cambria Math" w:hAnsi="Cambria Math"/>
                              <w:sz w:val="20"/>
                            </w:rPr>
                            <m:t>RT</m:t>
                          </m:r>
                          <m:sSub>
                            <m:sSubPr>
                              <m:ctrlPr>
                                <w:rPr>
                                  <w:rFonts w:ascii="Cambria Math" w:hAnsi="Cambria Math"/>
                                  <w:i/>
                                  <w:sz w:val="20"/>
                                </w:rPr>
                              </m:ctrlPr>
                            </m:sSubPr>
                            <m:e>
                              <m:r>
                                <w:rPr>
                                  <w:rFonts w:ascii="Cambria Math" w:hAnsi="Cambria Math"/>
                                  <w:sz w:val="20"/>
                                </w:rPr>
                                <m:t>ρ</m:t>
                              </m:r>
                            </m:e>
                            <m:sub>
                              <m:r>
                                <w:rPr>
                                  <w:rFonts w:ascii="Cambria Math" w:hAnsi="Cambria Math"/>
                                  <w:sz w:val="20"/>
                                </w:rPr>
                                <m:t>i</m:t>
                              </m:r>
                            </m:sub>
                          </m:sSub>
                          <m:sSub>
                            <m:sSubPr>
                              <m:ctrlPr>
                                <w:rPr>
                                  <w:rFonts w:ascii="Cambria Math" w:hAnsi="Cambria Math"/>
                                  <w:i/>
                                  <w:sz w:val="20"/>
                                </w:rPr>
                              </m:ctrlPr>
                            </m:sSubPr>
                            <m:e>
                              <m:r>
                                <w:rPr>
                                  <w:rFonts w:ascii="Cambria Math" w:hAnsi="Cambria Math"/>
                                  <w:sz w:val="20"/>
                                </w:rPr>
                                <m:t>D</m:t>
                              </m:r>
                            </m:e>
                            <m:sub>
                              <m:r>
                                <w:rPr>
                                  <w:rFonts w:ascii="Cambria Math" w:hAnsi="Cambria Math"/>
                                  <w:sz w:val="20"/>
                                </w:rPr>
                                <m:t>p,1</m:t>
                              </m:r>
                            </m:sub>
                          </m:sSub>
                        </m:den>
                      </m:f>
                    </m:e>
                  </m:d>
                </m:sup>
              </m:sSup>
            </m:num>
            <m:den>
              <m:sSup>
                <m:sSupPr>
                  <m:ctrlPr>
                    <w:rPr>
                      <w:rFonts w:ascii="Cambria Math" w:hAnsi="Cambria Math"/>
                      <w:i/>
                      <w:sz w:val="20"/>
                    </w:rPr>
                  </m:ctrlPr>
                </m:sSupPr>
                <m:e>
                  <m:r>
                    <w:rPr>
                      <w:rFonts w:ascii="Cambria Math" w:hAnsi="Cambria Math"/>
                      <w:sz w:val="20"/>
                    </w:rPr>
                    <m:t>exp</m:t>
                  </m:r>
                </m:e>
                <m:sup>
                  <m:d>
                    <m:dPr>
                      <m:ctrlPr>
                        <w:rPr>
                          <w:rFonts w:ascii="Cambria Math" w:hAnsi="Cambria Math"/>
                          <w:i/>
                          <w:sz w:val="20"/>
                        </w:rPr>
                      </m:ctrlPr>
                    </m:dPr>
                    <m:e>
                      <m:f>
                        <m:fPr>
                          <m:ctrlPr>
                            <w:rPr>
                              <w:rFonts w:ascii="Cambria Math" w:hAnsi="Cambria Math"/>
                              <w:i/>
                              <w:sz w:val="20"/>
                            </w:rPr>
                          </m:ctrlPr>
                        </m:fPr>
                        <m:num>
                          <m:r>
                            <w:rPr>
                              <w:rFonts w:ascii="Cambria Math" w:hAnsi="Cambria Math"/>
                              <w:sz w:val="20"/>
                            </w:rPr>
                            <m:t>4</m:t>
                          </m:r>
                          <m:sSub>
                            <m:sSubPr>
                              <m:ctrlPr>
                                <w:rPr>
                                  <w:rFonts w:ascii="Cambria Math" w:hAnsi="Cambria Math"/>
                                  <w:i/>
                                  <w:sz w:val="20"/>
                                </w:rPr>
                              </m:ctrlPr>
                            </m:sSubPr>
                            <m:e>
                              <m:r>
                                <w:rPr>
                                  <w:rFonts w:ascii="Cambria Math" w:hAnsi="Cambria Math"/>
                                  <w:sz w:val="20"/>
                                </w:rPr>
                                <m:t>σ</m:t>
                              </m:r>
                            </m:e>
                            <m:sub>
                              <m:r>
                                <w:rPr>
                                  <w:rFonts w:ascii="Cambria Math" w:hAnsi="Cambria Math"/>
                                  <w:sz w:val="20"/>
                                </w:rPr>
                                <m:t>i</m:t>
                              </m:r>
                            </m:sub>
                          </m:sSub>
                          <m:sSub>
                            <m:sSubPr>
                              <m:ctrlPr>
                                <w:rPr>
                                  <w:rFonts w:ascii="Cambria Math" w:hAnsi="Cambria Math"/>
                                  <w:i/>
                                  <w:sz w:val="20"/>
                                </w:rPr>
                              </m:ctrlPr>
                            </m:sSubPr>
                            <m:e>
                              <m:r>
                                <w:rPr>
                                  <w:rFonts w:ascii="Cambria Math" w:hAnsi="Cambria Math"/>
                                  <w:sz w:val="20"/>
                                </w:rPr>
                                <m:t>M</m:t>
                              </m:r>
                            </m:e>
                            <m:sub>
                              <m:r>
                                <w:rPr>
                                  <w:rFonts w:ascii="Cambria Math" w:hAnsi="Cambria Math"/>
                                  <w:sz w:val="20"/>
                                </w:rPr>
                                <m:t>i</m:t>
                              </m:r>
                            </m:sub>
                          </m:sSub>
                        </m:num>
                        <m:den>
                          <m:r>
                            <w:rPr>
                              <w:rFonts w:ascii="Cambria Math" w:hAnsi="Cambria Math"/>
                              <w:sz w:val="20"/>
                            </w:rPr>
                            <m:t>RT</m:t>
                          </m:r>
                          <m:sSub>
                            <m:sSubPr>
                              <m:ctrlPr>
                                <w:rPr>
                                  <w:rFonts w:ascii="Cambria Math" w:hAnsi="Cambria Math"/>
                                  <w:i/>
                                  <w:sz w:val="20"/>
                                </w:rPr>
                              </m:ctrlPr>
                            </m:sSubPr>
                            <m:e>
                              <m:r>
                                <w:rPr>
                                  <w:rFonts w:ascii="Cambria Math" w:hAnsi="Cambria Math"/>
                                  <w:sz w:val="20"/>
                                </w:rPr>
                                <m:t>ρ</m:t>
                              </m:r>
                            </m:e>
                            <m:sub>
                              <m:r>
                                <w:rPr>
                                  <w:rFonts w:ascii="Cambria Math" w:hAnsi="Cambria Math"/>
                                  <w:sz w:val="20"/>
                                </w:rPr>
                                <m:t>i</m:t>
                              </m:r>
                            </m:sub>
                          </m:sSub>
                          <m:sSub>
                            <m:sSubPr>
                              <m:ctrlPr>
                                <w:rPr>
                                  <w:rFonts w:ascii="Cambria Math" w:hAnsi="Cambria Math"/>
                                  <w:i/>
                                  <w:sz w:val="20"/>
                                </w:rPr>
                              </m:ctrlPr>
                            </m:sSubPr>
                            <m:e>
                              <m:r>
                                <w:rPr>
                                  <w:rFonts w:ascii="Cambria Math" w:hAnsi="Cambria Math"/>
                                  <w:sz w:val="20"/>
                                </w:rPr>
                                <m:t>D</m:t>
                              </m:r>
                            </m:e>
                            <m:sub>
                              <m:r>
                                <w:rPr>
                                  <w:rFonts w:ascii="Cambria Math" w:hAnsi="Cambria Math"/>
                                  <w:sz w:val="20"/>
                                </w:rPr>
                                <m:t>p,2</m:t>
                              </m:r>
                            </m:sub>
                          </m:sSub>
                        </m:den>
                      </m:f>
                    </m:e>
                  </m:d>
                </m:sup>
              </m:sSup>
            </m:den>
          </m:f>
          <m:r>
            <w:rPr>
              <w:rFonts w:ascii="Cambria Math" w:eastAsiaTheme="minorEastAsia" w:hAnsi="Cambria Math"/>
            </w:rPr>
            <m:t xml:space="preserve"> </m:t>
          </m:r>
          <m:f>
            <m:fPr>
              <m:ctrlPr>
                <w:rPr>
                  <w:rFonts w:ascii="Cambria Math" w:hAnsi="Cambria Math"/>
                  <w:i/>
                </w:rPr>
              </m:ctrlPr>
            </m:fPr>
            <m:num>
              <m:r>
                <w:rPr>
                  <w:rFonts w:ascii="Cambria Math" w:hAnsi="Cambria Math"/>
                </w:rPr>
                <m:t>F</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Kn</m:t>
                      </m:r>
                    </m:e>
                    <m:sub>
                      <m:r>
                        <w:rPr>
                          <w:rFonts w:ascii="Cambria Math" w:hAnsi="Cambria Math"/>
                          <w:sz w:val="20"/>
                        </w:rPr>
                        <m:t>i,1</m:t>
                      </m:r>
                    </m:sub>
                  </m:sSub>
                  <m:r>
                    <w:rPr>
                      <w:rFonts w:ascii="Cambria Math" w:hAnsi="Cambria Math"/>
                      <w:sz w:val="20"/>
                    </w:rPr>
                    <m:t>,</m:t>
                  </m:r>
                  <m:sSub>
                    <m:sSubPr>
                      <m:ctrlPr>
                        <w:rPr>
                          <w:rFonts w:ascii="Cambria Math" w:hAnsi="Cambria Math"/>
                          <w:i/>
                          <w:sz w:val="20"/>
                        </w:rPr>
                      </m:ctrlPr>
                    </m:sSubPr>
                    <m:e>
                      <m:r>
                        <w:rPr>
                          <w:rFonts w:ascii="Cambria Math" w:hAnsi="Cambria Math"/>
                          <w:sz w:val="20"/>
                        </w:rPr>
                        <m:t>α</m:t>
                      </m:r>
                    </m:e>
                    <m:sub>
                      <m:r>
                        <w:rPr>
                          <w:rFonts w:ascii="Cambria Math" w:hAnsi="Cambria Math"/>
                          <w:sz w:val="20"/>
                        </w:rPr>
                        <m:t>i,1</m:t>
                      </m:r>
                    </m:sub>
                  </m:sSub>
                </m:e>
              </m:d>
            </m:num>
            <m:den>
              <m:r>
                <w:rPr>
                  <w:rFonts w:ascii="Cambria Math" w:hAnsi="Cambria Math"/>
                </w:rPr>
                <m:t>F</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Kn</m:t>
                      </m:r>
                    </m:e>
                    <m:sub>
                      <m:r>
                        <w:rPr>
                          <w:rFonts w:ascii="Cambria Math" w:hAnsi="Cambria Math"/>
                          <w:sz w:val="20"/>
                        </w:rPr>
                        <m:t>i,2</m:t>
                      </m:r>
                    </m:sub>
                  </m:sSub>
                  <m:r>
                    <w:rPr>
                      <w:rFonts w:ascii="Cambria Math" w:hAnsi="Cambria Math"/>
                      <w:sz w:val="20"/>
                    </w:rPr>
                    <m:t>,</m:t>
                  </m:r>
                  <m:sSub>
                    <m:sSubPr>
                      <m:ctrlPr>
                        <w:rPr>
                          <w:rFonts w:ascii="Cambria Math" w:hAnsi="Cambria Math"/>
                          <w:i/>
                          <w:sz w:val="20"/>
                        </w:rPr>
                      </m:ctrlPr>
                    </m:sSubPr>
                    <m:e>
                      <m:r>
                        <w:rPr>
                          <w:rFonts w:ascii="Cambria Math" w:hAnsi="Cambria Math"/>
                          <w:sz w:val="20"/>
                        </w:rPr>
                        <m:t>α</m:t>
                      </m:r>
                    </m:e>
                    <m:sub>
                      <m:r>
                        <w:rPr>
                          <w:rFonts w:ascii="Cambria Math" w:hAnsi="Cambria Math"/>
                          <w:sz w:val="20"/>
                        </w:rPr>
                        <m:t>i,2</m:t>
                      </m:r>
                    </m:sub>
                  </m:sSub>
                </m:e>
              </m:d>
            </m:den>
          </m:f>
          <m:r>
            <w:rPr>
              <w:rFonts w:ascii="Cambria Math" w:eastAsiaTheme="minorEastAsia" w:hAnsi="Cambria Math"/>
            </w:rPr>
            <m:t xml:space="preserve">                             (S13)</m:t>
          </m:r>
        </m:oMath>
      </m:oMathPara>
    </w:p>
    <w:p w14:paraId="5D3FE8DE" w14:textId="23C9E719" w:rsidR="005B34E8" w:rsidRDefault="005B34E8" w:rsidP="000B586F">
      <w:pPr>
        <w:ind w:firstLine="360"/>
        <w:rPr>
          <w:rFonts w:eastAsiaTheme="minorEastAsia"/>
        </w:rPr>
      </w:pPr>
      <w:r>
        <w:rPr>
          <w:rFonts w:eastAsiaTheme="minorEastAsia"/>
        </w:rPr>
        <w:t xml:space="preserve">Equation </w:t>
      </w:r>
      <w:r w:rsidR="00553BD2">
        <w:rPr>
          <w:rFonts w:eastAsiaTheme="minorEastAsia"/>
        </w:rPr>
        <w:t>1</w:t>
      </w:r>
      <w:r>
        <w:rPr>
          <w:rFonts w:eastAsiaTheme="minorEastAsia"/>
        </w:rPr>
        <w:t xml:space="preserve"> is used to convert the </w:t>
      </w:r>
      <w:r w:rsidR="00553BD2">
        <w:rPr>
          <w:rFonts w:eastAsiaTheme="minorEastAsia"/>
        </w:rPr>
        <w:t>doubly</w:t>
      </w:r>
      <w:r>
        <w:rPr>
          <w:rFonts w:eastAsiaTheme="minorEastAsia"/>
        </w:rPr>
        <w:t xml:space="preserve"> charged particle to first charge </w:t>
      </w:r>
      <w:r w:rsidR="00FF7C9F">
        <w:rPr>
          <w:rFonts w:eastAsiaTheme="minorEastAsia"/>
        </w:rPr>
        <w:t>diameter</w:t>
      </w:r>
      <w:r>
        <w:rPr>
          <w:rFonts w:eastAsiaTheme="minorEastAsia"/>
        </w:rPr>
        <w:t xml:space="preserve"> space. </w:t>
      </w:r>
      <w:r w:rsidR="00081528">
        <w:rPr>
          <w:rFonts w:eastAsiaTheme="minorEastAsia"/>
        </w:rPr>
        <w:t xml:space="preserve">This </w:t>
      </w:r>
      <w:r w:rsidR="00FF7C9F">
        <w:rPr>
          <w:rFonts w:eastAsiaTheme="minorEastAsia"/>
        </w:rPr>
        <w:t xml:space="preserve">conversion </w:t>
      </w:r>
      <w:r w:rsidR="00081528">
        <w:rPr>
          <w:rFonts w:eastAsiaTheme="minorEastAsia"/>
        </w:rPr>
        <w:t xml:space="preserve">is done by first equating the mobility of the </w:t>
      </w:r>
      <w:r w:rsidR="00553BD2">
        <w:rPr>
          <w:rFonts w:eastAsiaTheme="minorEastAsia"/>
        </w:rPr>
        <w:t>doubly</w:t>
      </w:r>
      <w:r w:rsidR="00081528">
        <w:rPr>
          <w:rFonts w:eastAsiaTheme="minorEastAsia"/>
        </w:rPr>
        <w:t xml:space="preserve"> charge</w:t>
      </w:r>
      <w:r w:rsidR="00553BD2">
        <w:rPr>
          <w:rFonts w:eastAsiaTheme="minorEastAsia"/>
        </w:rPr>
        <w:t>d</w:t>
      </w:r>
      <w:r w:rsidR="00081528">
        <w:rPr>
          <w:rFonts w:eastAsiaTheme="minorEastAsia"/>
        </w:rPr>
        <w:t xml:space="preserve"> particle to a particle with the same mobility in </w:t>
      </w:r>
      <w:r w:rsidR="00553BD2">
        <w:rPr>
          <w:rFonts w:eastAsiaTheme="minorEastAsia"/>
        </w:rPr>
        <w:t>single</w:t>
      </w:r>
      <w:r w:rsidR="00081528">
        <w:rPr>
          <w:rFonts w:eastAsiaTheme="minorEastAsia"/>
        </w:rPr>
        <w:t xml:space="preserve"> charge </w:t>
      </w:r>
      <w:r w:rsidR="00FF7C9F">
        <w:rPr>
          <w:rFonts w:eastAsiaTheme="minorEastAsia"/>
        </w:rPr>
        <w:t>diameter</w:t>
      </w:r>
      <w:r w:rsidR="00081528">
        <w:rPr>
          <w:rFonts w:eastAsiaTheme="minorEastAsia"/>
        </w:rPr>
        <w:t xml:space="preserve"> space. This equality is shown as Equation S14. In Equation S14, Z is the mobility, and the subscript 2-1 is a </w:t>
      </w:r>
      <w:r w:rsidR="00553BD2">
        <w:rPr>
          <w:rFonts w:eastAsiaTheme="minorEastAsia"/>
        </w:rPr>
        <w:t>singly</w:t>
      </w:r>
      <w:r w:rsidR="00081528">
        <w:rPr>
          <w:rFonts w:eastAsiaTheme="minorEastAsia"/>
        </w:rPr>
        <w:t xml:space="preserve"> charge</w:t>
      </w:r>
      <w:r w:rsidR="00553BD2">
        <w:rPr>
          <w:rFonts w:eastAsiaTheme="minorEastAsia"/>
        </w:rPr>
        <w:t>d</w:t>
      </w:r>
      <w:r w:rsidR="00081528">
        <w:rPr>
          <w:rFonts w:eastAsiaTheme="minorEastAsia"/>
        </w:rPr>
        <w:t xml:space="preserve"> particle with the same mobility as the </w:t>
      </w:r>
      <w:r w:rsidR="00553BD2">
        <w:rPr>
          <w:rFonts w:eastAsiaTheme="minorEastAsia"/>
        </w:rPr>
        <w:t>doubly</w:t>
      </w:r>
      <w:r w:rsidR="00081528">
        <w:rPr>
          <w:rFonts w:eastAsiaTheme="minorEastAsia"/>
        </w:rPr>
        <w:t xml:space="preserve"> charge</w:t>
      </w:r>
      <w:r w:rsidR="00553BD2">
        <w:rPr>
          <w:rFonts w:eastAsiaTheme="minorEastAsia"/>
        </w:rPr>
        <w:t>d</w:t>
      </w:r>
      <w:r w:rsidR="00081528">
        <w:rPr>
          <w:rFonts w:eastAsiaTheme="minorEastAsia"/>
        </w:rPr>
        <w:t xml:space="preserve"> particle. The remaining variables are as previously defined. All constants exist on both sides of Equation S14 and can be removed. Once removed, the derivative of S14 can be performed implicitly. This results in Equation S15. </w:t>
      </w:r>
      <w:r w:rsidR="00917B73">
        <w:rPr>
          <w:rFonts w:eastAsiaTheme="minorEastAsia"/>
        </w:rPr>
        <w:t xml:space="preserve">All variables have been previously defined. The derivatives </w:t>
      </w:r>
      <w:proofErr w:type="spellStart"/>
      <w:r w:rsidR="00917B73" w:rsidRPr="00917B73">
        <w:rPr>
          <w:rFonts w:ascii="Cambria Math" w:eastAsiaTheme="minorEastAsia" w:hAnsi="Cambria Math"/>
          <w:i/>
        </w:rPr>
        <w:t>dC</w:t>
      </w:r>
      <w:proofErr w:type="spellEnd"/>
      <w:r w:rsidR="00917B73" w:rsidRPr="00917B73">
        <w:rPr>
          <w:rFonts w:ascii="Cambria Math" w:eastAsiaTheme="minorEastAsia" w:hAnsi="Cambria Math"/>
          <w:i/>
        </w:rPr>
        <w:t>/</w:t>
      </w:r>
      <w:proofErr w:type="spellStart"/>
      <w:r w:rsidR="00917B73" w:rsidRPr="00917B73">
        <w:rPr>
          <w:rFonts w:ascii="Cambria Math" w:eastAsiaTheme="minorEastAsia" w:hAnsi="Cambria Math"/>
          <w:i/>
        </w:rPr>
        <w:t>d</w:t>
      </w:r>
      <w:r w:rsidR="00CA66FB">
        <w:rPr>
          <w:rFonts w:ascii="Cambria Math" w:eastAsiaTheme="minorEastAsia" w:hAnsi="Cambria Math"/>
          <w:i/>
        </w:rPr>
        <w:t>D</w:t>
      </w:r>
      <w:r w:rsidR="00917B73" w:rsidRPr="00917B73">
        <w:rPr>
          <w:rFonts w:ascii="Cambria Math" w:eastAsiaTheme="minorEastAsia" w:hAnsi="Cambria Math"/>
          <w:i/>
          <w:vertAlign w:val="subscript"/>
        </w:rPr>
        <w:t>p</w:t>
      </w:r>
      <w:proofErr w:type="spellEnd"/>
      <w:r w:rsidR="00917B73">
        <w:rPr>
          <w:rFonts w:ascii="Cambria Math" w:eastAsiaTheme="minorEastAsia" w:hAnsi="Cambria Math"/>
          <w:i/>
          <w:vertAlign w:val="subscript"/>
        </w:rPr>
        <w:t xml:space="preserve"> </w:t>
      </w:r>
      <w:r w:rsidR="00917B73">
        <w:rPr>
          <w:rFonts w:eastAsiaTheme="minorEastAsia"/>
        </w:rPr>
        <w:t>can be calculated using Equation S</w:t>
      </w:r>
      <w:r w:rsidR="00553BD2">
        <w:rPr>
          <w:rFonts w:eastAsiaTheme="minorEastAsia"/>
        </w:rPr>
        <w:t>8</w:t>
      </w:r>
      <w:r w:rsidR="00917B73">
        <w:rPr>
          <w:rFonts w:eastAsiaTheme="minorEastAsia"/>
        </w:rPr>
        <w:t xml:space="preserve">. Equation </w:t>
      </w:r>
      <w:r w:rsidR="00DC3D08">
        <w:rPr>
          <w:rFonts w:eastAsiaTheme="minorEastAsia"/>
        </w:rPr>
        <w:t>S</w:t>
      </w:r>
      <w:r w:rsidR="00917B73">
        <w:rPr>
          <w:rFonts w:eastAsiaTheme="minorEastAsia"/>
        </w:rPr>
        <w:t xml:space="preserve">15 is then multiplied into both sides of Equation S13. This results in Equation </w:t>
      </w:r>
      <w:r w:rsidR="00553BD2">
        <w:rPr>
          <w:rFonts w:eastAsiaTheme="minorEastAsia"/>
        </w:rPr>
        <w:t>3</w:t>
      </w:r>
      <w:r w:rsidR="00917B73">
        <w:rPr>
          <w:rFonts w:eastAsiaTheme="minorEastAsia"/>
        </w:rPr>
        <w:t>.</w:t>
      </w:r>
    </w:p>
    <w:p w14:paraId="77D5808F" w14:textId="77777777" w:rsidR="00081528" w:rsidRPr="00081528" w:rsidRDefault="00DE2A2E" w:rsidP="000B586F">
      <w:pPr>
        <w:ind w:firstLine="360"/>
        <w:rPr>
          <w:rFonts w:eastAsiaTheme="minorEastAsia"/>
        </w:rPr>
      </w:pPr>
      <m:oMathPara>
        <m:oMath>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2eC</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p,2</m:t>
                      </m:r>
                    </m:sub>
                  </m:sSub>
                </m:e>
              </m:d>
            </m:num>
            <m:den>
              <m:r>
                <w:rPr>
                  <w:rFonts w:ascii="Cambria Math" w:hAnsi="Cambria Math"/>
                </w:rPr>
                <m:t>3πμ</m:t>
              </m:r>
              <m:sSub>
                <m:sSubPr>
                  <m:ctrlPr>
                    <w:rPr>
                      <w:rFonts w:ascii="Cambria Math" w:hAnsi="Cambria Math"/>
                      <w:i/>
                    </w:rPr>
                  </m:ctrlPr>
                </m:sSubPr>
                <m:e>
                  <m:r>
                    <w:rPr>
                      <w:rFonts w:ascii="Cambria Math" w:hAnsi="Cambria Math"/>
                    </w:rPr>
                    <m:t>D</m:t>
                  </m:r>
                </m:e>
                <m:sub>
                  <m:r>
                    <w:rPr>
                      <w:rFonts w:ascii="Cambria Math" w:hAnsi="Cambria Math"/>
                    </w:rPr>
                    <m:t>p,2</m:t>
                  </m:r>
                </m:sub>
              </m:sSub>
            </m:den>
          </m:f>
          <m:r>
            <w:rPr>
              <w:rFonts w:ascii="Cambria Math" w:eastAsiaTheme="minorEastAsia" w:hAnsi="Cambria Math"/>
            </w:rPr>
            <m:t>=</m:t>
          </m:r>
          <m:f>
            <m:fPr>
              <m:ctrlPr>
                <w:rPr>
                  <w:rFonts w:ascii="Cambria Math" w:hAnsi="Cambria Math"/>
                  <w:i/>
                </w:rPr>
              </m:ctrlPr>
            </m:fPr>
            <m:num>
              <m:r>
                <w:rPr>
                  <w:rFonts w:ascii="Cambria Math" w:hAnsi="Cambria Math"/>
                </w:rPr>
                <m:t>eC</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p,2-1</m:t>
                      </m:r>
                    </m:sub>
                  </m:sSub>
                </m:e>
              </m:d>
            </m:num>
            <m:den>
              <m:r>
                <w:rPr>
                  <w:rFonts w:ascii="Cambria Math" w:hAnsi="Cambria Math"/>
                </w:rPr>
                <m:t>3πμ</m:t>
              </m:r>
              <m:sSub>
                <m:sSubPr>
                  <m:ctrlPr>
                    <w:rPr>
                      <w:rFonts w:ascii="Cambria Math" w:hAnsi="Cambria Math"/>
                      <w:i/>
                    </w:rPr>
                  </m:ctrlPr>
                </m:sSubPr>
                <m:e>
                  <m:r>
                    <w:rPr>
                      <w:rFonts w:ascii="Cambria Math" w:hAnsi="Cambria Math"/>
                    </w:rPr>
                    <m:t>D</m:t>
                  </m:r>
                </m:e>
                <m:sub>
                  <m:r>
                    <w:rPr>
                      <w:rFonts w:ascii="Cambria Math" w:hAnsi="Cambria Math"/>
                    </w:rPr>
                    <m:t>p,2-1</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2-1</m:t>
              </m:r>
            </m:sub>
          </m:sSub>
          <m:r>
            <w:rPr>
              <w:rFonts w:ascii="Cambria Math" w:eastAsiaTheme="minorEastAsia" w:hAnsi="Cambria Math"/>
            </w:rPr>
            <m:t xml:space="preserve">                                         (S14)</m:t>
          </m:r>
        </m:oMath>
      </m:oMathPara>
    </w:p>
    <w:p w14:paraId="54B1EE13" w14:textId="77777777" w:rsidR="00081528" w:rsidRDefault="00DE2A2E" w:rsidP="000B586F">
      <w:pPr>
        <w:ind w:firstLine="36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p,2</m:t>
                  </m:r>
                </m:sub>
              </m:sSub>
            </m:num>
            <m:den>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p,2-1</m:t>
                  </m:r>
                </m:sub>
              </m:sSub>
            </m:den>
          </m:f>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p,2</m:t>
                  </m:r>
                </m:sub>
                <m:sup>
                  <m:r>
                    <w:rPr>
                      <w:rFonts w:ascii="Cambria Math" w:eastAsiaTheme="minorEastAsia" w:hAnsi="Cambria Math"/>
                    </w:rPr>
                    <m:t>2</m:t>
                  </m:r>
                </m:sup>
              </m:sSubSup>
            </m:num>
            <m:den>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p,2-1</m:t>
                  </m:r>
                </m:sub>
                <m:sup>
                  <m:r>
                    <w:rPr>
                      <w:rFonts w:ascii="Cambria Math" w:eastAsiaTheme="minorEastAsia" w:hAnsi="Cambria Math"/>
                    </w:rPr>
                    <m:t>2</m:t>
                  </m:r>
                </m:sup>
              </m:sSubSup>
            </m:den>
          </m:f>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p,2-1</m:t>
                  </m:r>
                </m:sub>
              </m:sSub>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2-1</m:t>
                      </m:r>
                    </m:sub>
                  </m:sSub>
                </m:num>
                <m:den>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p,2-1</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2-1</m:t>
                  </m:r>
                </m:sub>
              </m:sSub>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p,2</m:t>
                  </m:r>
                </m:sub>
              </m:sSub>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num>
                <m:den>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p,2</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den>
          </m:f>
          <m:r>
            <w:rPr>
              <w:rFonts w:ascii="Cambria Math" w:eastAsiaTheme="minorEastAsia" w:hAnsi="Cambria Math"/>
            </w:rPr>
            <m:t xml:space="preserve">                                   (S15)</m:t>
          </m:r>
        </m:oMath>
      </m:oMathPara>
    </w:p>
    <w:p w14:paraId="4907401E" w14:textId="7EF7442F" w:rsidR="00081528" w:rsidRPr="00DC3D08" w:rsidRDefault="00917B73" w:rsidP="000B586F">
      <w:pPr>
        <w:ind w:firstLine="360"/>
        <w:rPr>
          <w:rFonts w:cs="Times New Roman"/>
        </w:rPr>
      </w:pPr>
      <w:r>
        <w:t xml:space="preserve">Equation </w:t>
      </w:r>
      <w:r w:rsidR="00553BD2">
        <w:t>3</w:t>
      </w:r>
      <w:r w:rsidR="00B903AC">
        <w:t xml:space="preserve"> </w:t>
      </w:r>
      <w:r>
        <w:t xml:space="preserve">can be expressed in another form by reducing the Kelvin effect ratio (the </w:t>
      </w:r>
      <w:r>
        <w:rPr>
          <w:rFonts w:ascii="Cambria Math" w:hAnsi="Cambria Math"/>
        </w:rPr>
        <w:t xml:space="preserve">β </w:t>
      </w:r>
      <w:r w:rsidRPr="00DC3D08">
        <w:rPr>
          <w:rFonts w:cs="Times New Roman"/>
        </w:rPr>
        <w:t>ratio).</w:t>
      </w:r>
      <w:r>
        <w:rPr>
          <w:rFonts w:ascii="Cambria Math" w:hAnsi="Cambria Math"/>
        </w:rPr>
        <w:t xml:space="preserve"> </w:t>
      </w:r>
      <w:r w:rsidR="002353BA" w:rsidRPr="00DC3D08">
        <w:rPr>
          <w:rFonts w:cs="Times New Roman"/>
        </w:rPr>
        <w:t>The surface tension, molecular weight, gas constant, particle density, and temperature are constants, and the Kelvin effect can be expressed as an exponential function of diameter raise</w:t>
      </w:r>
      <w:r w:rsidR="00B903AC" w:rsidRPr="00DC3D08">
        <w:rPr>
          <w:rFonts w:cs="Times New Roman"/>
        </w:rPr>
        <w:t>d</w:t>
      </w:r>
      <w:r w:rsidR="002353BA" w:rsidRPr="00DC3D08">
        <w:rPr>
          <w:rFonts w:cs="Times New Roman"/>
        </w:rPr>
        <w:t xml:space="preserve"> to the power of the constants.</w:t>
      </w:r>
      <w:r w:rsidR="002353BA">
        <w:rPr>
          <w:rFonts w:ascii="Cambria Math" w:hAnsi="Cambria Math"/>
        </w:rPr>
        <w:t xml:space="preserve"> </w:t>
      </w:r>
      <w:r w:rsidR="002353BA" w:rsidRPr="00DC3D08">
        <w:rPr>
          <w:rFonts w:cs="Times New Roman"/>
        </w:rPr>
        <w:t>The same constants occur in both the numerator and denominator, and therefore, the entire ratio can be raised to a single exponent</w:t>
      </w:r>
      <w:r w:rsidR="00B903AC" w:rsidRPr="00DC3D08">
        <w:rPr>
          <w:rFonts w:cs="Times New Roman"/>
        </w:rPr>
        <w:t xml:space="preserve"> containing all the component specific constants</w:t>
      </w:r>
      <w:r w:rsidR="002353BA" w:rsidRPr="00DC3D08">
        <w:rPr>
          <w:rFonts w:cs="Times New Roman"/>
        </w:rPr>
        <w:t>.</w:t>
      </w:r>
      <w:r w:rsidR="002353BA">
        <w:rPr>
          <w:rFonts w:ascii="Cambria Math" w:hAnsi="Cambria Math"/>
        </w:rPr>
        <w:t xml:space="preserve"> </w:t>
      </w:r>
      <w:r w:rsidRPr="00DC3D08">
        <w:rPr>
          <w:rFonts w:cs="Times New Roman"/>
        </w:rPr>
        <w:t>This result is shown as equation S16.</w:t>
      </w:r>
      <w:r>
        <w:rPr>
          <w:rFonts w:ascii="Cambria Math" w:hAnsi="Cambria Math"/>
        </w:rPr>
        <w:t xml:space="preserve"> </w:t>
      </w:r>
      <w:r w:rsidR="00B903AC" w:rsidRPr="00DC3D08">
        <w:rPr>
          <w:rFonts w:cs="Times New Roman"/>
        </w:rPr>
        <w:t>Although the</w:t>
      </w:r>
      <w:r w:rsidR="00B903AC">
        <w:rPr>
          <w:rFonts w:ascii="Cambria Math" w:hAnsi="Cambria Math"/>
        </w:rPr>
        <w:t xml:space="preserve"> β </w:t>
      </w:r>
      <w:r w:rsidR="00B903AC" w:rsidRPr="00DC3D08">
        <w:rPr>
          <w:rFonts w:cs="Times New Roman"/>
        </w:rPr>
        <w:t>ratio</w:t>
      </w:r>
      <w:r w:rsidR="00B903AC">
        <w:rPr>
          <w:rFonts w:ascii="Cambria Math" w:hAnsi="Cambria Math"/>
        </w:rPr>
        <w:t xml:space="preserve"> </w:t>
      </w:r>
      <w:r w:rsidR="00B903AC" w:rsidRPr="00DC3D08">
        <w:rPr>
          <w:rFonts w:cs="Times New Roman"/>
        </w:rPr>
        <w:t>is component specific, the component serves to augment the separation, not prevent the separation of the charges. The</w:t>
      </w:r>
      <w:r w:rsidR="00B903AC">
        <w:rPr>
          <w:rFonts w:ascii="Cambria Math" w:hAnsi="Cambria Math"/>
        </w:rPr>
        <w:t xml:space="preserve"> β </w:t>
      </w:r>
      <w:r w:rsidR="00B903AC" w:rsidRPr="00DC3D08">
        <w:rPr>
          <w:rFonts w:cs="Times New Roman"/>
        </w:rPr>
        <w:t>ratio will always have a value greater than one.</w:t>
      </w:r>
      <w:r w:rsidR="00367114">
        <w:rPr>
          <w:rFonts w:cs="Times New Roman"/>
        </w:rPr>
        <w:t xml:space="preserve"> The derivative shown on the left side of Equation S16 </w:t>
      </w:r>
      <w:r w:rsidR="00547B7E">
        <w:rPr>
          <w:rFonts w:cs="Times New Roman"/>
        </w:rPr>
        <w:t>will be named the evaporation rate ratio.</w:t>
      </w:r>
    </w:p>
    <w:p w14:paraId="3633AA59" w14:textId="77777777" w:rsidR="00917B73" w:rsidRPr="00181F39" w:rsidRDefault="00DE2A2E" w:rsidP="000B586F">
      <w:pPr>
        <w:ind w:firstLine="360"/>
        <w:rPr>
          <w:rFonts w:eastAsiaTheme="minorEastAsia"/>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p,1</m:t>
                  </m:r>
                </m:sub>
              </m:sSub>
            </m:num>
            <m:den>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p,2-1</m:t>
                  </m:r>
                </m:sub>
              </m:sSub>
            </m:den>
          </m:f>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p,2</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p,1</m:t>
                              </m:r>
                            </m:sub>
                          </m:sSub>
                        </m:e>
                      </m:d>
                    </m:den>
                  </m:f>
                </m:e>
              </m:d>
            </m:e>
            <m:sub>
              <m:r>
                <w:rPr>
                  <w:rFonts w:ascii="Cambria Math" w:hAnsi="Cambria Math"/>
                </w:rPr>
                <m:t>α</m:t>
              </m:r>
            </m:sub>
          </m:sSub>
          <m:sSup>
            <m:sSupPr>
              <m:ctrlPr>
                <w:rPr>
                  <w:rFonts w:ascii="Cambria Math" w:hAnsi="Cambria Math"/>
                  <w:i/>
                </w:rPr>
              </m:ctrlPr>
            </m:sSupPr>
            <m:e>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sz w:val="20"/>
                                </w:rPr>
                              </m:ctrlPr>
                            </m:sSupPr>
                            <m:e>
                              <m:r>
                                <w:rPr>
                                  <w:rFonts w:ascii="Cambria Math" w:hAnsi="Cambria Math"/>
                                  <w:sz w:val="20"/>
                                </w:rPr>
                                <m:t>exp</m:t>
                              </m:r>
                            </m:e>
                            <m:sup>
                              <m:d>
                                <m:dPr>
                                  <m:ctrlPr>
                                    <w:rPr>
                                      <w:rFonts w:ascii="Cambria Math" w:hAnsi="Cambria Math"/>
                                      <w:i/>
                                      <w:sz w:val="20"/>
                                    </w:rPr>
                                  </m:ctrlPr>
                                </m:dPr>
                                <m:e>
                                  <m:f>
                                    <m:fPr>
                                      <m:ctrlPr>
                                        <w:rPr>
                                          <w:rFonts w:ascii="Cambria Math" w:hAnsi="Cambria Math"/>
                                          <w:i/>
                                          <w:sz w:val="20"/>
                                        </w:rPr>
                                      </m:ctrlPr>
                                    </m:fPr>
                                    <m:num>
                                      <m:r>
                                        <w:rPr>
                                          <w:rFonts w:ascii="Cambria Math" w:hAnsi="Cambria Math"/>
                                          <w:sz w:val="20"/>
                                        </w:rPr>
                                        <m:t>1</m:t>
                                      </m:r>
                                    </m:num>
                                    <m:den>
                                      <m:sSub>
                                        <m:sSubPr>
                                          <m:ctrlPr>
                                            <w:rPr>
                                              <w:rFonts w:ascii="Cambria Math" w:hAnsi="Cambria Math"/>
                                              <w:i/>
                                              <w:sz w:val="20"/>
                                            </w:rPr>
                                          </m:ctrlPr>
                                        </m:sSubPr>
                                        <m:e>
                                          <m:r>
                                            <w:rPr>
                                              <w:rFonts w:ascii="Cambria Math" w:hAnsi="Cambria Math"/>
                                              <w:sz w:val="20"/>
                                            </w:rPr>
                                            <m:t>D</m:t>
                                          </m:r>
                                        </m:e>
                                        <m:sub>
                                          <m:r>
                                            <w:rPr>
                                              <w:rFonts w:ascii="Cambria Math" w:hAnsi="Cambria Math"/>
                                              <w:sz w:val="20"/>
                                            </w:rPr>
                                            <m:t>p,1</m:t>
                                          </m:r>
                                        </m:sub>
                                      </m:sSub>
                                    </m:den>
                                  </m:f>
                                </m:e>
                              </m:d>
                            </m:sup>
                          </m:sSup>
                        </m:num>
                        <m:den>
                          <m:sSup>
                            <m:sSupPr>
                              <m:ctrlPr>
                                <w:rPr>
                                  <w:rFonts w:ascii="Cambria Math" w:hAnsi="Cambria Math"/>
                                  <w:i/>
                                  <w:sz w:val="20"/>
                                </w:rPr>
                              </m:ctrlPr>
                            </m:sSupPr>
                            <m:e>
                              <m:r>
                                <w:rPr>
                                  <w:rFonts w:ascii="Cambria Math" w:hAnsi="Cambria Math"/>
                                  <w:sz w:val="20"/>
                                </w:rPr>
                                <m:t>exp</m:t>
                              </m:r>
                            </m:e>
                            <m:sup>
                              <m:d>
                                <m:dPr>
                                  <m:ctrlPr>
                                    <w:rPr>
                                      <w:rFonts w:ascii="Cambria Math" w:hAnsi="Cambria Math"/>
                                      <w:i/>
                                      <w:sz w:val="20"/>
                                    </w:rPr>
                                  </m:ctrlPr>
                                </m:dPr>
                                <m:e>
                                  <m:f>
                                    <m:fPr>
                                      <m:ctrlPr>
                                        <w:rPr>
                                          <w:rFonts w:ascii="Cambria Math" w:hAnsi="Cambria Math"/>
                                          <w:i/>
                                          <w:sz w:val="20"/>
                                        </w:rPr>
                                      </m:ctrlPr>
                                    </m:fPr>
                                    <m:num>
                                      <m:r>
                                        <w:rPr>
                                          <w:rFonts w:ascii="Cambria Math" w:hAnsi="Cambria Math"/>
                                          <w:sz w:val="20"/>
                                        </w:rPr>
                                        <m:t>1</m:t>
                                      </m:r>
                                    </m:num>
                                    <m:den>
                                      <m:sSub>
                                        <m:sSubPr>
                                          <m:ctrlPr>
                                            <w:rPr>
                                              <w:rFonts w:ascii="Cambria Math" w:hAnsi="Cambria Math"/>
                                              <w:i/>
                                              <w:sz w:val="20"/>
                                            </w:rPr>
                                          </m:ctrlPr>
                                        </m:sSubPr>
                                        <m:e>
                                          <m:r>
                                            <w:rPr>
                                              <w:rFonts w:ascii="Cambria Math" w:hAnsi="Cambria Math"/>
                                              <w:sz w:val="20"/>
                                            </w:rPr>
                                            <m:t>D</m:t>
                                          </m:r>
                                        </m:e>
                                        <m:sub>
                                          <m:r>
                                            <w:rPr>
                                              <w:rFonts w:ascii="Cambria Math" w:hAnsi="Cambria Math"/>
                                              <w:sz w:val="20"/>
                                            </w:rPr>
                                            <m:t>p,2</m:t>
                                          </m:r>
                                        </m:sub>
                                      </m:sSub>
                                    </m:den>
                                  </m:f>
                                </m:e>
                              </m:d>
                            </m:sup>
                          </m:sSup>
                        </m:den>
                      </m:f>
                    </m:e>
                  </m:d>
                </m:e>
                <m:sub>
                  <m:r>
                    <w:rPr>
                      <w:rFonts w:ascii="Cambria Math" w:hAnsi="Cambria Math"/>
                    </w:rPr>
                    <m:t>β</m:t>
                  </m:r>
                </m:sub>
              </m:sSub>
            </m:e>
            <m:sup>
              <m:f>
                <m:fPr>
                  <m:ctrlPr>
                    <w:rPr>
                      <w:rFonts w:ascii="Cambria Math" w:hAnsi="Cambria Math"/>
                      <w:i/>
                    </w:rPr>
                  </m:ctrlPr>
                </m:fPr>
                <m:num>
                  <m:r>
                    <w:rPr>
                      <w:rFonts w:ascii="Cambria Math" w:hAnsi="Cambria Math"/>
                      <w:sz w:val="20"/>
                    </w:rPr>
                    <m:t>4</m:t>
                  </m:r>
                  <m:sSub>
                    <m:sSubPr>
                      <m:ctrlPr>
                        <w:rPr>
                          <w:rFonts w:ascii="Cambria Math" w:hAnsi="Cambria Math"/>
                          <w:i/>
                          <w:sz w:val="20"/>
                        </w:rPr>
                      </m:ctrlPr>
                    </m:sSubPr>
                    <m:e>
                      <m:r>
                        <w:rPr>
                          <w:rFonts w:ascii="Cambria Math" w:hAnsi="Cambria Math"/>
                          <w:sz w:val="20"/>
                        </w:rPr>
                        <m:t>σ</m:t>
                      </m:r>
                    </m:e>
                    <m:sub>
                      <m:r>
                        <w:rPr>
                          <w:rFonts w:ascii="Cambria Math" w:hAnsi="Cambria Math"/>
                          <w:sz w:val="20"/>
                        </w:rPr>
                        <m:t>i</m:t>
                      </m:r>
                    </m:sub>
                  </m:sSub>
                  <m:sSub>
                    <m:sSubPr>
                      <m:ctrlPr>
                        <w:rPr>
                          <w:rFonts w:ascii="Cambria Math" w:hAnsi="Cambria Math"/>
                          <w:i/>
                          <w:sz w:val="20"/>
                        </w:rPr>
                      </m:ctrlPr>
                    </m:sSubPr>
                    <m:e>
                      <m:r>
                        <w:rPr>
                          <w:rFonts w:ascii="Cambria Math" w:hAnsi="Cambria Math"/>
                          <w:sz w:val="20"/>
                        </w:rPr>
                        <m:t>M</m:t>
                      </m:r>
                    </m:e>
                    <m:sub>
                      <m:r>
                        <w:rPr>
                          <w:rFonts w:ascii="Cambria Math" w:hAnsi="Cambria Math"/>
                          <w:sz w:val="20"/>
                        </w:rPr>
                        <m:t>i</m:t>
                      </m:r>
                    </m:sub>
                  </m:sSub>
                </m:num>
                <m:den>
                  <m:r>
                    <w:rPr>
                      <w:rFonts w:ascii="Cambria Math" w:hAnsi="Cambria Math"/>
                    </w:rPr>
                    <m:t>RT</m:t>
                  </m:r>
                  <m:sSub>
                    <m:sSubPr>
                      <m:ctrlPr>
                        <w:rPr>
                          <w:rFonts w:ascii="Cambria Math" w:hAnsi="Cambria Math"/>
                          <w:i/>
                        </w:rPr>
                      </m:ctrlPr>
                    </m:sSubPr>
                    <m:e>
                      <m:r>
                        <w:rPr>
                          <w:rFonts w:ascii="Cambria Math" w:hAnsi="Cambria Math"/>
                        </w:rPr>
                        <m:t>ρ</m:t>
                      </m:r>
                    </m:e>
                    <m:sub>
                      <m:r>
                        <w:rPr>
                          <w:rFonts w:ascii="Cambria Math" w:hAnsi="Cambria Math"/>
                        </w:rPr>
                        <m:t>i</m:t>
                      </m:r>
                    </m:sub>
                  </m:sSub>
                </m:den>
              </m:f>
            </m:sup>
          </m:sSup>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F</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Kn</m:t>
                              </m:r>
                            </m:e>
                            <m:sub>
                              <m:r>
                                <w:rPr>
                                  <w:rFonts w:ascii="Cambria Math" w:hAnsi="Cambria Math"/>
                                  <w:sz w:val="20"/>
                                </w:rPr>
                                <m:t>i,1</m:t>
                              </m:r>
                            </m:sub>
                          </m:sSub>
                          <m:r>
                            <w:rPr>
                              <w:rFonts w:ascii="Cambria Math" w:hAnsi="Cambria Math"/>
                              <w:sz w:val="20"/>
                            </w:rPr>
                            <m:t>,</m:t>
                          </m:r>
                          <m:sSub>
                            <m:sSubPr>
                              <m:ctrlPr>
                                <w:rPr>
                                  <w:rFonts w:ascii="Cambria Math" w:hAnsi="Cambria Math"/>
                                  <w:i/>
                                  <w:sz w:val="20"/>
                                </w:rPr>
                              </m:ctrlPr>
                            </m:sSubPr>
                            <m:e>
                              <m:r>
                                <w:rPr>
                                  <w:rFonts w:ascii="Cambria Math" w:hAnsi="Cambria Math"/>
                                  <w:sz w:val="20"/>
                                </w:rPr>
                                <m:t>α</m:t>
                              </m:r>
                            </m:e>
                            <m:sub>
                              <m:r>
                                <w:rPr>
                                  <w:rFonts w:ascii="Cambria Math" w:hAnsi="Cambria Math"/>
                                  <w:sz w:val="20"/>
                                </w:rPr>
                                <m:t>i,1</m:t>
                              </m:r>
                            </m:sub>
                          </m:sSub>
                        </m:e>
                      </m:d>
                    </m:num>
                    <m:den>
                      <m:r>
                        <w:rPr>
                          <w:rFonts w:ascii="Cambria Math" w:hAnsi="Cambria Math"/>
                        </w:rPr>
                        <m:t>F</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Kn</m:t>
                              </m:r>
                            </m:e>
                            <m:sub>
                              <m:r>
                                <w:rPr>
                                  <w:rFonts w:ascii="Cambria Math" w:hAnsi="Cambria Math"/>
                                  <w:sz w:val="20"/>
                                </w:rPr>
                                <m:t>i,2</m:t>
                              </m:r>
                            </m:sub>
                          </m:sSub>
                          <m:r>
                            <w:rPr>
                              <w:rFonts w:ascii="Cambria Math" w:hAnsi="Cambria Math"/>
                              <w:sz w:val="20"/>
                            </w:rPr>
                            <m:t>,</m:t>
                          </m:r>
                          <m:sSub>
                            <m:sSubPr>
                              <m:ctrlPr>
                                <w:rPr>
                                  <w:rFonts w:ascii="Cambria Math" w:hAnsi="Cambria Math"/>
                                  <w:i/>
                                  <w:sz w:val="20"/>
                                </w:rPr>
                              </m:ctrlPr>
                            </m:sSubPr>
                            <m:e>
                              <m:r>
                                <w:rPr>
                                  <w:rFonts w:ascii="Cambria Math" w:hAnsi="Cambria Math"/>
                                  <w:sz w:val="20"/>
                                </w:rPr>
                                <m:t>α</m:t>
                              </m:r>
                            </m:e>
                            <m:sub>
                              <m:r>
                                <w:rPr>
                                  <w:rFonts w:ascii="Cambria Math" w:hAnsi="Cambria Math"/>
                                  <w:sz w:val="20"/>
                                </w:rPr>
                                <m:t>i,2</m:t>
                              </m:r>
                            </m:sub>
                          </m:sSub>
                        </m:e>
                      </m:d>
                    </m:den>
                  </m:f>
                </m:e>
              </m:d>
            </m:e>
            <m:sub>
              <m:r>
                <w:rPr>
                  <w:rFonts w:ascii="Cambria Math" w:hAnsi="Cambria Math"/>
                </w:rPr>
                <m:t>γ</m:t>
              </m:r>
            </m:sub>
          </m:sSub>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p,2</m:t>
                          </m:r>
                        </m:sub>
                      </m:sSub>
                    </m:num>
                    <m:den>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p,2-1</m:t>
                          </m:r>
                        </m:sub>
                      </m:sSub>
                    </m:den>
                  </m:f>
                </m:e>
              </m:d>
            </m:e>
            <m:sub>
              <m:r>
                <w:rPr>
                  <w:rFonts w:ascii="Cambria Math" w:eastAsiaTheme="minorEastAsia" w:hAnsi="Cambria Math"/>
                </w:rPr>
                <m:t>δ</m:t>
              </m:r>
            </m:sub>
          </m:sSub>
          <m:r>
            <w:rPr>
              <w:rFonts w:ascii="Cambria Math" w:eastAsiaTheme="minorEastAsia" w:hAnsi="Cambria Math"/>
            </w:rPr>
            <m:t xml:space="preserve">                              (S16)</m:t>
          </m:r>
        </m:oMath>
      </m:oMathPara>
    </w:p>
    <w:p w14:paraId="771ADDF0" w14:textId="77777777" w:rsidR="002231B4" w:rsidRDefault="002231B4" w:rsidP="00181F39">
      <w:pPr>
        <w:rPr>
          <w:rFonts w:eastAsiaTheme="minorEastAsia"/>
        </w:rPr>
      </w:pPr>
    </w:p>
    <w:p w14:paraId="5CC13693" w14:textId="519410BC" w:rsidR="00181F39" w:rsidRDefault="00181F39" w:rsidP="00F71821">
      <w:pPr>
        <w:pStyle w:val="ListParagraph"/>
        <w:numPr>
          <w:ilvl w:val="0"/>
          <w:numId w:val="1"/>
        </w:numPr>
      </w:pPr>
      <w:r>
        <w:lastRenderedPageBreak/>
        <w:t>Behavior of the ratios</w:t>
      </w:r>
    </w:p>
    <w:p w14:paraId="7B577EF0" w14:textId="0AC88B2F" w:rsidR="005A7E76" w:rsidRDefault="005A7E76" w:rsidP="00181F39">
      <w:pPr>
        <w:rPr>
          <w:rFonts w:eastAsiaTheme="minorEastAsia"/>
        </w:rPr>
      </w:pPr>
      <w:r>
        <w:rPr>
          <w:rFonts w:eastAsiaTheme="minorEastAsia"/>
        </w:rPr>
        <w:tab/>
        <w:t xml:space="preserve">Using the rate of evaporation of the aerosol in single charge </w:t>
      </w:r>
      <w:r w:rsidR="00FF7C9F">
        <w:rPr>
          <w:rFonts w:eastAsiaTheme="minorEastAsia"/>
        </w:rPr>
        <w:t xml:space="preserve">diameter </w:t>
      </w:r>
      <w:r>
        <w:rPr>
          <w:rFonts w:eastAsiaTheme="minorEastAsia"/>
        </w:rPr>
        <w:t xml:space="preserve">space to determine charge separation is complex. Several factors work together to determine charge separation. These include the ratios above, the width of the DMA1 and DMA2 transfer function, and the size of the aerosol particle at time of measurement and at initial sampling. To </w:t>
      </w:r>
      <w:r w:rsidR="001F0DA5">
        <w:rPr>
          <w:rFonts w:eastAsiaTheme="minorEastAsia"/>
        </w:rPr>
        <w:t>estimate</w:t>
      </w:r>
      <w:r>
        <w:rPr>
          <w:rFonts w:eastAsiaTheme="minorEastAsia"/>
        </w:rPr>
        <w:t xml:space="preserve"> the separation process, </w:t>
      </w:r>
      <w:r w:rsidR="00553BD2">
        <w:rPr>
          <w:rFonts w:eastAsiaTheme="minorEastAsia"/>
        </w:rPr>
        <w:t>we assume the form in S16. I</w:t>
      </w:r>
      <w:r>
        <w:rPr>
          <w:rFonts w:eastAsiaTheme="minorEastAsia"/>
        </w:rPr>
        <w:t xml:space="preserve">n general, </w:t>
      </w:r>
      <w:r w:rsidR="001F0DA5">
        <w:rPr>
          <w:rFonts w:eastAsiaTheme="minorEastAsia"/>
        </w:rPr>
        <w:t>the numerator</w:t>
      </w:r>
      <w:r w:rsidR="00553BD2">
        <w:rPr>
          <w:rFonts w:eastAsiaTheme="minorEastAsia"/>
        </w:rPr>
        <w:t>, on the left side of the S16 equality,</w:t>
      </w:r>
      <w:r w:rsidR="001F0DA5">
        <w:rPr>
          <w:rFonts w:eastAsiaTheme="minorEastAsia"/>
        </w:rPr>
        <w:t xml:space="preserve"> can be viewed as a delta in diameter instead of a derivative. For example, if the first charge particle changed diameter by 50 nm, the ratio can be used to estimate the change in the second charge diameter in first charge </w:t>
      </w:r>
      <w:r w:rsidR="00FF7C9F">
        <w:rPr>
          <w:rFonts w:eastAsiaTheme="minorEastAsia"/>
        </w:rPr>
        <w:t>diameter</w:t>
      </w:r>
      <w:r w:rsidR="001F0DA5">
        <w:rPr>
          <w:rFonts w:eastAsiaTheme="minorEastAsia"/>
        </w:rPr>
        <w:t xml:space="preserve"> space. When reading the following passage keep this estimation method in mind. </w:t>
      </w:r>
      <w:r>
        <w:rPr>
          <w:rFonts w:eastAsiaTheme="minorEastAsia"/>
        </w:rPr>
        <w:t xml:space="preserve"> </w:t>
      </w:r>
    </w:p>
    <w:p w14:paraId="66ADBFB6" w14:textId="12C7D38A" w:rsidR="00506A0E" w:rsidRDefault="00160D11" w:rsidP="00160D11">
      <w:pPr>
        <w:ind w:firstLine="360"/>
        <w:rPr>
          <w:rFonts w:cs="Times New Roman"/>
        </w:rPr>
      </w:pPr>
      <w:r w:rsidRPr="00160D11">
        <w:rPr>
          <w:rFonts w:eastAsiaTheme="minorEastAsia"/>
        </w:rPr>
        <w:t xml:space="preserve">The </w:t>
      </w:r>
      <w:r w:rsidR="00603292">
        <w:rPr>
          <w:rFonts w:eastAsiaTheme="minorEastAsia"/>
        </w:rPr>
        <w:t xml:space="preserve">product of the </w:t>
      </w:r>
      <w:r w:rsidR="00603292">
        <w:rPr>
          <w:rFonts w:ascii="Cambria Math" w:eastAsiaTheme="minorEastAsia" w:hAnsi="Cambria Math"/>
        </w:rPr>
        <w:t>α</w:t>
      </w:r>
      <w:r w:rsidRPr="00160D11">
        <w:rPr>
          <w:rFonts w:eastAsiaTheme="minorEastAsia"/>
        </w:rPr>
        <w:t xml:space="preserve"> ratio and the </w:t>
      </w:r>
      <w:r w:rsidR="00603292">
        <w:rPr>
          <w:rFonts w:ascii="Cambria Math" w:eastAsiaTheme="minorEastAsia" w:hAnsi="Cambria Math"/>
        </w:rPr>
        <w:t>γ</w:t>
      </w:r>
      <w:r w:rsidRPr="00160D11">
        <w:rPr>
          <w:rFonts w:eastAsiaTheme="minorEastAsia"/>
        </w:rPr>
        <w:t xml:space="preserve"> ratio </w:t>
      </w:r>
      <w:r w:rsidR="00603292">
        <w:rPr>
          <w:rFonts w:eastAsiaTheme="minorEastAsia"/>
        </w:rPr>
        <w:t>is</w:t>
      </w:r>
      <w:r w:rsidR="00452B0C">
        <w:rPr>
          <w:rFonts w:eastAsiaTheme="minorEastAsia"/>
        </w:rPr>
        <w:t xml:space="preserve"> constant and</w:t>
      </w:r>
      <w:r w:rsidR="00603292">
        <w:rPr>
          <w:rFonts w:eastAsiaTheme="minorEastAsia"/>
        </w:rPr>
        <w:t xml:space="preserve"> near one</w:t>
      </w:r>
      <w:r w:rsidRPr="00160D11">
        <w:rPr>
          <w:rFonts w:eastAsiaTheme="minorEastAsia"/>
        </w:rPr>
        <w:t xml:space="preserve">. </w:t>
      </w:r>
      <w:r>
        <w:t xml:space="preserve">The </w:t>
      </w:r>
      <w:r>
        <w:rPr>
          <w:rFonts w:ascii="Cambria Math" w:hAnsi="Cambria Math"/>
        </w:rPr>
        <w:t>α</w:t>
      </w:r>
      <w:r>
        <w:t xml:space="preserve"> ratio is significantly larger than one, and the </w:t>
      </w:r>
      <w:r>
        <w:rPr>
          <w:rFonts w:ascii="Cambria Math" w:hAnsi="Cambria Math"/>
        </w:rPr>
        <w:t xml:space="preserve">γ </w:t>
      </w:r>
      <w:r w:rsidRPr="00435C33">
        <w:rPr>
          <w:rFonts w:cs="Times New Roman"/>
        </w:rPr>
        <w:t xml:space="preserve">ratio is significantly less than one as shown by Equation </w:t>
      </w:r>
      <w:r w:rsidR="00553BD2">
        <w:rPr>
          <w:rFonts w:cs="Times New Roman"/>
        </w:rPr>
        <w:t>4</w:t>
      </w:r>
      <w:r w:rsidRPr="00435C33">
        <w:rPr>
          <w:rFonts w:cs="Times New Roman"/>
        </w:rPr>
        <w:t>.</w:t>
      </w:r>
      <w:r>
        <w:rPr>
          <w:rFonts w:cs="Times New Roman"/>
        </w:rPr>
        <w:t xml:space="preserve"> The result of the product of the </w:t>
      </w:r>
      <w:r>
        <w:rPr>
          <w:rFonts w:ascii="Cambria Math" w:hAnsi="Cambria Math" w:cs="Times New Roman"/>
        </w:rPr>
        <w:t xml:space="preserve">α </w:t>
      </w:r>
      <w:r w:rsidRPr="00850435">
        <w:rPr>
          <w:rFonts w:cs="Times New Roman"/>
        </w:rPr>
        <w:t>and</w:t>
      </w:r>
      <w:r>
        <w:rPr>
          <w:rFonts w:ascii="Cambria Math" w:hAnsi="Cambria Math" w:cs="Times New Roman"/>
        </w:rPr>
        <w:t xml:space="preserve"> γ </w:t>
      </w:r>
      <w:r w:rsidRPr="00976CAE">
        <w:rPr>
          <w:rFonts w:cs="Times New Roman"/>
        </w:rPr>
        <w:t xml:space="preserve">ratio in Equation </w:t>
      </w:r>
      <w:r w:rsidR="00553BD2">
        <w:rPr>
          <w:rFonts w:cs="Times New Roman"/>
        </w:rPr>
        <w:t>4</w:t>
      </w:r>
      <w:r w:rsidRPr="00976CAE">
        <w:rPr>
          <w:rFonts w:cs="Times New Roman"/>
        </w:rPr>
        <w:t xml:space="preserve"> is 1.1, which is greater than one. </w:t>
      </w:r>
      <w:r w:rsidR="00603292" w:rsidRPr="00976CAE">
        <w:rPr>
          <w:rFonts w:cs="Times New Roman"/>
        </w:rPr>
        <w:t xml:space="preserve">Figure </w:t>
      </w:r>
      <w:r w:rsidR="00B17696">
        <w:rPr>
          <w:rFonts w:cs="Times New Roman"/>
        </w:rPr>
        <w:t>S</w:t>
      </w:r>
      <w:r w:rsidR="00000A44">
        <w:rPr>
          <w:rFonts w:cs="Times New Roman"/>
        </w:rPr>
        <w:t>6</w:t>
      </w:r>
      <w:r w:rsidR="00603292" w:rsidRPr="00976CAE">
        <w:rPr>
          <w:rFonts w:cs="Times New Roman"/>
        </w:rPr>
        <w:t xml:space="preserve"> </w:t>
      </w:r>
      <w:r w:rsidR="002F1A6A" w:rsidRPr="00976CAE">
        <w:rPr>
          <w:rFonts w:cs="Times New Roman"/>
        </w:rPr>
        <w:t xml:space="preserve">panel (a) </w:t>
      </w:r>
      <w:r w:rsidR="00603292" w:rsidRPr="00976CAE">
        <w:rPr>
          <w:rFonts w:cs="Times New Roman"/>
        </w:rPr>
        <w:t xml:space="preserve">displays the evaporation of a 90 nm </w:t>
      </w:r>
      <w:proofErr w:type="spellStart"/>
      <w:r w:rsidR="00603292" w:rsidRPr="00976CAE">
        <w:rPr>
          <w:rFonts w:cs="Times New Roman"/>
        </w:rPr>
        <w:t>levoglucosan</w:t>
      </w:r>
      <w:proofErr w:type="spellEnd"/>
      <w:r w:rsidR="00603292" w:rsidRPr="00976CAE">
        <w:rPr>
          <w:rFonts w:cs="Times New Roman"/>
        </w:rPr>
        <w:t xml:space="preserve"> particle to</w:t>
      </w:r>
      <w:r w:rsidR="00D86B36">
        <w:rPr>
          <w:rFonts w:cs="Times New Roman"/>
        </w:rPr>
        <w:t xml:space="preserve"> a final diameter of</w:t>
      </w:r>
      <w:r w:rsidR="00603292" w:rsidRPr="00976CAE">
        <w:rPr>
          <w:rFonts w:cs="Times New Roman"/>
        </w:rPr>
        <w:t xml:space="preserve"> 5 nm. The blue lines represent the</w:t>
      </w:r>
      <w:r w:rsidR="00603292">
        <w:rPr>
          <w:rFonts w:ascii="Cambria Math" w:hAnsi="Cambria Math" w:cs="Times New Roman"/>
        </w:rPr>
        <w:t xml:space="preserve"> α </w:t>
      </w:r>
      <w:r w:rsidR="00603292" w:rsidRPr="00976CAE">
        <w:rPr>
          <w:rFonts w:cs="Times New Roman"/>
        </w:rPr>
        <w:t>ratio and the green lines represent the</w:t>
      </w:r>
      <w:r w:rsidR="00603292">
        <w:rPr>
          <w:rFonts w:ascii="Cambria Math" w:hAnsi="Cambria Math" w:cs="Times New Roman"/>
        </w:rPr>
        <w:t xml:space="preserve"> γ </w:t>
      </w:r>
      <w:r w:rsidR="00603292" w:rsidRPr="00976CAE">
        <w:rPr>
          <w:rFonts w:cs="Times New Roman"/>
        </w:rPr>
        <w:t xml:space="preserve">ratio. The blue green lines display the product of the two ratios. During evaporation of a 90 nm particle of </w:t>
      </w:r>
      <w:proofErr w:type="spellStart"/>
      <w:r w:rsidR="00603292" w:rsidRPr="00976CAE">
        <w:rPr>
          <w:rFonts w:cs="Times New Roman"/>
        </w:rPr>
        <w:t>levoglucosan</w:t>
      </w:r>
      <w:proofErr w:type="spellEnd"/>
      <w:r w:rsidR="00603292" w:rsidRPr="00976CAE">
        <w:rPr>
          <w:rFonts w:cs="Times New Roman"/>
        </w:rPr>
        <w:t xml:space="preserve">, this ratio changes very little. Reducing the mass accommodation has little impact on this conclusion. </w:t>
      </w:r>
      <w:r w:rsidR="002F1A6A" w:rsidRPr="00976CAE">
        <w:rPr>
          <w:rFonts w:cs="Times New Roman"/>
        </w:rPr>
        <w:t>During evaporation, t</w:t>
      </w:r>
      <w:r w:rsidR="00506A0E" w:rsidRPr="00976CAE">
        <w:rPr>
          <w:rFonts w:cs="Times New Roman"/>
        </w:rPr>
        <w:t>he ratio remains at the beginning value.</w:t>
      </w:r>
      <w:r w:rsidR="00506A0E">
        <w:rPr>
          <w:rFonts w:ascii="Cambria Math" w:hAnsi="Cambria Math" w:cs="Times New Roman"/>
        </w:rPr>
        <w:t xml:space="preserve"> </w:t>
      </w:r>
      <w:r w:rsidR="00506A0E" w:rsidRPr="00976CAE">
        <w:rPr>
          <w:rFonts w:cs="Times New Roman"/>
        </w:rPr>
        <w:t>If we view</w:t>
      </w:r>
      <w:r w:rsidR="002F1A6A" w:rsidRPr="00976CAE">
        <w:rPr>
          <w:rFonts w:cs="Times New Roman"/>
        </w:rPr>
        <w:t xml:space="preserve"> the</w:t>
      </w:r>
      <w:r w:rsidR="002F1A6A">
        <w:rPr>
          <w:rFonts w:ascii="Cambria Math" w:hAnsi="Cambria Math" w:cs="Times New Roman"/>
        </w:rPr>
        <w:t xml:space="preserve"> α-γ </w:t>
      </w:r>
      <w:r w:rsidR="002F1A6A" w:rsidRPr="00976CAE">
        <w:rPr>
          <w:rFonts w:cs="Times New Roman"/>
        </w:rPr>
        <w:t>ratio as a function of beginning diameter, the ratio is always greater than one. Th</w:t>
      </w:r>
      <w:r w:rsidR="00B17696">
        <w:rPr>
          <w:rFonts w:cs="Times New Roman"/>
        </w:rPr>
        <w:t>is product is shown in Figure S</w:t>
      </w:r>
      <w:r w:rsidR="00000A44">
        <w:rPr>
          <w:rFonts w:cs="Times New Roman"/>
        </w:rPr>
        <w:t>6</w:t>
      </w:r>
      <w:r w:rsidR="002F1A6A" w:rsidRPr="00976CAE">
        <w:rPr>
          <w:rFonts w:cs="Times New Roman"/>
        </w:rPr>
        <w:t xml:space="preserve"> panel (b). The product approaches 1 as the initial diameter approaches zero and accommodation only causes the product to approach a value of one. From this analysis, we conclude that the product of these two ratios is stable during evaporation and always larger than one. For this reason, all further comparisons use the product of the</w:t>
      </w:r>
      <w:r w:rsidR="002F1A6A">
        <w:rPr>
          <w:rFonts w:ascii="Cambria Math" w:hAnsi="Cambria Math" w:cs="Times New Roman"/>
        </w:rPr>
        <w:t xml:space="preserve"> α </w:t>
      </w:r>
      <w:r w:rsidR="002F1A6A" w:rsidRPr="00976CAE">
        <w:rPr>
          <w:rFonts w:cs="Times New Roman"/>
        </w:rPr>
        <w:t>and</w:t>
      </w:r>
      <w:r w:rsidR="002F1A6A">
        <w:rPr>
          <w:rFonts w:ascii="Cambria Math" w:hAnsi="Cambria Math" w:cs="Times New Roman"/>
        </w:rPr>
        <w:t xml:space="preserve"> γ </w:t>
      </w:r>
      <w:r w:rsidR="002F1A6A" w:rsidRPr="00976CAE">
        <w:rPr>
          <w:rFonts w:cs="Times New Roman"/>
        </w:rPr>
        <w:t>ratios to simplify the comparisons.</w:t>
      </w:r>
    </w:p>
    <w:p w14:paraId="170AFD86" w14:textId="77777777" w:rsidR="007876DF" w:rsidRPr="00976CAE" w:rsidRDefault="007876DF" w:rsidP="00160D11">
      <w:pPr>
        <w:ind w:firstLine="360"/>
        <w:rPr>
          <w:rFonts w:cs="Times New Roman"/>
        </w:rPr>
      </w:pPr>
    </w:p>
    <w:p w14:paraId="32A09324" w14:textId="77777777" w:rsidR="00160D11" w:rsidRDefault="005F02DB" w:rsidP="00160D11">
      <w:pPr>
        <w:ind w:firstLine="360"/>
        <w:rPr>
          <w:rFonts w:eastAsiaTheme="minorEastAsia"/>
        </w:rPr>
      </w:pPr>
      <w:r>
        <w:rPr>
          <w:rFonts w:eastAsiaTheme="minorEastAsia"/>
          <w:noProof/>
        </w:rPr>
        <w:drawing>
          <wp:inline distT="0" distB="0" distL="0" distR="0" wp14:anchorId="44B820DE" wp14:editId="66D1C5D4">
            <wp:extent cx="5602235" cy="24902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3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2235" cy="2490221"/>
                    </a:xfrm>
                    <a:prstGeom prst="rect">
                      <a:avLst/>
                    </a:prstGeom>
                  </pic:spPr>
                </pic:pic>
              </a:graphicData>
            </a:graphic>
          </wp:inline>
        </w:drawing>
      </w:r>
    </w:p>
    <w:p w14:paraId="5539A6BE" w14:textId="1D460BDF" w:rsidR="00160D11" w:rsidRDefault="005F02DB" w:rsidP="00456064">
      <w:pPr>
        <w:pStyle w:val="supplementcaptions"/>
        <w:numPr>
          <w:ilvl w:val="0"/>
          <w:numId w:val="4"/>
        </w:numPr>
        <w:rPr>
          <w:rFonts w:ascii="Cambria Math" w:hAnsi="Cambria Math"/>
        </w:rPr>
      </w:pPr>
      <w:r>
        <w:t xml:space="preserve">Panel (a): </w:t>
      </w:r>
      <w:r w:rsidR="00160D11">
        <w:t xml:space="preserve">The </w:t>
      </w:r>
      <w:r w:rsidR="00160D11">
        <w:rPr>
          <w:rFonts w:ascii="Cambria Math" w:hAnsi="Cambria Math"/>
        </w:rPr>
        <w:t>α</w:t>
      </w:r>
      <w:r w:rsidR="00160D11">
        <w:t xml:space="preserve"> ratio, the </w:t>
      </w:r>
      <w:r w:rsidR="00160D11">
        <w:rPr>
          <w:rFonts w:ascii="Cambria Math" w:hAnsi="Cambria Math"/>
        </w:rPr>
        <w:t>γ</w:t>
      </w:r>
      <w:r w:rsidR="00160D11">
        <w:t xml:space="preserve"> ratio, and the product of the </w:t>
      </w:r>
      <w:r w:rsidR="00160D11">
        <w:rPr>
          <w:rFonts w:ascii="Cambria Math" w:hAnsi="Cambria Math"/>
        </w:rPr>
        <w:t>α and γ</w:t>
      </w:r>
      <w:r w:rsidR="00160D11">
        <w:t xml:space="preserve"> ratios (blue-green) during evaporation of </w:t>
      </w:r>
      <w:proofErr w:type="spellStart"/>
      <w:r w:rsidR="00160D11">
        <w:t>levoglucosan</w:t>
      </w:r>
      <w:proofErr w:type="spellEnd"/>
      <w:r w:rsidR="00160D11">
        <w:t>.</w:t>
      </w:r>
      <w:r>
        <w:t xml:space="preserve"> Panel (b): The </w:t>
      </w:r>
      <w:r>
        <w:rPr>
          <w:rFonts w:ascii="Cambria Math" w:hAnsi="Cambria Math"/>
        </w:rPr>
        <w:t>α-γ ratio as a function of diameter.</w:t>
      </w:r>
    </w:p>
    <w:p w14:paraId="1FBE989F" w14:textId="77777777" w:rsidR="009D13D8" w:rsidRDefault="009D13D8" w:rsidP="000A1B96"/>
    <w:p w14:paraId="6DF1DE2E" w14:textId="20E0D2DB" w:rsidR="005304D4" w:rsidRDefault="00415A1F" w:rsidP="00415A1F">
      <w:pPr>
        <w:ind w:firstLine="360"/>
      </w:pPr>
      <w:r>
        <w:lastRenderedPageBreak/>
        <w:t>With a</w:t>
      </w:r>
      <w:r w:rsidR="00027D67">
        <w:t>n</w:t>
      </w:r>
      <w:r>
        <w:t xml:space="preserve"> </w:t>
      </w:r>
      <w:r>
        <w:rPr>
          <w:rFonts w:ascii="Cambria Math" w:hAnsi="Cambria Math"/>
        </w:rPr>
        <w:t>α-γ</w:t>
      </w:r>
      <w:r>
        <w:t xml:space="preserve"> ratio greater than 1, the </w:t>
      </w:r>
      <w:r>
        <w:rPr>
          <w:rFonts w:ascii="Cambria Math" w:hAnsi="Cambria Math"/>
        </w:rPr>
        <w:t>β</w:t>
      </w:r>
      <w:r>
        <w:t xml:space="preserve"> and </w:t>
      </w:r>
      <w:r>
        <w:rPr>
          <w:rFonts w:ascii="Cambria Math" w:hAnsi="Cambria Math"/>
        </w:rPr>
        <w:t>δ</w:t>
      </w:r>
      <w:r>
        <w:t xml:space="preserve"> ratios determine the final value of the evaporation rate ratio. The </w:t>
      </w:r>
      <w:r>
        <w:rPr>
          <w:rFonts w:ascii="Cambria Math" w:hAnsi="Cambria Math"/>
        </w:rPr>
        <w:t>β</w:t>
      </w:r>
      <w:r>
        <w:t xml:space="preserve"> ratio is always greater than 1 and grows as the diameter decreases. The </w:t>
      </w:r>
      <w:r>
        <w:rPr>
          <w:rFonts w:ascii="Cambria Math" w:hAnsi="Cambria Math"/>
        </w:rPr>
        <w:t>δ</w:t>
      </w:r>
      <w:r>
        <w:t xml:space="preserve"> ratio is also greater than one </w:t>
      </w:r>
      <w:r w:rsidR="009D13D8">
        <w:t xml:space="preserve">throughout </w:t>
      </w:r>
      <w:r w:rsidR="00946FDD">
        <w:t>evaporation and</w:t>
      </w:r>
      <w:r w:rsidR="00ED565C">
        <w:t xml:space="preserve"> decreases</w:t>
      </w:r>
      <w:r w:rsidR="009D13D8">
        <w:t xml:space="preserve"> slightly. </w:t>
      </w:r>
      <w:r>
        <w:t xml:space="preserve">This </w:t>
      </w:r>
      <w:r w:rsidR="00ED565C">
        <w:t xml:space="preserve">pattern </w:t>
      </w:r>
      <w:r w:rsidR="00742A0F">
        <w:t>is shown in Figure S</w:t>
      </w:r>
      <w:r w:rsidR="00000A44">
        <w:t>7</w:t>
      </w:r>
      <w:r w:rsidR="00ED565C">
        <w:t xml:space="preserve"> panel (a)</w:t>
      </w:r>
      <w:r>
        <w:t xml:space="preserve">. </w:t>
      </w:r>
      <w:r w:rsidR="009D13D8">
        <w:t>We see i</w:t>
      </w:r>
      <w:r w:rsidR="00742A0F">
        <w:t>n Figure S</w:t>
      </w:r>
      <w:r w:rsidR="00000A44">
        <w:t>7</w:t>
      </w:r>
      <w:r w:rsidR="009D13D8">
        <w:t xml:space="preserve"> </w:t>
      </w:r>
      <w:r w:rsidR="00ED565C">
        <w:t xml:space="preserve">panel (a) </w:t>
      </w:r>
      <w:r w:rsidR="009D13D8">
        <w:t xml:space="preserve">that as the particle decreases in diameter, the Kelvin effect becomes the </w:t>
      </w:r>
      <w:r w:rsidR="00931E27">
        <w:t xml:space="preserve">dominant </w:t>
      </w:r>
      <w:r w:rsidR="009D13D8">
        <w:t xml:space="preserve">ratio. </w:t>
      </w:r>
      <w:r w:rsidR="00ED565C">
        <w:t xml:space="preserve">As the single charge diameter decreases, the rate of the evaporation of the first charge relative to the others increases. This acceleration quickly separates the charges after </w:t>
      </w:r>
      <w:r w:rsidR="00367114">
        <w:t>evaporation</w:t>
      </w:r>
      <w:r w:rsidR="00ED565C">
        <w:t xml:space="preserve">. </w:t>
      </w:r>
      <w:r w:rsidR="00742A0F">
        <w:t>Figure S</w:t>
      </w:r>
      <w:r w:rsidR="00000A44">
        <w:t>7</w:t>
      </w:r>
      <w:r w:rsidR="00ED565C">
        <w:t xml:space="preserve"> panel (b) displays the non-dimensional form of the ratios. Each ratio</w:t>
      </w:r>
      <w:r w:rsidR="00000A44">
        <w:t xml:space="preserve"> (</w:t>
      </w:r>
      <w:r w:rsidR="00000A44">
        <w:rPr>
          <w:rFonts w:cs="Times New Roman"/>
        </w:rPr>
        <w:t>α-</w:t>
      </w:r>
      <w:r w:rsidR="00000A44">
        <w:rPr>
          <w:rFonts w:ascii="Cambria Math" w:hAnsi="Cambria Math"/>
        </w:rPr>
        <w:t>γ, β, and δ)</w:t>
      </w:r>
      <w:r w:rsidR="00ED565C">
        <w:t xml:space="preserve"> in panel (b) has be</w:t>
      </w:r>
      <w:r w:rsidR="00C915D8">
        <w:t>en</w:t>
      </w:r>
      <w:r w:rsidR="00ED565C">
        <w:t xml:space="preserve"> divided by </w:t>
      </w:r>
      <w:r w:rsidR="00000A44">
        <w:t>its</w:t>
      </w:r>
      <w:r w:rsidR="00ED565C">
        <w:t xml:space="preserve"> initial value. This panel displays which ratio controls the evaporation </w:t>
      </w:r>
      <w:r w:rsidR="00C915D8">
        <w:t xml:space="preserve">rate </w:t>
      </w:r>
      <w:r w:rsidR="00ED565C">
        <w:t>ratio</w:t>
      </w:r>
      <w:r w:rsidR="00000A44">
        <w:t xml:space="preserve"> (the left side of the S16 equality)</w:t>
      </w:r>
      <w:r w:rsidR="00C915D8">
        <w:t>.</w:t>
      </w:r>
      <w:r w:rsidR="00ED565C">
        <w:t xml:space="preserve"> </w:t>
      </w:r>
      <w:r w:rsidR="009D13D8">
        <w:t>At non-dim</w:t>
      </w:r>
      <w:r w:rsidR="00C915D8">
        <w:t>ensional positions less than 0.4</w:t>
      </w:r>
      <w:r w:rsidR="009D13D8">
        <w:t xml:space="preserve">, the final evaporation ratio is controlled by </w:t>
      </w:r>
      <w:r w:rsidR="00000A44">
        <w:t xml:space="preserve">a combination of </w:t>
      </w:r>
      <w:r w:rsidR="00C915D8">
        <w:t xml:space="preserve">the </w:t>
      </w:r>
      <w:r w:rsidR="00B72948">
        <w:rPr>
          <w:rFonts w:ascii="Cambria Math" w:hAnsi="Cambria Math"/>
        </w:rPr>
        <w:t>β</w:t>
      </w:r>
      <w:r w:rsidR="00C915D8">
        <w:t xml:space="preserve"> ratio and the </w:t>
      </w:r>
      <w:r w:rsidR="00B72948">
        <w:rPr>
          <w:rFonts w:ascii="Cambria Math" w:hAnsi="Cambria Math"/>
        </w:rPr>
        <w:t>δ</w:t>
      </w:r>
      <w:r w:rsidR="00C915D8">
        <w:t xml:space="preserve"> ratio</w:t>
      </w:r>
      <w:r w:rsidR="009D13D8">
        <w:t xml:space="preserve">. </w:t>
      </w:r>
      <w:r w:rsidR="00C915D8">
        <w:t xml:space="preserve">At distances greater than 0.4, the </w:t>
      </w:r>
      <w:r w:rsidR="00931E27">
        <w:rPr>
          <w:rFonts w:ascii="Cambria Math" w:hAnsi="Cambria Math"/>
        </w:rPr>
        <w:t>β</w:t>
      </w:r>
      <w:r w:rsidR="00931E27" w:rsidDel="00931E27">
        <w:t xml:space="preserve"> </w:t>
      </w:r>
      <w:r w:rsidR="00C915D8">
        <w:t xml:space="preserve">ratio increases its dominance. By the end of the evaporation, the </w:t>
      </w:r>
      <w:r w:rsidR="00931E27">
        <w:rPr>
          <w:rFonts w:ascii="Cambria Math" w:hAnsi="Cambria Math"/>
        </w:rPr>
        <w:t>β</w:t>
      </w:r>
      <w:r w:rsidR="00931E27" w:rsidDel="00931E27">
        <w:t xml:space="preserve"> </w:t>
      </w:r>
      <w:r w:rsidR="00C915D8">
        <w:t>ratio completely controls the evaporation rate ratio</w:t>
      </w:r>
      <w:r w:rsidR="00B72948">
        <w:t xml:space="preserve"> functionality</w:t>
      </w:r>
      <w:r w:rsidR="00C915D8">
        <w:t>.</w:t>
      </w:r>
    </w:p>
    <w:p w14:paraId="6C05EAFB" w14:textId="77777777" w:rsidR="00000A44" w:rsidRDefault="00000A44" w:rsidP="00415A1F">
      <w:pPr>
        <w:ind w:firstLine="360"/>
      </w:pPr>
    </w:p>
    <w:p w14:paraId="72E5836B" w14:textId="77777777" w:rsidR="00415A1F" w:rsidRDefault="00ED565C" w:rsidP="00415A1F">
      <w:pPr>
        <w:ind w:firstLine="360"/>
      </w:pPr>
      <w:r>
        <w:rPr>
          <w:noProof/>
        </w:rPr>
        <w:drawing>
          <wp:inline distT="0" distB="0" distL="0" distR="0" wp14:anchorId="189F4669" wp14:editId="315CEF4E">
            <wp:extent cx="5602235" cy="25024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3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2235" cy="2502413"/>
                    </a:xfrm>
                    <a:prstGeom prst="rect">
                      <a:avLst/>
                    </a:prstGeom>
                  </pic:spPr>
                </pic:pic>
              </a:graphicData>
            </a:graphic>
          </wp:inline>
        </w:drawing>
      </w:r>
    </w:p>
    <w:p w14:paraId="69EF91AF" w14:textId="08074F08" w:rsidR="00415A1F" w:rsidRDefault="00F13565" w:rsidP="00456064">
      <w:pPr>
        <w:pStyle w:val="supplementcaptions"/>
        <w:numPr>
          <w:ilvl w:val="0"/>
          <w:numId w:val="4"/>
        </w:numPr>
      </w:pPr>
      <w:r>
        <w:t xml:space="preserve">Panel (a) The value of the </w:t>
      </w:r>
      <w:r>
        <w:rPr>
          <w:rFonts w:ascii="Cambria Math" w:hAnsi="Cambria Math"/>
        </w:rPr>
        <w:t>α-γ</w:t>
      </w:r>
      <w:r>
        <w:t xml:space="preserve"> ratio, the </w:t>
      </w:r>
      <w:r>
        <w:rPr>
          <w:rFonts w:ascii="Cambria Math" w:hAnsi="Cambria Math"/>
        </w:rPr>
        <w:t>β</w:t>
      </w:r>
      <w:r>
        <w:t xml:space="preserve"> ratio, the </w:t>
      </w:r>
      <w:r>
        <w:rPr>
          <w:rFonts w:ascii="Cambria Math" w:hAnsi="Cambria Math"/>
        </w:rPr>
        <w:t>δ</w:t>
      </w:r>
      <w:r>
        <w:t xml:space="preserve"> ratio, and the overall evaporation rate ratio. Panel (b) </w:t>
      </w:r>
      <w:r w:rsidR="00415A1F">
        <w:t xml:space="preserve">The relative value of the ratios during evaporation of </w:t>
      </w:r>
      <w:proofErr w:type="spellStart"/>
      <w:r w:rsidR="00415A1F">
        <w:t>levoglucosan</w:t>
      </w:r>
      <w:proofErr w:type="spellEnd"/>
      <w:r w:rsidR="00415A1F">
        <w:t xml:space="preserve">. All ratios </w:t>
      </w:r>
      <w:r>
        <w:t xml:space="preserve">in panel (b) </w:t>
      </w:r>
      <w:r w:rsidR="00415A1F">
        <w:t xml:space="preserve">are shown in non-dimensional form, normalized to the initial condition. The </w:t>
      </w:r>
      <w:r w:rsidR="00415A1F">
        <w:rPr>
          <w:rFonts w:ascii="Cambria Math" w:hAnsi="Cambria Math"/>
        </w:rPr>
        <w:t>α and γ</w:t>
      </w:r>
      <w:r w:rsidR="00415A1F">
        <w:t xml:space="preserve"> ratios are expressed as a product of the two ratios. The evaporation </w:t>
      </w:r>
      <w:r>
        <w:t xml:space="preserve">rate </w:t>
      </w:r>
      <w:r w:rsidR="00415A1F">
        <w:t xml:space="preserve">ratio is the final value that determines charge separation. </w:t>
      </w:r>
    </w:p>
    <w:p w14:paraId="1B6F88D3" w14:textId="77777777" w:rsidR="00000A44" w:rsidRDefault="00000A44" w:rsidP="00000A44">
      <w:pPr>
        <w:pStyle w:val="supplementcaptions"/>
        <w:ind w:left="72"/>
      </w:pPr>
    </w:p>
    <w:p w14:paraId="26B4E37B" w14:textId="5AA80A47" w:rsidR="00114F0E" w:rsidRDefault="00114F0E" w:rsidP="00114F0E">
      <w:pPr>
        <w:ind w:firstLine="360"/>
      </w:pPr>
      <w:r>
        <w:t>In Figure S</w:t>
      </w:r>
      <w:r w:rsidR="00000A44">
        <w:t>8</w:t>
      </w:r>
      <w:r>
        <w:t xml:space="preserve">, we see that the </w:t>
      </w:r>
      <w:r w:rsidR="00367114">
        <w:t>singly</w:t>
      </w:r>
      <w:r>
        <w:t xml:space="preserve"> charge</w:t>
      </w:r>
      <w:r w:rsidR="00367114">
        <w:t>d particles</w:t>
      </w:r>
      <w:r>
        <w:t xml:space="preserve"> always separates first and the </w:t>
      </w:r>
      <w:r w:rsidR="00367114">
        <w:t>doubly</w:t>
      </w:r>
      <w:r>
        <w:t xml:space="preserve"> charge</w:t>
      </w:r>
      <w:r w:rsidR="00367114">
        <w:t>d particles</w:t>
      </w:r>
      <w:r>
        <w:t xml:space="preserve"> will eventually separate from the t</w:t>
      </w:r>
      <w:r w:rsidR="00367114">
        <w:t>riply charged particles</w:t>
      </w:r>
      <w:r>
        <w:t xml:space="preserve">. The value of the evaporation rate ratio expressed for the </w:t>
      </w:r>
      <w:r w:rsidR="00367114">
        <w:t>singly</w:t>
      </w:r>
      <w:r>
        <w:t xml:space="preserve"> to </w:t>
      </w:r>
      <w:r w:rsidR="00367114">
        <w:t>doubly</w:t>
      </w:r>
      <w:r>
        <w:t xml:space="preserve"> charge</w:t>
      </w:r>
      <w:r w:rsidR="00367114">
        <w:t>d particles</w:t>
      </w:r>
      <w:r>
        <w:t xml:space="preserve"> during 90 nm evaporation is greater than the evaporation ratio expressed for the </w:t>
      </w:r>
      <w:r w:rsidR="00367114">
        <w:t>doubly</w:t>
      </w:r>
      <w:r>
        <w:t xml:space="preserve"> to t</w:t>
      </w:r>
      <w:r w:rsidR="00367114">
        <w:t>riply</w:t>
      </w:r>
      <w:r>
        <w:t xml:space="preserve"> charge</w:t>
      </w:r>
      <w:r w:rsidR="00367114">
        <w:t>d particles</w:t>
      </w:r>
      <w:r>
        <w:t xml:space="preserve">. The product of the two ratios will equate to the evaporation ratio of the </w:t>
      </w:r>
      <w:r w:rsidR="00367114">
        <w:t>singly</w:t>
      </w:r>
      <w:r>
        <w:t xml:space="preserve"> to t</w:t>
      </w:r>
      <w:r w:rsidR="00367114">
        <w:t>riply</w:t>
      </w:r>
      <w:r>
        <w:t xml:space="preserve"> charge</w:t>
      </w:r>
      <w:r w:rsidR="00367114">
        <w:t>d particles</w:t>
      </w:r>
      <w:r>
        <w:t xml:space="preserve">. The </w:t>
      </w:r>
      <w:r w:rsidR="00367114">
        <w:t xml:space="preserve">evaporation </w:t>
      </w:r>
      <w:r>
        <w:t xml:space="preserve">ratio </w:t>
      </w:r>
      <w:r w:rsidR="00367114">
        <w:t>of the singly</w:t>
      </w:r>
      <w:r>
        <w:t xml:space="preserve"> charge</w:t>
      </w:r>
      <w:r w:rsidR="00367114">
        <w:t>d particles</w:t>
      </w:r>
      <w:r>
        <w:t xml:space="preserve"> to either the </w:t>
      </w:r>
      <w:r w:rsidR="00367114">
        <w:t>doubly</w:t>
      </w:r>
      <w:r>
        <w:t xml:space="preserve"> or t</w:t>
      </w:r>
      <w:r w:rsidR="00367114">
        <w:t>riply charged particles</w:t>
      </w:r>
      <w:r>
        <w:t xml:space="preserve"> is much greater than one. The</w:t>
      </w:r>
      <w:r w:rsidR="00367114">
        <w:t xml:space="preserve"> evaporation</w:t>
      </w:r>
      <w:r>
        <w:t xml:space="preserve"> ratio of the </w:t>
      </w:r>
      <w:r w:rsidR="00367114">
        <w:t xml:space="preserve">singly </w:t>
      </w:r>
      <w:r>
        <w:t>charge</w:t>
      </w:r>
      <w:r w:rsidR="00367114">
        <w:t>d particles</w:t>
      </w:r>
      <w:r>
        <w:t xml:space="preserve"> to</w:t>
      </w:r>
      <w:r w:rsidR="00367114">
        <w:t xml:space="preserve"> the doubly charged particles</w:t>
      </w:r>
      <w:r>
        <w:t xml:space="preserve"> is always larger than the ratio of the </w:t>
      </w:r>
      <w:r w:rsidR="00367114">
        <w:t>doubly</w:t>
      </w:r>
      <w:r>
        <w:t xml:space="preserve"> to the t</w:t>
      </w:r>
      <w:r w:rsidR="00367114">
        <w:t>riply charged particles</w:t>
      </w:r>
      <w:r>
        <w:t xml:space="preserve">. This ensures that the </w:t>
      </w:r>
      <w:r w:rsidR="00367114">
        <w:t>singly</w:t>
      </w:r>
      <w:r>
        <w:t xml:space="preserve"> charge</w:t>
      </w:r>
      <w:r w:rsidR="00367114">
        <w:t>d particles</w:t>
      </w:r>
      <w:r>
        <w:t xml:space="preserve"> will always separate </w:t>
      </w:r>
      <w:r>
        <w:lastRenderedPageBreak/>
        <w:t xml:space="preserve">from the </w:t>
      </w:r>
      <w:r w:rsidR="00367114">
        <w:t>doubly</w:t>
      </w:r>
      <w:r>
        <w:t xml:space="preserve"> charge</w:t>
      </w:r>
      <w:r w:rsidR="00367114">
        <w:t>d particles</w:t>
      </w:r>
      <w:r>
        <w:t xml:space="preserve"> before the </w:t>
      </w:r>
      <w:r w:rsidR="00367114">
        <w:t>doubly</w:t>
      </w:r>
      <w:r>
        <w:t xml:space="preserve"> charge</w:t>
      </w:r>
      <w:r w:rsidR="00367114">
        <w:t>d particles</w:t>
      </w:r>
      <w:r>
        <w:t xml:space="preserve"> separates from the t</w:t>
      </w:r>
      <w:r w:rsidR="00367114">
        <w:t>riply charged particles</w:t>
      </w:r>
      <w:r>
        <w:t>. If an initial diameter of 300 nm is chosen, the evaporation ratios increase further. The separation of the charges in the 300 nm case competes against the width of the DMA transfer functions. Selection of larger diameters widens the transfer function requiring a larger evaporation to take place before charge separation is revealed.</w:t>
      </w:r>
    </w:p>
    <w:p w14:paraId="0487B7A9" w14:textId="77777777" w:rsidR="00027D67" w:rsidRDefault="00027D67" w:rsidP="00415A1F"/>
    <w:p w14:paraId="659D76EE" w14:textId="77777777" w:rsidR="009D13D8" w:rsidRDefault="00027D67" w:rsidP="00415A1F">
      <w:r>
        <w:rPr>
          <w:noProof/>
        </w:rPr>
        <w:drawing>
          <wp:inline distT="0" distB="0" distL="0" distR="0" wp14:anchorId="55554FE9" wp14:editId="44E78FE9">
            <wp:extent cx="2782830" cy="2514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2830" cy="2514605"/>
                    </a:xfrm>
                    <a:prstGeom prst="rect">
                      <a:avLst/>
                    </a:prstGeom>
                  </pic:spPr>
                </pic:pic>
              </a:graphicData>
            </a:graphic>
          </wp:inline>
        </w:drawing>
      </w:r>
    </w:p>
    <w:p w14:paraId="64E86C90" w14:textId="2413336C" w:rsidR="009D13D8" w:rsidRDefault="00027D67" w:rsidP="00456064">
      <w:pPr>
        <w:pStyle w:val="supplementcaptions"/>
        <w:numPr>
          <w:ilvl w:val="0"/>
          <w:numId w:val="4"/>
        </w:numPr>
      </w:pPr>
      <w:r>
        <w:t xml:space="preserve">Evaporation of </w:t>
      </w:r>
      <w:proofErr w:type="spellStart"/>
      <w:r>
        <w:t>levoglucosan</w:t>
      </w:r>
      <w:proofErr w:type="spellEnd"/>
      <w:r>
        <w:t xml:space="preserve"> with an initial diameter of 90 nm and 300 nm. The evaporation rate ratio of the first charge to the second charge is shown as a thin black line. The evaporation ratio of the second charge to the third charge is shown as a heavy line. </w:t>
      </w:r>
    </w:p>
    <w:p w14:paraId="4399C3ED" w14:textId="77777777" w:rsidR="001E2F12" w:rsidRDefault="001E2F12" w:rsidP="00415A1F"/>
    <w:p w14:paraId="7CFE3F59" w14:textId="0825611C" w:rsidR="00181F39" w:rsidRDefault="00742A0F" w:rsidP="00027D67">
      <w:pPr>
        <w:ind w:firstLine="360"/>
      </w:pPr>
      <w:r>
        <w:t>In Figure S</w:t>
      </w:r>
      <w:r w:rsidR="00000A44">
        <w:t>9</w:t>
      </w:r>
      <w:r w:rsidR="00181F39">
        <w:t xml:space="preserve">, we see that charge separation occurs regardless of accommodation coefficient. The figure displays evaporation rate ratio as a function of mass accommodation coefficient and charge ratio. The ½ represents the ratio of the </w:t>
      </w:r>
      <w:r w:rsidR="00547B7E">
        <w:t>singly</w:t>
      </w:r>
      <w:r w:rsidR="00181F39">
        <w:t xml:space="preserve"> charge</w:t>
      </w:r>
      <w:r w:rsidR="00547B7E">
        <w:t>d</w:t>
      </w:r>
      <w:r w:rsidR="00181F39">
        <w:t xml:space="preserve"> evaporation rate to the </w:t>
      </w:r>
      <w:r w:rsidR="00547B7E">
        <w:t>doubly</w:t>
      </w:r>
      <w:r w:rsidR="00181F39">
        <w:t xml:space="preserve"> charge</w:t>
      </w:r>
      <w:r w:rsidR="00547B7E">
        <w:t>d</w:t>
      </w:r>
      <w:r w:rsidR="00181F39">
        <w:t xml:space="preserve"> evaporation rate. The </w:t>
      </w:r>
      <w:r w:rsidR="00677E91">
        <w:t>2</w:t>
      </w:r>
      <w:r w:rsidR="00181F39">
        <w:t xml:space="preserve">/3 </w:t>
      </w:r>
      <w:r w:rsidR="00677E91">
        <w:t xml:space="preserve">represents the ratio of the </w:t>
      </w:r>
      <w:r w:rsidR="00547B7E">
        <w:t xml:space="preserve">doubly </w:t>
      </w:r>
      <w:r w:rsidR="00677E91">
        <w:t>charge</w:t>
      </w:r>
      <w:r w:rsidR="00547B7E">
        <w:t>d</w:t>
      </w:r>
      <w:r w:rsidR="00677E91">
        <w:t xml:space="preserve"> evaporation rate divided by the t</w:t>
      </w:r>
      <w:r w:rsidR="00547B7E">
        <w:t>riply</w:t>
      </w:r>
      <w:r w:rsidR="00677E91">
        <w:t xml:space="preserve"> charge</w:t>
      </w:r>
      <w:r w:rsidR="00547B7E">
        <w:t>d</w:t>
      </w:r>
      <w:r w:rsidR="00677E91">
        <w:t xml:space="preserve"> evaporation rate. The </w:t>
      </w:r>
      <w:r w:rsidR="00547B7E">
        <w:t xml:space="preserve">evaporation </w:t>
      </w:r>
      <w:r w:rsidR="00677E91">
        <w:t xml:space="preserve">ratio of the </w:t>
      </w:r>
      <w:r w:rsidR="00547B7E">
        <w:t>singly</w:t>
      </w:r>
      <w:r w:rsidR="00677E91">
        <w:t xml:space="preserve"> charge</w:t>
      </w:r>
      <w:r w:rsidR="00547B7E">
        <w:t>d particles</w:t>
      </w:r>
      <w:r w:rsidR="00677E91">
        <w:t xml:space="preserve"> to the </w:t>
      </w:r>
      <w:r w:rsidR="00547B7E">
        <w:t>doubly</w:t>
      </w:r>
      <w:r w:rsidR="00677E91">
        <w:t xml:space="preserve"> is greater than one in both cases and is greater than the ratio of the </w:t>
      </w:r>
      <w:r w:rsidR="00547B7E">
        <w:t>doubly</w:t>
      </w:r>
      <w:r w:rsidR="00677E91">
        <w:t xml:space="preserve"> charge</w:t>
      </w:r>
      <w:r w:rsidR="00547B7E">
        <w:t>d particles</w:t>
      </w:r>
      <w:r w:rsidR="00677E91">
        <w:t xml:space="preserve"> to the t</w:t>
      </w:r>
      <w:r w:rsidR="00547B7E">
        <w:t>riply charged particles</w:t>
      </w:r>
      <w:r w:rsidR="00677E91">
        <w:t>. Decreas</w:t>
      </w:r>
      <w:r w:rsidR="00547B7E">
        <w:t>e</w:t>
      </w:r>
      <w:r w:rsidR="00677E91">
        <w:t xml:space="preserve"> of the mass accommodation coefficient decreases the </w:t>
      </w:r>
      <w:r w:rsidR="0000551A">
        <w:t xml:space="preserve">evaporation rate </w:t>
      </w:r>
      <w:r w:rsidR="00946FDD">
        <w:t>ratio but</w:t>
      </w:r>
      <w:r w:rsidR="00677E91">
        <w:t xml:space="preserve"> does not remove the separation. The evaporation rate ratios for a 0.1 mass accommodation coefficient are large and will still separate the charges. </w:t>
      </w:r>
    </w:p>
    <w:p w14:paraId="40D13AE2" w14:textId="77777777" w:rsidR="00181F39" w:rsidRDefault="00181F39" w:rsidP="00027D67">
      <w:pPr>
        <w:ind w:firstLine="360"/>
      </w:pPr>
      <w:r>
        <w:rPr>
          <w:noProof/>
        </w:rPr>
        <w:lastRenderedPageBreak/>
        <w:drawing>
          <wp:inline distT="0" distB="0" distL="0" distR="0" wp14:anchorId="0288B790" wp14:editId="51F6C197">
            <wp:extent cx="2782830" cy="25024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2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2830" cy="2502413"/>
                    </a:xfrm>
                    <a:prstGeom prst="rect">
                      <a:avLst/>
                    </a:prstGeom>
                  </pic:spPr>
                </pic:pic>
              </a:graphicData>
            </a:graphic>
          </wp:inline>
        </w:drawing>
      </w:r>
    </w:p>
    <w:p w14:paraId="35CCCC30" w14:textId="45FDA12F" w:rsidR="00181F39" w:rsidRDefault="00181F39" w:rsidP="00456064">
      <w:pPr>
        <w:pStyle w:val="supplementcaptions"/>
        <w:numPr>
          <w:ilvl w:val="0"/>
          <w:numId w:val="4"/>
        </w:numPr>
      </w:pPr>
      <w:r>
        <w:t xml:space="preserve">Evaporation of a 90 nm particle of </w:t>
      </w:r>
      <w:proofErr w:type="spellStart"/>
      <w:r>
        <w:t>levoglucosan</w:t>
      </w:r>
      <w:proofErr w:type="spellEnd"/>
      <w:r>
        <w:t>. The y-axis is the value of the evaporation ratio. The thin lines are the ratio of the first charge to the second charge. The thick lines are the ratio of the second charge to the third. Lines with x’s mark an accommodation coefficient of 0.1.</w:t>
      </w:r>
    </w:p>
    <w:p w14:paraId="0CC23059" w14:textId="77777777" w:rsidR="00181F39" w:rsidRDefault="00181F39" w:rsidP="00027D67">
      <w:pPr>
        <w:ind w:firstLine="360"/>
      </w:pPr>
    </w:p>
    <w:p w14:paraId="10C570D2" w14:textId="69F8ECAE" w:rsidR="00D914BA" w:rsidRDefault="00D914BA" w:rsidP="00027D67">
      <w:pPr>
        <w:ind w:firstLine="360"/>
      </w:pPr>
      <w:r>
        <w:t xml:space="preserve">Different components impact the evaporation ratio, especially through the </w:t>
      </w:r>
      <w:r>
        <w:rPr>
          <w:rFonts w:ascii="Cambria Math" w:hAnsi="Cambria Math"/>
        </w:rPr>
        <w:t>β</w:t>
      </w:r>
      <w:r>
        <w:t xml:space="preserve"> ratio. We compare </w:t>
      </w:r>
      <w:proofErr w:type="spellStart"/>
      <w:r>
        <w:t>levoglucosan</w:t>
      </w:r>
      <w:proofErr w:type="spellEnd"/>
      <w:r>
        <w:t xml:space="preserve">, malonic acid, and oleic acid </w:t>
      </w:r>
      <w:r w:rsidR="0000551A">
        <w:t>to display the impact</w:t>
      </w:r>
      <w:r>
        <w:t xml:space="preserve">. The values for surface tension, particle density, </w:t>
      </w:r>
      <w:r w:rsidR="009711FF">
        <w:t xml:space="preserve">molecular weight, collision diameter, and characteristic energy are shown in Table S1. </w:t>
      </w:r>
      <w:r w:rsidR="00274317">
        <w:t xml:space="preserve">The role of the components in the </w:t>
      </w:r>
      <w:r w:rsidR="00274317">
        <w:rPr>
          <w:rFonts w:ascii="Cambria Math" w:hAnsi="Cambria Math"/>
        </w:rPr>
        <w:t>β</w:t>
      </w:r>
      <w:r w:rsidR="00274317">
        <w:t xml:space="preserve"> ratio is apparent in Equation S16. The role of the components in the </w:t>
      </w:r>
      <w:r w:rsidR="00274317">
        <w:rPr>
          <w:rFonts w:ascii="Cambria Math" w:hAnsi="Cambria Math"/>
        </w:rPr>
        <w:t>γ</w:t>
      </w:r>
      <w:r w:rsidR="00274317">
        <w:t xml:space="preserve"> ratio is less apparent. The Knudsen number requires the mean free path in addition to the diameter. The mean free path is the distance between collisions between the </w:t>
      </w:r>
      <w:r w:rsidR="0055410F" w:rsidRPr="0055410F">
        <w:rPr>
          <w:i/>
          <w:iCs/>
        </w:rPr>
        <w:t>evaporating</w:t>
      </w:r>
      <w:r w:rsidR="00274317">
        <w:t xml:space="preserve"> gas molecules</w:t>
      </w:r>
      <w:r w:rsidR="00090FA6">
        <w:t xml:space="preserve"> and can be calculated using the molecular weight and diffusivity of the condensing gas</w:t>
      </w:r>
      <w:r w:rsidR="00274317">
        <w:t xml:space="preserve">. </w:t>
      </w:r>
      <w:r w:rsidR="005705A4">
        <w:t>We use Chapman-</w:t>
      </w:r>
      <w:proofErr w:type="spellStart"/>
      <w:r w:rsidR="005705A4">
        <w:t>Engskog</w:t>
      </w:r>
      <w:proofErr w:type="spellEnd"/>
      <w:r w:rsidR="005705A4">
        <w:t xml:space="preserve"> kinetic theory to calculate </w:t>
      </w:r>
      <w:r w:rsidR="00090FA6">
        <w:t>diffusivity</w:t>
      </w:r>
      <w:r w:rsidR="005705A4">
        <w:t xml:space="preserve"> </w:t>
      </w:r>
      <w:r w:rsidR="00090FA6">
        <w:fldChar w:fldCharType="begin"/>
      </w:r>
      <w:r w:rsidR="00C07B3F">
        <w:instrText xml:space="preserve"> ADDIN EN.CITE &lt;EndNote&gt;&lt;Cite&gt;&lt;Author&gt;Bird&lt;/Author&gt;&lt;Year&gt;2002&lt;/Year&gt;&lt;RecNum&gt;3&lt;/RecNum&gt;&lt;DisplayText&gt;(Bird et al. 2002)&lt;/DisplayText&gt;&lt;record&gt;&lt;rec-number&gt;3&lt;/rec-number&gt;&lt;foreign-keys&gt;&lt;key app="EN" db-id="w5vt2rse70avfmezsabxaepdstztv5svdxt2"&gt;3&lt;/key&gt;&lt;/foreign-keys&gt;&lt;ref-type name="Book"&gt;6&lt;/ref-type&gt;&lt;contributors&gt;&lt;authors&gt;&lt;author&gt;Bird, R. Byron&lt;/author&gt;&lt;author&gt;Stewart, Warren E.&lt;/author&gt;&lt;author&gt;Lightfoot, Edwin N.&lt;/author&gt;&lt;/authors&gt;&lt;/contributors&gt;&lt;titles&gt;&lt;title&gt;Transport phenomena&lt;/title&gt;&lt;/titles&gt;&lt;pages&gt;xii, 895 p.&lt;/pages&gt;&lt;edition&gt;2nd, Wiley international&lt;/edition&gt;&lt;keywords&gt;&lt;keyword&gt;Fluid dynamics.&lt;/keyword&gt;&lt;keyword&gt;Transport theory.&lt;/keyword&gt;&lt;/keywords&gt;&lt;dates&gt;&lt;year&gt;2002&lt;/year&gt;&lt;/dates&gt;&lt;pub-location&gt;New York&lt;/pub-location&gt;&lt;publisher&gt;J. Wiley&lt;/publisher&gt;&lt;isbn&gt;0471410772 (cloth alk. paper)&lt;/isbn&gt;&lt;accession-num&gt;12336235&lt;/accession-num&gt;&lt;call-num&gt;Jefferson or Adams Building Reading Rooms - STORED OFFSITE QA929 .B5 2002&lt;/call-num&gt;&lt;urls&gt;&lt;related-urls&gt;&lt;url&gt;Publisher description http://www.loc.gov/catdir/description/wiley036/2001023739.html&lt;/url&gt;&lt;url&gt;Table of Contents http://www.loc.gov/catdir/toc/onix07/2001023739.html&lt;/url&gt;&lt;/related-urls&gt;&lt;/urls&gt;&lt;/record&gt;&lt;/Cite&gt;&lt;/EndNote&gt;</w:instrText>
      </w:r>
      <w:r w:rsidR="00090FA6">
        <w:fldChar w:fldCharType="separate"/>
      </w:r>
      <w:r w:rsidR="00427637">
        <w:rPr>
          <w:noProof/>
        </w:rPr>
        <w:t>(</w:t>
      </w:r>
      <w:hyperlink w:anchor="_ENREF_4" w:tooltip="Bird, 2002 #3" w:history="1">
        <w:r w:rsidR="0055410F">
          <w:rPr>
            <w:noProof/>
          </w:rPr>
          <w:t>Bird</w:t>
        </w:r>
        <w:r w:rsidR="008673B3">
          <w:rPr>
            <w:noProof/>
          </w:rPr>
          <w:t>, Stewart and Lightfoot</w:t>
        </w:r>
        <w:r w:rsidR="0055410F">
          <w:rPr>
            <w:noProof/>
          </w:rPr>
          <w:t xml:space="preserve"> 2002</w:t>
        </w:r>
      </w:hyperlink>
      <w:r w:rsidR="00427637">
        <w:rPr>
          <w:noProof/>
        </w:rPr>
        <w:t>)</w:t>
      </w:r>
      <w:r w:rsidR="00090FA6">
        <w:fldChar w:fldCharType="end"/>
      </w:r>
      <w:r w:rsidR="00090FA6">
        <w:t xml:space="preserve">. </w:t>
      </w:r>
      <w:r w:rsidR="009A3989">
        <w:t xml:space="preserve">We use these values to compare the impact of components on the </w:t>
      </w:r>
      <w:r w:rsidR="00090FA6">
        <w:t xml:space="preserve">overall </w:t>
      </w:r>
      <w:r w:rsidR="009A3989">
        <w:t xml:space="preserve">evaporation ratio. This </w:t>
      </w:r>
      <w:r w:rsidR="00090FA6">
        <w:t>comparison is shown in Figure S</w:t>
      </w:r>
      <w:r w:rsidR="00742A0F">
        <w:t>1</w:t>
      </w:r>
      <w:r w:rsidR="0055410F">
        <w:t>0</w:t>
      </w:r>
      <w:r w:rsidR="009A3989">
        <w:t>.</w:t>
      </w:r>
    </w:p>
    <w:p w14:paraId="0185DB65" w14:textId="77777777" w:rsidR="00D914BA" w:rsidRDefault="00D914BA" w:rsidP="00027D67">
      <w:pPr>
        <w:ind w:firstLine="360"/>
      </w:pPr>
    </w:p>
    <w:p w14:paraId="073E6086" w14:textId="77777777" w:rsidR="00D914BA" w:rsidRDefault="009711FF" w:rsidP="009711FF">
      <w:r w:rsidRPr="00924950">
        <w:rPr>
          <w:b/>
        </w:rPr>
        <w:t xml:space="preserve">Table </w:t>
      </w:r>
      <w:r w:rsidR="009A3989" w:rsidRPr="00924950">
        <w:rPr>
          <w:b/>
        </w:rPr>
        <w:t>S</w:t>
      </w:r>
      <w:r w:rsidRPr="00924950">
        <w:rPr>
          <w:b/>
        </w:rPr>
        <w:t>1</w:t>
      </w:r>
      <w:r>
        <w:t xml:space="preserve">. Values used for comparison of the evaporation ratio. </w:t>
      </w:r>
      <w:r w:rsidR="00750CE7">
        <w:t xml:space="preserve"> </w:t>
      </w:r>
    </w:p>
    <w:tbl>
      <w:tblPr>
        <w:tblStyle w:val="TableGrid"/>
        <w:tblW w:w="0" w:type="auto"/>
        <w:tblLook w:val="04A0" w:firstRow="1" w:lastRow="0" w:firstColumn="1" w:lastColumn="0" w:noHBand="0" w:noVBand="1"/>
      </w:tblPr>
      <w:tblGrid>
        <w:gridCol w:w="1529"/>
        <w:gridCol w:w="2134"/>
        <w:gridCol w:w="1767"/>
        <w:gridCol w:w="1366"/>
        <w:gridCol w:w="1227"/>
        <w:gridCol w:w="1327"/>
      </w:tblGrid>
      <w:tr w:rsidR="00D914BA" w:rsidRPr="00D914BA" w14:paraId="71401EC3" w14:textId="77777777" w:rsidTr="00397DB8">
        <w:tc>
          <w:tcPr>
            <w:tcW w:w="1548" w:type="dxa"/>
          </w:tcPr>
          <w:p w14:paraId="7F09BC4F" w14:textId="77777777" w:rsidR="00D914BA" w:rsidRPr="00D914BA" w:rsidRDefault="00D914BA" w:rsidP="00D914BA">
            <w:pPr>
              <w:jc w:val="center"/>
              <w:rPr>
                <w:rFonts w:eastAsiaTheme="minorEastAsia"/>
                <w:sz w:val="20"/>
              </w:rPr>
            </w:pPr>
            <w:r w:rsidRPr="00D914BA">
              <w:rPr>
                <w:rFonts w:eastAsiaTheme="minorEastAsia"/>
                <w:sz w:val="20"/>
              </w:rPr>
              <w:t>Compound</w:t>
            </w:r>
          </w:p>
        </w:tc>
        <w:tc>
          <w:tcPr>
            <w:tcW w:w="2196" w:type="dxa"/>
          </w:tcPr>
          <w:p w14:paraId="338A20EB" w14:textId="77777777" w:rsidR="00D914BA" w:rsidRPr="00D914BA" w:rsidRDefault="00D914BA" w:rsidP="00D914BA">
            <w:pPr>
              <w:jc w:val="center"/>
              <w:rPr>
                <w:rFonts w:eastAsiaTheme="minorEastAsia"/>
                <w:sz w:val="20"/>
              </w:rPr>
            </w:pPr>
            <w:r w:rsidRPr="00D914BA">
              <w:rPr>
                <w:rFonts w:eastAsiaTheme="minorEastAsia"/>
                <w:sz w:val="20"/>
              </w:rPr>
              <w:t>Surface Tension/Energy</w:t>
            </w:r>
          </w:p>
        </w:tc>
        <w:tc>
          <w:tcPr>
            <w:tcW w:w="1854" w:type="dxa"/>
          </w:tcPr>
          <w:p w14:paraId="551D9D21" w14:textId="77777777" w:rsidR="00D914BA" w:rsidRPr="00D914BA" w:rsidRDefault="00D914BA" w:rsidP="00D914BA">
            <w:pPr>
              <w:jc w:val="center"/>
              <w:rPr>
                <w:rFonts w:eastAsiaTheme="minorEastAsia"/>
                <w:sz w:val="20"/>
              </w:rPr>
            </w:pPr>
            <w:r w:rsidRPr="00D914BA">
              <w:rPr>
                <w:rFonts w:eastAsiaTheme="minorEastAsia"/>
                <w:sz w:val="20"/>
              </w:rPr>
              <w:t>Density</w:t>
            </w:r>
          </w:p>
        </w:tc>
        <w:tc>
          <w:tcPr>
            <w:tcW w:w="1398" w:type="dxa"/>
          </w:tcPr>
          <w:p w14:paraId="6C21D8F2" w14:textId="77777777" w:rsidR="00D914BA" w:rsidRPr="00D914BA" w:rsidRDefault="00D914BA" w:rsidP="00D914BA">
            <w:pPr>
              <w:jc w:val="center"/>
              <w:rPr>
                <w:rFonts w:eastAsiaTheme="minorEastAsia"/>
                <w:sz w:val="20"/>
              </w:rPr>
            </w:pPr>
            <w:r w:rsidRPr="00D914BA">
              <w:rPr>
                <w:rFonts w:eastAsiaTheme="minorEastAsia"/>
                <w:sz w:val="20"/>
              </w:rPr>
              <w:t>Molecular Weight</w:t>
            </w:r>
          </w:p>
        </w:tc>
        <w:tc>
          <w:tcPr>
            <w:tcW w:w="1253" w:type="dxa"/>
          </w:tcPr>
          <w:p w14:paraId="698CB393" w14:textId="77777777" w:rsidR="00D914BA" w:rsidRPr="00D914BA" w:rsidRDefault="00D914BA" w:rsidP="00D914BA">
            <w:pPr>
              <w:jc w:val="center"/>
              <w:rPr>
                <w:rFonts w:eastAsiaTheme="minorEastAsia"/>
                <w:sz w:val="20"/>
              </w:rPr>
            </w:pPr>
            <w:r w:rsidRPr="00D914BA">
              <w:rPr>
                <w:rFonts w:eastAsiaTheme="minorEastAsia"/>
                <w:sz w:val="20"/>
              </w:rPr>
              <w:t>Collision Diameter</w:t>
            </w:r>
          </w:p>
        </w:tc>
        <w:tc>
          <w:tcPr>
            <w:tcW w:w="1327" w:type="dxa"/>
          </w:tcPr>
          <w:p w14:paraId="55D1EB63" w14:textId="77777777" w:rsidR="00D914BA" w:rsidRPr="00D914BA" w:rsidRDefault="00D914BA" w:rsidP="00D914BA">
            <w:pPr>
              <w:jc w:val="center"/>
              <w:rPr>
                <w:rFonts w:eastAsiaTheme="minorEastAsia"/>
                <w:sz w:val="20"/>
              </w:rPr>
            </w:pPr>
            <w:r w:rsidRPr="00D914BA">
              <w:rPr>
                <w:rFonts w:eastAsiaTheme="minorEastAsia"/>
                <w:sz w:val="20"/>
              </w:rPr>
              <w:t>Characteristic Energy</w:t>
            </w:r>
          </w:p>
        </w:tc>
      </w:tr>
      <w:tr w:rsidR="00D914BA" w:rsidRPr="00D914BA" w14:paraId="0A3419D6" w14:textId="77777777" w:rsidTr="00397DB8">
        <w:tc>
          <w:tcPr>
            <w:tcW w:w="1548" w:type="dxa"/>
          </w:tcPr>
          <w:p w14:paraId="43E90AF6" w14:textId="77777777" w:rsidR="00D914BA" w:rsidRPr="00D914BA" w:rsidRDefault="00D914BA" w:rsidP="00D914BA">
            <w:pPr>
              <w:jc w:val="center"/>
              <w:rPr>
                <w:rFonts w:eastAsiaTheme="minorEastAsia"/>
                <w:sz w:val="20"/>
              </w:rPr>
            </w:pPr>
          </w:p>
        </w:tc>
        <w:tc>
          <w:tcPr>
            <w:tcW w:w="2196" w:type="dxa"/>
          </w:tcPr>
          <w:p w14:paraId="5E565D67" w14:textId="77777777" w:rsidR="00D914BA" w:rsidRPr="00D914BA" w:rsidRDefault="00D914BA" w:rsidP="00D914BA">
            <w:pPr>
              <w:jc w:val="center"/>
              <w:rPr>
                <w:rFonts w:eastAsiaTheme="minorEastAsia"/>
                <w:sz w:val="20"/>
              </w:rPr>
            </w:pPr>
            <w:r w:rsidRPr="00D914BA">
              <w:rPr>
                <w:rFonts w:eastAsiaTheme="minorEastAsia"/>
                <w:sz w:val="20"/>
              </w:rPr>
              <w:t>(J/m</w:t>
            </w:r>
            <w:r w:rsidRPr="00D914BA">
              <w:rPr>
                <w:rFonts w:eastAsiaTheme="minorEastAsia"/>
                <w:sz w:val="20"/>
                <w:vertAlign w:val="superscript"/>
              </w:rPr>
              <w:t>2</w:t>
            </w:r>
            <w:r w:rsidRPr="00D914BA">
              <w:rPr>
                <w:rFonts w:eastAsiaTheme="minorEastAsia"/>
                <w:sz w:val="20"/>
              </w:rPr>
              <w:t>)</w:t>
            </w:r>
          </w:p>
        </w:tc>
        <w:tc>
          <w:tcPr>
            <w:tcW w:w="1854" w:type="dxa"/>
          </w:tcPr>
          <w:p w14:paraId="324A10AF" w14:textId="77777777" w:rsidR="00D914BA" w:rsidRPr="00D914BA" w:rsidRDefault="00D914BA" w:rsidP="00D914BA">
            <w:pPr>
              <w:jc w:val="center"/>
              <w:rPr>
                <w:rFonts w:eastAsiaTheme="minorEastAsia"/>
                <w:sz w:val="20"/>
              </w:rPr>
            </w:pPr>
            <w:r w:rsidRPr="00D914BA">
              <w:rPr>
                <w:rFonts w:eastAsiaTheme="minorEastAsia"/>
                <w:sz w:val="20"/>
              </w:rPr>
              <w:t>(Kg/m</w:t>
            </w:r>
            <w:r w:rsidRPr="00D914BA">
              <w:rPr>
                <w:rFonts w:eastAsiaTheme="minorEastAsia"/>
                <w:sz w:val="20"/>
                <w:vertAlign w:val="superscript"/>
              </w:rPr>
              <w:t>3</w:t>
            </w:r>
            <w:r w:rsidRPr="00D914BA">
              <w:rPr>
                <w:rFonts w:eastAsiaTheme="minorEastAsia"/>
                <w:sz w:val="20"/>
              </w:rPr>
              <w:t>)</w:t>
            </w:r>
          </w:p>
        </w:tc>
        <w:tc>
          <w:tcPr>
            <w:tcW w:w="1398" w:type="dxa"/>
          </w:tcPr>
          <w:p w14:paraId="5E6EE25D" w14:textId="77777777" w:rsidR="00D914BA" w:rsidRPr="00D914BA" w:rsidRDefault="00D914BA" w:rsidP="00D914BA">
            <w:pPr>
              <w:jc w:val="center"/>
              <w:rPr>
                <w:rFonts w:eastAsiaTheme="minorEastAsia"/>
                <w:sz w:val="20"/>
              </w:rPr>
            </w:pPr>
            <w:r w:rsidRPr="00D914BA">
              <w:rPr>
                <w:rFonts w:eastAsiaTheme="minorEastAsia"/>
                <w:sz w:val="20"/>
              </w:rPr>
              <w:t>(g/mole)</w:t>
            </w:r>
          </w:p>
        </w:tc>
        <w:tc>
          <w:tcPr>
            <w:tcW w:w="1253" w:type="dxa"/>
          </w:tcPr>
          <w:p w14:paraId="5EEEECFD" w14:textId="77777777" w:rsidR="00D914BA" w:rsidRPr="00D914BA" w:rsidRDefault="00D914BA" w:rsidP="00D914BA">
            <w:pPr>
              <w:jc w:val="center"/>
              <w:rPr>
                <w:rFonts w:eastAsiaTheme="minorEastAsia"/>
                <w:sz w:val="20"/>
              </w:rPr>
            </w:pPr>
            <w:r w:rsidRPr="00D914BA">
              <w:rPr>
                <w:rFonts w:eastAsiaTheme="minorEastAsia"/>
                <w:sz w:val="20"/>
              </w:rPr>
              <w:t>(</w:t>
            </w:r>
            <w:r w:rsidRPr="00D914BA">
              <w:rPr>
                <w:rFonts w:ascii="Cambria Math" w:eastAsiaTheme="minorEastAsia" w:hAnsi="Cambria Math"/>
                <w:sz w:val="20"/>
              </w:rPr>
              <w:t>Å</w:t>
            </w:r>
            <w:r w:rsidRPr="00D914BA">
              <w:rPr>
                <w:rFonts w:eastAsiaTheme="minorEastAsia"/>
                <w:sz w:val="20"/>
              </w:rPr>
              <w:t>)</w:t>
            </w:r>
          </w:p>
        </w:tc>
        <w:tc>
          <w:tcPr>
            <w:tcW w:w="1327" w:type="dxa"/>
          </w:tcPr>
          <w:p w14:paraId="0F0692A2" w14:textId="77777777" w:rsidR="00D914BA" w:rsidRPr="00D914BA" w:rsidRDefault="00D914BA" w:rsidP="00D914BA">
            <w:pPr>
              <w:jc w:val="center"/>
              <w:rPr>
                <w:rFonts w:eastAsiaTheme="minorEastAsia"/>
                <w:sz w:val="20"/>
              </w:rPr>
            </w:pPr>
            <w:r w:rsidRPr="00D914BA">
              <w:rPr>
                <w:rFonts w:eastAsiaTheme="minorEastAsia"/>
                <w:sz w:val="20"/>
              </w:rPr>
              <w:t>(K)</w:t>
            </w:r>
          </w:p>
        </w:tc>
      </w:tr>
      <w:tr w:rsidR="00D914BA" w:rsidRPr="00D914BA" w14:paraId="021D513B" w14:textId="77777777" w:rsidTr="00397DB8">
        <w:tc>
          <w:tcPr>
            <w:tcW w:w="1548" w:type="dxa"/>
          </w:tcPr>
          <w:p w14:paraId="0BCFD713" w14:textId="77777777" w:rsidR="00D914BA" w:rsidRPr="00D914BA" w:rsidRDefault="00D914BA" w:rsidP="00D914BA">
            <w:pPr>
              <w:jc w:val="center"/>
              <w:rPr>
                <w:rFonts w:eastAsiaTheme="minorEastAsia"/>
                <w:sz w:val="20"/>
              </w:rPr>
            </w:pPr>
            <w:r w:rsidRPr="00D914BA">
              <w:rPr>
                <w:rFonts w:eastAsiaTheme="minorEastAsia"/>
                <w:sz w:val="20"/>
              </w:rPr>
              <w:t xml:space="preserve">Malonic </w:t>
            </w:r>
            <w:proofErr w:type="spellStart"/>
            <w:r w:rsidRPr="00D914BA">
              <w:rPr>
                <w:rFonts w:eastAsiaTheme="minorEastAsia"/>
                <w:sz w:val="20"/>
              </w:rPr>
              <w:t>Acid</w:t>
            </w:r>
            <w:r w:rsidRPr="00D914BA">
              <w:rPr>
                <w:rFonts w:eastAsiaTheme="minorEastAsia"/>
                <w:sz w:val="20"/>
                <w:vertAlign w:val="superscript"/>
              </w:rPr>
              <w:t>A</w:t>
            </w:r>
            <w:proofErr w:type="spellEnd"/>
          </w:p>
        </w:tc>
        <w:tc>
          <w:tcPr>
            <w:tcW w:w="2196" w:type="dxa"/>
          </w:tcPr>
          <w:p w14:paraId="3F7AAD73" w14:textId="77777777" w:rsidR="00D914BA" w:rsidRPr="00D914BA" w:rsidRDefault="00D914BA" w:rsidP="00D914BA">
            <w:pPr>
              <w:jc w:val="center"/>
              <w:rPr>
                <w:rFonts w:eastAsiaTheme="minorEastAsia"/>
                <w:sz w:val="20"/>
              </w:rPr>
            </w:pPr>
            <w:r w:rsidRPr="00D914BA">
              <w:rPr>
                <w:rFonts w:eastAsiaTheme="minorEastAsia"/>
                <w:sz w:val="20"/>
              </w:rPr>
              <w:t>0.2</w:t>
            </w:r>
          </w:p>
        </w:tc>
        <w:tc>
          <w:tcPr>
            <w:tcW w:w="1854" w:type="dxa"/>
          </w:tcPr>
          <w:p w14:paraId="605CDB6F" w14:textId="77777777" w:rsidR="00D914BA" w:rsidRPr="00D914BA" w:rsidRDefault="00D914BA" w:rsidP="00D914BA">
            <w:pPr>
              <w:jc w:val="center"/>
              <w:rPr>
                <w:rFonts w:eastAsiaTheme="minorEastAsia"/>
                <w:sz w:val="20"/>
              </w:rPr>
            </w:pPr>
            <w:r w:rsidRPr="00D914BA">
              <w:rPr>
                <w:rFonts w:eastAsiaTheme="minorEastAsia"/>
                <w:sz w:val="20"/>
              </w:rPr>
              <w:t xml:space="preserve">1616 </w:t>
            </w:r>
          </w:p>
        </w:tc>
        <w:tc>
          <w:tcPr>
            <w:tcW w:w="1398" w:type="dxa"/>
          </w:tcPr>
          <w:p w14:paraId="655B162D" w14:textId="77777777" w:rsidR="00D914BA" w:rsidRPr="00D914BA" w:rsidRDefault="00D914BA" w:rsidP="00D914BA">
            <w:pPr>
              <w:jc w:val="center"/>
              <w:rPr>
                <w:rFonts w:eastAsiaTheme="minorEastAsia"/>
                <w:sz w:val="20"/>
              </w:rPr>
            </w:pPr>
            <w:r w:rsidRPr="00D914BA">
              <w:rPr>
                <w:rFonts w:eastAsiaTheme="minorEastAsia"/>
                <w:sz w:val="20"/>
              </w:rPr>
              <w:t>104.06</w:t>
            </w:r>
          </w:p>
        </w:tc>
        <w:tc>
          <w:tcPr>
            <w:tcW w:w="1253" w:type="dxa"/>
          </w:tcPr>
          <w:p w14:paraId="726EA8EA" w14:textId="77777777" w:rsidR="00D914BA" w:rsidRPr="00D914BA" w:rsidRDefault="00D914BA" w:rsidP="00D914BA">
            <w:pPr>
              <w:jc w:val="center"/>
              <w:rPr>
                <w:rFonts w:eastAsiaTheme="minorEastAsia"/>
                <w:sz w:val="20"/>
              </w:rPr>
            </w:pPr>
            <w:r w:rsidRPr="00D914BA">
              <w:rPr>
                <w:rFonts w:eastAsiaTheme="minorEastAsia"/>
                <w:sz w:val="20"/>
              </w:rPr>
              <w:t>5.33</w:t>
            </w:r>
          </w:p>
        </w:tc>
        <w:tc>
          <w:tcPr>
            <w:tcW w:w="1327" w:type="dxa"/>
          </w:tcPr>
          <w:p w14:paraId="1A5320C8" w14:textId="77777777" w:rsidR="00D914BA" w:rsidRPr="00D914BA" w:rsidRDefault="00D914BA" w:rsidP="00D914BA">
            <w:pPr>
              <w:jc w:val="center"/>
              <w:rPr>
                <w:rFonts w:eastAsiaTheme="minorEastAsia"/>
                <w:sz w:val="20"/>
              </w:rPr>
            </w:pPr>
            <w:r w:rsidRPr="00D914BA">
              <w:rPr>
                <w:rFonts w:eastAsiaTheme="minorEastAsia"/>
                <w:sz w:val="20"/>
              </w:rPr>
              <w:t>784.80</w:t>
            </w:r>
          </w:p>
        </w:tc>
      </w:tr>
      <w:tr w:rsidR="00D914BA" w:rsidRPr="00D914BA" w14:paraId="536EF307" w14:textId="77777777" w:rsidTr="00397DB8">
        <w:tc>
          <w:tcPr>
            <w:tcW w:w="1548" w:type="dxa"/>
          </w:tcPr>
          <w:p w14:paraId="39C1FD3B" w14:textId="77777777" w:rsidR="00D914BA" w:rsidRPr="00D914BA" w:rsidRDefault="00D914BA" w:rsidP="00D914BA">
            <w:pPr>
              <w:jc w:val="center"/>
              <w:rPr>
                <w:rFonts w:eastAsiaTheme="minorEastAsia"/>
                <w:sz w:val="20"/>
              </w:rPr>
            </w:pPr>
            <w:proofErr w:type="spellStart"/>
            <w:r w:rsidRPr="00D914BA">
              <w:rPr>
                <w:rFonts w:eastAsiaTheme="minorEastAsia"/>
                <w:sz w:val="20"/>
              </w:rPr>
              <w:t>Levoglucosan</w:t>
            </w:r>
            <w:proofErr w:type="spellEnd"/>
          </w:p>
        </w:tc>
        <w:tc>
          <w:tcPr>
            <w:tcW w:w="2196" w:type="dxa"/>
          </w:tcPr>
          <w:p w14:paraId="621C8E23" w14:textId="77777777" w:rsidR="00D914BA" w:rsidRPr="00D914BA" w:rsidRDefault="00D914BA" w:rsidP="00D914BA">
            <w:pPr>
              <w:jc w:val="center"/>
              <w:rPr>
                <w:rFonts w:eastAsiaTheme="minorEastAsia"/>
                <w:sz w:val="20"/>
              </w:rPr>
            </w:pPr>
            <w:r w:rsidRPr="00D914BA">
              <w:rPr>
                <w:rFonts w:eastAsiaTheme="minorEastAsia"/>
                <w:sz w:val="20"/>
              </w:rPr>
              <w:t>0.022</w:t>
            </w:r>
            <w:r w:rsidRPr="00D914BA">
              <w:rPr>
                <w:rFonts w:eastAsiaTheme="minorEastAsia"/>
                <w:sz w:val="20"/>
                <w:vertAlign w:val="superscript"/>
              </w:rPr>
              <w:t>B</w:t>
            </w:r>
          </w:p>
        </w:tc>
        <w:tc>
          <w:tcPr>
            <w:tcW w:w="1854" w:type="dxa"/>
          </w:tcPr>
          <w:p w14:paraId="7C85AD0D" w14:textId="77777777" w:rsidR="00D914BA" w:rsidRPr="00D914BA" w:rsidRDefault="00D914BA" w:rsidP="00D914BA">
            <w:pPr>
              <w:jc w:val="center"/>
              <w:rPr>
                <w:rFonts w:eastAsiaTheme="minorEastAsia"/>
                <w:sz w:val="20"/>
              </w:rPr>
            </w:pPr>
            <w:r w:rsidRPr="00D914BA">
              <w:rPr>
                <w:rFonts w:eastAsiaTheme="minorEastAsia"/>
                <w:sz w:val="20"/>
              </w:rPr>
              <w:t>1640</w:t>
            </w:r>
            <w:r w:rsidRPr="00D914BA">
              <w:rPr>
                <w:rFonts w:eastAsiaTheme="minorEastAsia"/>
                <w:sz w:val="20"/>
                <w:vertAlign w:val="superscript"/>
              </w:rPr>
              <w:t>C</w:t>
            </w:r>
            <w:r w:rsidRPr="00D914BA">
              <w:rPr>
                <w:rFonts w:eastAsiaTheme="minorEastAsia"/>
                <w:sz w:val="20"/>
              </w:rPr>
              <w:t xml:space="preserve"> </w:t>
            </w:r>
          </w:p>
        </w:tc>
        <w:tc>
          <w:tcPr>
            <w:tcW w:w="1398" w:type="dxa"/>
          </w:tcPr>
          <w:p w14:paraId="2F4CD1D8" w14:textId="77777777" w:rsidR="00D914BA" w:rsidRPr="00D914BA" w:rsidRDefault="00D914BA" w:rsidP="00D914BA">
            <w:pPr>
              <w:jc w:val="center"/>
              <w:rPr>
                <w:rFonts w:eastAsiaTheme="minorEastAsia"/>
                <w:sz w:val="20"/>
              </w:rPr>
            </w:pPr>
            <w:r w:rsidRPr="00D914BA">
              <w:rPr>
                <w:rFonts w:eastAsiaTheme="minorEastAsia"/>
                <w:sz w:val="20"/>
              </w:rPr>
              <w:t>162.14</w:t>
            </w:r>
          </w:p>
        </w:tc>
        <w:tc>
          <w:tcPr>
            <w:tcW w:w="1253" w:type="dxa"/>
          </w:tcPr>
          <w:p w14:paraId="311B2AB4" w14:textId="50E808B0" w:rsidR="00D914BA" w:rsidRPr="00D914BA" w:rsidRDefault="00D914BA" w:rsidP="00D914BA">
            <w:pPr>
              <w:jc w:val="center"/>
              <w:rPr>
                <w:rFonts w:eastAsiaTheme="minorEastAsia"/>
                <w:sz w:val="20"/>
              </w:rPr>
            </w:pPr>
            <w:r w:rsidRPr="00D914BA">
              <w:rPr>
                <w:rFonts w:eastAsiaTheme="minorEastAsia"/>
                <w:sz w:val="20"/>
              </w:rPr>
              <w:t>5.97</w:t>
            </w:r>
            <w:r w:rsidR="0055410F" w:rsidRPr="0055410F">
              <w:rPr>
                <w:rFonts w:eastAsiaTheme="minorEastAsia"/>
                <w:sz w:val="20"/>
                <w:vertAlign w:val="superscript"/>
              </w:rPr>
              <w:t>E</w:t>
            </w:r>
          </w:p>
        </w:tc>
        <w:tc>
          <w:tcPr>
            <w:tcW w:w="1327" w:type="dxa"/>
          </w:tcPr>
          <w:p w14:paraId="7A42100E" w14:textId="70A22A64" w:rsidR="00D914BA" w:rsidRPr="00D914BA" w:rsidRDefault="00D914BA" w:rsidP="00D914BA">
            <w:pPr>
              <w:jc w:val="center"/>
              <w:rPr>
                <w:rFonts w:eastAsiaTheme="minorEastAsia"/>
                <w:sz w:val="20"/>
              </w:rPr>
            </w:pPr>
            <w:r w:rsidRPr="00D914BA">
              <w:rPr>
                <w:rFonts w:eastAsiaTheme="minorEastAsia"/>
                <w:sz w:val="20"/>
              </w:rPr>
              <w:t>608.3</w:t>
            </w:r>
            <w:r w:rsidR="0055410F" w:rsidRPr="0055410F">
              <w:rPr>
                <w:rFonts w:eastAsiaTheme="minorEastAsia"/>
                <w:sz w:val="20"/>
                <w:vertAlign w:val="superscript"/>
              </w:rPr>
              <w:t>E</w:t>
            </w:r>
          </w:p>
        </w:tc>
      </w:tr>
      <w:tr w:rsidR="00D914BA" w:rsidRPr="00D914BA" w14:paraId="60A16A49" w14:textId="77777777" w:rsidTr="00397DB8">
        <w:tc>
          <w:tcPr>
            <w:tcW w:w="1548" w:type="dxa"/>
          </w:tcPr>
          <w:p w14:paraId="626E3CD1" w14:textId="77777777" w:rsidR="00D914BA" w:rsidRPr="00D914BA" w:rsidRDefault="00D914BA" w:rsidP="00D914BA">
            <w:pPr>
              <w:jc w:val="center"/>
              <w:rPr>
                <w:rFonts w:eastAsiaTheme="minorEastAsia"/>
                <w:sz w:val="20"/>
              </w:rPr>
            </w:pPr>
            <w:r w:rsidRPr="00D914BA">
              <w:rPr>
                <w:rFonts w:eastAsiaTheme="minorEastAsia"/>
                <w:sz w:val="20"/>
              </w:rPr>
              <w:t xml:space="preserve">Oleic </w:t>
            </w:r>
            <w:proofErr w:type="spellStart"/>
            <w:r w:rsidRPr="00D914BA">
              <w:rPr>
                <w:rFonts w:eastAsiaTheme="minorEastAsia"/>
                <w:sz w:val="20"/>
              </w:rPr>
              <w:t>Acid</w:t>
            </w:r>
            <w:r w:rsidRPr="00D914BA">
              <w:rPr>
                <w:rFonts w:eastAsiaTheme="minorEastAsia"/>
                <w:sz w:val="20"/>
                <w:vertAlign w:val="superscript"/>
              </w:rPr>
              <w:t>D</w:t>
            </w:r>
            <w:proofErr w:type="spellEnd"/>
          </w:p>
        </w:tc>
        <w:tc>
          <w:tcPr>
            <w:tcW w:w="2196" w:type="dxa"/>
          </w:tcPr>
          <w:p w14:paraId="3A1FFFA2" w14:textId="77777777" w:rsidR="00D914BA" w:rsidRPr="00D914BA" w:rsidRDefault="00D914BA" w:rsidP="00D914BA">
            <w:pPr>
              <w:jc w:val="center"/>
              <w:rPr>
                <w:rFonts w:eastAsiaTheme="minorEastAsia"/>
                <w:sz w:val="20"/>
              </w:rPr>
            </w:pPr>
            <w:r w:rsidRPr="00D914BA">
              <w:rPr>
                <w:rFonts w:eastAsiaTheme="minorEastAsia"/>
                <w:sz w:val="20"/>
              </w:rPr>
              <w:t>0.0325</w:t>
            </w:r>
          </w:p>
        </w:tc>
        <w:tc>
          <w:tcPr>
            <w:tcW w:w="1854" w:type="dxa"/>
          </w:tcPr>
          <w:p w14:paraId="789EBE4B" w14:textId="77777777" w:rsidR="00D914BA" w:rsidRPr="00D914BA" w:rsidRDefault="00D914BA" w:rsidP="00D914BA">
            <w:pPr>
              <w:jc w:val="center"/>
              <w:rPr>
                <w:rFonts w:eastAsiaTheme="minorEastAsia"/>
                <w:sz w:val="20"/>
              </w:rPr>
            </w:pPr>
            <w:r w:rsidRPr="00D914BA">
              <w:rPr>
                <w:rFonts w:eastAsiaTheme="minorEastAsia"/>
                <w:sz w:val="20"/>
              </w:rPr>
              <w:t xml:space="preserve">895 </w:t>
            </w:r>
          </w:p>
        </w:tc>
        <w:tc>
          <w:tcPr>
            <w:tcW w:w="1398" w:type="dxa"/>
          </w:tcPr>
          <w:p w14:paraId="7CF73848" w14:textId="77777777" w:rsidR="00D914BA" w:rsidRPr="00D914BA" w:rsidRDefault="00D914BA" w:rsidP="00D914BA">
            <w:pPr>
              <w:jc w:val="center"/>
              <w:rPr>
                <w:rFonts w:eastAsiaTheme="minorEastAsia"/>
                <w:sz w:val="20"/>
              </w:rPr>
            </w:pPr>
            <w:r w:rsidRPr="00D914BA">
              <w:rPr>
                <w:rFonts w:eastAsiaTheme="minorEastAsia"/>
                <w:sz w:val="20"/>
              </w:rPr>
              <w:t>282.46</w:t>
            </w:r>
          </w:p>
        </w:tc>
        <w:tc>
          <w:tcPr>
            <w:tcW w:w="1253" w:type="dxa"/>
          </w:tcPr>
          <w:p w14:paraId="333717DF" w14:textId="77777777" w:rsidR="00D914BA" w:rsidRPr="00D914BA" w:rsidRDefault="00D914BA" w:rsidP="00D914BA">
            <w:pPr>
              <w:jc w:val="center"/>
              <w:rPr>
                <w:rFonts w:eastAsiaTheme="minorEastAsia"/>
                <w:sz w:val="20"/>
              </w:rPr>
            </w:pPr>
            <w:r w:rsidRPr="00D914BA">
              <w:rPr>
                <w:rFonts w:eastAsiaTheme="minorEastAsia"/>
                <w:sz w:val="20"/>
              </w:rPr>
              <w:t>8.41</w:t>
            </w:r>
          </w:p>
        </w:tc>
        <w:tc>
          <w:tcPr>
            <w:tcW w:w="1327" w:type="dxa"/>
          </w:tcPr>
          <w:p w14:paraId="639B8746" w14:textId="77777777" w:rsidR="00D914BA" w:rsidRPr="00D914BA" w:rsidRDefault="00D914BA" w:rsidP="00D914BA">
            <w:pPr>
              <w:jc w:val="center"/>
              <w:rPr>
                <w:rFonts w:eastAsiaTheme="minorEastAsia"/>
                <w:sz w:val="20"/>
              </w:rPr>
            </w:pPr>
            <w:r w:rsidRPr="00D914BA">
              <w:rPr>
                <w:rFonts w:eastAsiaTheme="minorEastAsia"/>
                <w:sz w:val="20"/>
              </w:rPr>
              <w:t>601.37</w:t>
            </w:r>
          </w:p>
        </w:tc>
      </w:tr>
    </w:tbl>
    <w:p w14:paraId="2B7754E7" w14:textId="0EA0FBC9" w:rsidR="00027D67" w:rsidRDefault="009711FF" w:rsidP="009711FF">
      <w:r>
        <w:t>A-</w:t>
      </w:r>
      <w:r>
        <w:fldChar w:fldCharType="begin"/>
      </w:r>
      <w:r>
        <w:instrText xml:space="preserve"> ADDIN EN.CITE &lt;EndNote&gt;&lt;Cite&gt;&lt;Author&gt;Bilde&lt;/Author&gt;&lt;Year&gt;2003&lt;/Year&gt;&lt;RecNum&gt;643&lt;/RecNum&gt;&lt;DisplayText&gt;(Bilde et al. 2003)&lt;/DisplayText&gt;&lt;record&gt;&lt;rec-number&gt;643&lt;/rec-number&gt;&lt;foreign-keys&gt;&lt;key app="EN" db-id="r99eafwtqexr2ker550xv5962er5200sdxep"&gt;643&lt;/key&gt;&lt;/foreign-keys&gt;&lt;ref-type name="Journal Article"&gt;17&lt;/ref-type&gt;&lt;contributors&gt;&lt;authors&gt;&lt;author&gt;Bilde, M.&lt;/author&gt;&lt;author&gt;Svenningsson, B.&lt;/author&gt;&lt;author&gt;Monster, J.&lt;/author&gt;&lt;author&gt;Rosenorn, T.&lt;/author&gt;&lt;/authors&gt;&lt;/contributors&gt;&lt;auth-address&gt;Bilde, M&amp;#xD;Univ Copenhagen, Dept Chem, Univ Pk 5, DK-2100 Copenhagen, Denmark&amp;#xD;Univ Copenhagen, Dept Chem, Univ Pk 5, DK-2100 Copenhagen, Denmark&amp;#xD;Univ Copenhagen, Dept Chem, DK-2100 Copenhagen, Denmark&lt;/auth-address&gt;&lt;titles&gt;&lt;title&gt;Even-odd alternation of evaporation rates and vapor pressures of C3-C9 dicarboxylic acid aerosols&lt;/title&gt;&lt;secondary-title&gt;Environmental Science &amp;amp; Technology&lt;/secondary-title&gt;&lt;alt-title&gt;Environ Sci Technol&lt;/alt-title&gt;&lt;/titles&gt;&lt;periodical&gt;&lt;full-title&gt;Environmental Science &amp;amp; Technology&lt;/full-title&gt;&lt;abbr-1&gt;Environ Sci Technol&lt;/abbr-1&gt;&lt;/periodical&gt;&lt;alt-periodical&gt;&lt;full-title&gt;Environmental Science &amp;amp; Technology&lt;/full-title&gt;&lt;abbr-1&gt;Environ Sci Technol&lt;/abbr-1&gt;&lt;/alt-periodical&gt;&lt;pages&gt;1371-1378&lt;/pages&gt;&lt;volume&gt;37&lt;/volume&gt;&lt;number&gt;7&lt;/number&gt;&lt;keywords&gt;&lt;keyword&gt;melting-point alternation&lt;/keyword&gt;&lt;keyword&gt;differential mobility analyzer&lt;/keyword&gt;&lt;keyword&gt;airborne particulate matter&lt;/keyword&gt;&lt;keyword&gt;secondary organic aerosol&lt;/keyword&gt;&lt;keyword&gt;mass accommodation&lt;/keyword&gt;&lt;keyword&gt;urban atmosphere&lt;/keyword&gt;&lt;keyword&gt;absorption-model&lt;/keyword&gt;&lt;keyword&gt;gas&lt;/keyword&gt;&lt;keyword&gt;identification&lt;/keyword&gt;&lt;keyword&gt;products&lt;/keyword&gt;&lt;/keywords&gt;&lt;dates&gt;&lt;year&gt;2003&lt;/year&gt;&lt;pub-dates&gt;&lt;date&gt;Apr 1&lt;/date&gt;&lt;/pub-dates&gt;&lt;/dates&gt;&lt;isbn&gt;0013-936X&lt;/isbn&gt;&lt;accession-num&gt;WOS:000181977000044&lt;/accession-num&gt;&lt;urls&gt;&lt;related-urls&gt;&lt;url&gt;&amp;lt;Go to ISI&amp;gt;://WOS:000181977000044&lt;/url&gt;&lt;/related-urls&gt;&lt;/urls&gt;&lt;electronic-resource-num&gt;Doi 10.1021/Es0201810&lt;/electronic-resource-num&gt;&lt;language&gt;English&lt;/language&gt;&lt;/record&gt;&lt;/Cite&gt;&lt;/EndNote&gt;</w:instrText>
      </w:r>
      <w:r>
        <w:fldChar w:fldCharType="separate"/>
      </w:r>
      <w:r>
        <w:rPr>
          <w:noProof/>
        </w:rPr>
        <w:t>(</w:t>
      </w:r>
      <w:hyperlink w:anchor="_ENREF_3" w:tooltip="Bilde, 2003 #643" w:history="1">
        <w:r w:rsidR="0055410F">
          <w:rPr>
            <w:noProof/>
          </w:rPr>
          <w:t>Bilde et al. 2003</w:t>
        </w:r>
      </w:hyperlink>
      <w:r>
        <w:rPr>
          <w:noProof/>
        </w:rPr>
        <w:t>)</w:t>
      </w:r>
      <w:r>
        <w:fldChar w:fldCharType="end"/>
      </w:r>
      <w:r w:rsidRPr="009711FF">
        <w:t>; B-</w:t>
      </w:r>
      <w:r>
        <w:fldChar w:fldCharType="begin">
          <w:fldData xml:space="preserve">PEVuZE5vdGU+PENpdGU+PEF1dGhvcj5Ub3BwaW5nPC9BdXRob3I+PFllYXI+MjAwNzwvWWVhcj48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</w:fldData>
        </w:fldChar>
      </w:r>
      <w:r>
        <w:instrText xml:space="preserve"> ADDIN EN.CITE </w:instrText>
      </w:r>
      <w:r>
        <w:fldChar w:fldCharType="begin">
          <w:fldData xml:space="preserve">PEVuZE5vdGU+PENpdGU+PEF1dGhvcj5Ub3BwaW5nPC9BdXRob3I+PFllYXI+MjAwNzwvWWVhcj48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</w:fldData>
        </w:fldChar>
      </w:r>
      <w:r>
        <w:instrText xml:space="preserve"> ADDIN EN.CITE.DATA </w:instrText>
      </w:r>
      <w:r>
        <w:fldChar w:fldCharType="end"/>
      </w:r>
      <w:r>
        <w:fldChar w:fldCharType="separate"/>
      </w:r>
      <w:r>
        <w:rPr>
          <w:noProof/>
        </w:rPr>
        <w:t>(</w:t>
      </w:r>
      <w:hyperlink w:anchor="_ENREF_11" w:tooltip="Topping, 2007 #959" w:history="1">
        <w:r w:rsidR="0055410F">
          <w:rPr>
            <w:noProof/>
          </w:rPr>
          <w:t>Topping et al. 2007</w:t>
        </w:r>
      </w:hyperlink>
      <w:r>
        <w:rPr>
          <w:noProof/>
        </w:rPr>
        <w:t>)</w:t>
      </w:r>
      <w:r>
        <w:fldChar w:fldCharType="end"/>
      </w:r>
      <w:r w:rsidRPr="009711FF">
        <w:t>; C-</w:t>
      </w:r>
      <w:r>
        <w:fldChar w:fldCharType="begin"/>
      </w:r>
      <w:r>
        <w:instrText xml:space="preserve"> ADDIN EN.CITE &lt;EndNote&gt;&lt;Cite&gt;&lt;Author&gt;Koehler&lt;/Author&gt;&lt;Year&gt;2006&lt;/Year&gt;&lt;RecNum&gt;951&lt;/RecNum&gt;&lt;DisplayText&gt;(Koehler et al. 2006)&lt;/DisplayText&gt;&lt;record&gt;&lt;rec-number&gt;951&lt;/rec-number&gt;&lt;foreign-keys&gt;&lt;key app="EN" db-id="r99eafwtqexr2ker550xv5962er5200sdxep"&gt;951&lt;/key&gt;&lt;/foreign-keys&gt;&lt;ref-type name="Journal Article"&gt;17&lt;/ref-type&gt;&lt;contributors&gt;&lt;authors&gt;&lt;author&gt;Koehler, K. A.&lt;/author&gt;&lt;author&gt;Kreidenweis, S. M.&lt;/author&gt;&lt;author&gt;DeMott, P. J.&lt;/author&gt;&lt;author&gt;Prenni, A. J.&lt;/author&gt;&lt;author&gt;Carrico, C. M.&lt;/author&gt;&lt;author&gt;Ervens, B.&lt;/author&gt;&lt;author&gt;Feingold, G.&lt;/author&gt;&lt;/authors&gt;&lt;/contributors&gt;&lt;auth-address&gt;Colorado State Univ, Dept Atmospher Sci, Ft Collins, CO 80523 USA&amp;#xD;NOAA, Earth Syst Res Lab, Boulder, CO 80305 USA&lt;/auth-address&gt;&lt;titles&gt;&lt;title&gt;Water activity and activation diameters from hygroscopicity data - Part II: Application to organic species&lt;/title&gt;&lt;secondary-title&gt;Atmospheric Chemistry and Physics&lt;/secondary-title&gt;&lt;alt-title&gt;Atmos Chem Phys&lt;/alt-title&gt;&lt;/titles&gt;&lt;periodical&gt;&lt;full-title&gt;Atmospheric Chemistry and Physics&lt;/full-title&gt;&lt;abbr-1&gt;Atmos Chem Phys&lt;/abbr-1&gt;&lt;/periodical&gt;&lt;alt-periodical&gt;&lt;full-title&gt;Atmospheric Chemistry and Physics&lt;/full-title&gt;&lt;abbr-1&gt;Atmos Chem Phys&lt;/abbr-1&gt;&lt;/alt-periodical&gt;&lt;pages&gt;795-809&lt;/pages&gt;&lt;volume&gt;6&lt;/volume&gt;&lt;keywords&gt;&lt;keyword&gt;cloud condensation nuclei&lt;/keyword&gt;&lt;keyword&gt;aqueous-solutions&lt;/keyword&gt;&lt;keyword&gt;dicarboxylic-acids&lt;/keyword&gt;&lt;keyword&gt;atmospheric particles&lt;/keyword&gt;&lt;keyword&gt;unifac predictions/&lt;/keyword&gt;&lt;keyword&gt;sodium-chloride&lt;/keyword&gt;&lt;keyword&gt;surface-tension&lt;/keyword&gt;&lt;keyword&gt;sugar solutions&lt;/keyword&gt;&lt;keyword&gt;ccn activation&lt;/keyword&gt;&lt;keyword&gt;aerosols&lt;/keyword&gt;&lt;/keywords&gt;&lt;dates&gt;&lt;year&gt;2006&lt;/year&gt;&lt;pub-dates&gt;&lt;date&gt;Mar 10&lt;/date&gt;&lt;/pub-dates&gt;&lt;/dates&gt;&lt;isbn&gt;1680-7316&lt;/isbn&gt;&lt;accession-num&gt;WOS:000235902300002&lt;/accession-num&gt;&lt;urls&gt;&lt;related-urls&gt;&lt;url&gt;&amp;lt;Go to ISI&amp;gt;://WOS:000235902300002&lt;/url&gt;&lt;/related-urls&gt;&lt;/urls&gt;&lt;language&gt;English&lt;/language&gt;&lt;/record&gt;&lt;/Cite&gt;&lt;/EndNote&gt;</w:instrText>
      </w:r>
      <w:r>
        <w:fldChar w:fldCharType="separate"/>
      </w:r>
      <w:r>
        <w:rPr>
          <w:noProof/>
        </w:rPr>
        <w:t>(</w:t>
      </w:r>
      <w:hyperlink w:anchor="_ENREF_7" w:tooltip="Koehler, 2006 #951" w:history="1">
        <w:r w:rsidR="0055410F">
          <w:rPr>
            <w:noProof/>
          </w:rPr>
          <w:t>Koehler et al. 2006</w:t>
        </w:r>
      </w:hyperlink>
      <w:r>
        <w:rPr>
          <w:noProof/>
        </w:rPr>
        <w:t>)</w:t>
      </w:r>
      <w:r>
        <w:fldChar w:fldCharType="end"/>
      </w:r>
      <w:r w:rsidRPr="009711FF">
        <w:t>; D-</w:t>
      </w:r>
      <w:r>
        <w:fldChar w:fldCharType="begin"/>
      </w:r>
      <w:r>
        <w:instrText xml:space="preserve"> ADDIN EN.CITE &lt;EndNote&gt;&lt;Cite&gt;&lt;Author&gt;Yaws&lt;/Author&gt;&lt;Year&gt;2008&lt;/Year&gt;&lt;RecNum&gt;943&lt;/RecNum&gt;&lt;DisplayText&gt;(Yaws 2008)&lt;/DisplayText&gt;&lt;record&gt;&lt;rec-number&gt;943&lt;/rec-number&gt;&lt;foreign-keys&gt;&lt;key app="EN" db-id="r99eafwtqexr2ker550xv5962er5200sdxep"&gt;943&lt;/key&gt;&lt;/foreign-keys&gt;&lt;ref-type name="Book"&gt;6&lt;/ref-type&gt;&lt;contributors&gt;&lt;authors&gt;&lt;author&gt;Yaws, Carl L.&lt;/author&gt;&lt;/authors&gt;&lt;/contributors&gt;&lt;titles&gt;&lt;title&gt;Thermophysical properties of chemicals and hydrocarbons&lt;/title&gt;&lt;/titles&gt;&lt;pages&gt;x, 809 p.&lt;/pages&gt;&lt;keywords&gt;&lt;keyword&gt;Chemistry, Organic Thermal properties.&lt;/keyword&gt;&lt;keyword&gt;Inorganic compounds Thermal properties.&lt;/keyword&gt;&lt;keyword&gt;Hydrocarbons Thermal properties.&lt;/keyword&gt;&lt;keyword&gt;Thermochemistry.&lt;/keyword&gt;&lt;keyword&gt;Chemicals Tables.&lt;/keyword&gt;&lt;keyword&gt;Hydrocarbons Tables.&lt;/keyword&gt;&lt;/keywords&gt;&lt;dates&gt;&lt;year&gt;2008&lt;/year&gt;&lt;/dates&gt;&lt;pub-location&gt;Norwich, NY&lt;/pub-location&gt;&lt;publisher&gt;William Andrew&lt;/publisher&gt;&lt;isbn&gt;9780815515968&amp;#xD;0815515960&lt;/isbn&gt;&lt;accession-num&gt;15286231&lt;/accession-num&gt;&lt;call-num&gt;Jefferson or Adams Building Reading Rooms - STORED OFFSITE QD272.T45 .Y39 2008&amp;#xD;Jefferson or Adams Building Reading Rooms QD272.T45 .Y39 2008&lt;/call-num&gt;&lt;urls&gt;&lt;related-urls&gt;&lt;url&gt;Table of contents only http://www.loc.gov/catdir/toc/ecip0817/2008020146.html&lt;/url&gt;&lt;/related-urls&gt;&lt;/urls&gt;&lt;/record&gt;&lt;/Cite&gt;&lt;/EndNote&gt;</w:instrText>
      </w:r>
      <w:r>
        <w:fldChar w:fldCharType="separate"/>
      </w:r>
      <w:r>
        <w:rPr>
          <w:noProof/>
        </w:rPr>
        <w:t>(</w:t>
      </w:r>
      <w:hyperlink w:anchor="_ENREF_15" w:tooltip="Yaws, 2008 #943" w:history="1">
        <w:r w:rsidR="0055410F">
          <w:rPr>
            <w:noProof/>
          </w:rPr>
          <w:t>Yaws 2008</w:t>
        </w:r>
      </w:hyperlink>
      <w:r>
        <w:rPr>
          <w:noProof/>
        </w:rPr>
        <w:t>)</w:t>
      </w:r>
      <w:r>
        <w:fldChar w:fldCharType="end"/>
      </w:r>
      <w:r w:rsidRPr="009711FF">
        <w:t xml:space="preserve">. </w:t>
      </w:r>
      <w:r w:rsidR="0055410F">
        <w:t>E-</w:t>
      </w:r>
      <w:r w:rsidR="0055410F">
        <w:fldChar w:fldCharType="begin"/>
      </w:r>
      <w:r w:rsidR="0055410F">
        <w:instrText xml:space="preserve"> ADDIN EN.CITE &lt;EndNote&gt;&lt;Cite&gt;&lt;Author&gt;Oxford&lt;/Author&gt;&lt;Year&gt;2019&lt;/Year&gt;&lt;RecNum&gt;15&lt;/RecNum&gt;&lt;DisplayText&gt;(Oxford et al. 2019)&lt;/DisplayText&gt;&lt;record&gt;&lt;rec-number&gt;15&lt;/rec-number&gt;&lt;foreign-keys&gt;&lt;key app="EN" db-id="w5vt2rse70avfmezsabxaepdstztv5svdxt2"&gt;15&lt;/key&gt;&lt;/foreign-keys&gt;&lt;ref-type name="Journal Article"&gt;17&lt;/ref-type&gt;&lt;contributors&gt;&lt;authors&gt;&lt;author&gt;Oxford, Christopher R&lt;/author&gt;&lt;author&gt;Rapp, Charles M&lt;/author&gt;&lt;author&gt;Wang, Yang&lt;/author&gt;&lt;author&gt;Kumar, Purushottam&lt;/author&gt;&lt;author&gt;Watson, Daniel&lt;/author&gt;&lt;author&gt;Portelli, Julianna L&lt;/author&gt;&lt;author&gt;Sussman, Eric A&lt;/author&gt;&lt;author&gt;Dhawan, Steven&lt;/author&gt;&lt;author&gt;Jiang, Jingkun&lt;/author&gt;&lt;author&gt;Williams, Brent J&lt;/author&gt;&lt;/authors&gt;&lt;/contributors&gt;&lt;titles&gt;&lt;title&gt;Development and qualification of a VH-TDMA for the study of pure aerosols&lt;/title&gt;&lt;secondary-title&gt;Aerosol Science and Technology&lt;/secondary-title&gt;&lt;/titles&gt;&lt;periodical&gt;&lt;full-title&gt;Aerosol Science and Technology&lt;/full-title&gt;&lt;/periodical&gt;&lt;pages&gt;120-132&lt;/pages&gt;&lt;volume&gt;53&lt;/volume&gt;&lt;number&gt;2&lt;/number&gt;&lt;dates&gt;&lt;year&gt;2019&lt;/year&gt;&lt;/dates&gt;&lt;isbn&gt;0278-6826&lt;/isbn&gt;&lt;urls&gt;&lt;/urls&gt;&lt;/record&gt;&lt;/Cite&gt;&lt;/EndNote&gt;</w:instrText>
      </w:r>
      <w:r w:rsidR="0055410F">
        <w:fldChar w:fldCharType="separate"/>
      </w:r>
      <w:r w:rsidR="0055410F">
        <w:rPr>
          <w:noProof/>
        </w:rPr>
        <w:t>(</w:t>
      </w:r>
      <w:hyperlink w:anchor="_ENREF_9" w:tooltip="Oxford, 2019 #15" w:history="1">
        <w:r w:rsidR="0055410F">
          <w:rPr>
            <w:noProof/>
          </w:rPr>
          <w:t>Oxford et al. 2019</w:t>
        </w:r>
      </w:hyperlink>
      <w:r w:rsidR="0055410F">
        <w:rPr>
          <w:noProof/>
        </w:rPr>
        <w:t>)</w:t>
      </w:r>
      <w:r w:rsidR="0055410F">
        <w:fldChar w:fldCharType="end"/>
      </w:r>
      <w:r w:rsidRPr="009711FF">
        <w:t xml:space="preserve">  </w:t>
      </w:r>
    </w:p>
    <w:p w14:paraId="1C00E85A" w14:textId="77777777" w:rsidR="009A3989" w:rsidRDefault="009A3989" w:rsidP="009711FF"/>
    <w:p w14:paraId="69DE94A4" w14:textId="77777777" w:rsidR="009711FF" w:rsidRDefault="009A3989" w:rsidP="009711FF">
      <w:r>
        <w:rPr>
          <w:noProof/>
        </w:rPr>
        <w:lastRenderedPageBreak/>
        <w:drawing>
          <wp:inline distT="0" distB="0" distL="0" distR="0" wp14:anchorId="026D9321" wp14:editId="40B2183A">
            <wp:extent cx="2819406" cy="25024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2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406" cy="2502413"/>
                    </a:xfrm>
                    <a:prstGeom prst="rect">
                      <a:avLst/>
                    </a:prstGeom>
                  </pic:spPr>
                </pic:pic>
              </a:graphicData>
            </a:graphic>
          </wp:inline>
        </w:drawing>
      </w:r>
    </w:p>
    <w:p w14:paraId="1AF95084" w14:textId="6B214887" w:rsidR="009A3989" w:rsidRDefault="009A3989" w:rsidP="00456064">
      <w:pPr>
        <w:pStyle w:val="supplementcaptions"/>
        <w:numPr>
          <w:ilvl w:val="0"/>
          <w:numId w:val="4"/>
        </w:numPr>
      </w:pPr>
      <w:r>
        <w:t>The evaporation rate ratio for three different components. We see the value of the first to second charge over the range of 5 nm to 300 nm.</w:t>
      </w:r>
      <w:r w:rsidR="004B66A9">
        <w:t xml:space="preserve"> The lightly weighted lines are the first charge to second charge evaporation rate ratio, and the darkly weighted lines are the second charge to third charge evaporation rate ratio.</w:t>
      </w:r>
    </w:p>
    <w:p w14:paraId="4F8DECF2" w14:textId="77777777" w:rsidR="007876DF" w:rsidRDefault="007876DF" w:rsidP="007876DF">
      <w:pPr>
        <w:pStyle w:val="supplementcaptions"/>
        <w:ind w:left="72"/>
      </w:pPr>
    </w:p>
    <w:p w14:paraId="699291DF" w14:textId="33C62471" w:rsidR="009A3989" w:rsidRDefault="009A3989" w:rsidP="00924950">
      <w:pPr>
        <w:ind w:firstLine="360"/>
      </w:pPr>
      <w:r>
        <w:t xml:space="preserve"> </w:t>
      </w:r>
      <w:r w:rsidR="00924950">
        <w:t>Components impact the evaporation ratio, but do not inhibit separation. Figure S</w:t>
      </w:r>
      <w:r w:rsidR="00742A0F">
        <w:t>1</w:t>
      </w:r>
      <w:r w:rsidR="000A7D2F">
        <w:t>0</w:t>
      </w:r>
      <w:r w:rsidR="00924950">
        <w:t xml:space="preserve"> shows the value of the </w:t>
      </w:r>
      <w:r w:rsidR="00547B7E">
        <w:t>evaporation ratio for singly</w:t>
      </w:r>
      <w:r w:rsidR="00924950">
        <w:t xml:space="preserve"> charge</w:t>
      </w:r>
      <w:r w:rsidR="00547B7E">
        <w:t>d particles</w:t>
      </w:r>
      <w:r w:rsidR="00924950">
        <w:t xml:space="preserve"> to </w:t>
      </w:r>
      <w:r w:rsidR="00547B7E">
        <w:t>doubly</w:t>
      </w:r>
      <w:r w:rsidR="00924950">
        <w:t xml:space="preserve"> charge </w:t>
      </w:r>
      <w:r w:rsidR="00547B7E">
        <w:t>particles</w:t>
      </w:r>
      <w:r w:rsidR="00924950">
        <w:t xml:space="preserve"> for the three components (thin line)</w:t>
      </w:r>
      <w:r w:rsidR="00677DDD">
        <w:t xml:space="preserve"> as a function of beginning diameter</w:t>
      </w:r>
      <w:r w:rsidR="00924950">
        <w:t xml:space="preserve">. The </w:t>
      </w:r>
      <w:r w:rsidR="00547B7E">
        <w:t>doubly</w:t>
      </w:r>
      <w:r w:rsidR="00924950">
        <w:t xml:space="preserve"> to t</w:t>
      </w:r>
      <w:r w:rsidR="00547B7E">
        <w:t>riply</w:t>
      </w:r>
      <w:r w:rsidR="00924950">
        <w:t xml:space="preserve"> charge</w:t>
      </w:r>
      <w:r w:rsidR="00547B7E">
        <w:t>d</w:t>
      </w:r>
      <w:r w:rsidR="00924950">
        <w:t xml:space="preserve"> evaporation ratio is the thick line. We see that malonic acid </w:t>
      </w:r>
      <w:r w:rsidR="009C7F3E">
        <w:t xml:space="preserve">has a slightly higher evaporation ratio than oleic, and both malonic and oleic have a discernable increase in evaporation ratio over </w:t>
      </w:r>
      <w:proofErr w:type="spellStart"/>
      <w:r w:rsidR="009C7F3E">
        <w:t>levoglucosan</w:t>
      </w:r>
      <w:proofErr w:type="spellEnd"/>
      <w:r w:rsidR="009C7F3E">
        <w:t xml:space="preserve">. The increase is due to a combination of both the Kelvin effect ratio and the </w:t>
      </w:r>
      <w:r w:rsidR="009C7F3E">
        <w:rPr>
          <w:rFonts w:ascii="Cambria Math" w:hAnsi="Cambria Math"/>
        </w:rPr>
        <w:t>γ</w:t>
      </w:r>
      <w:r w:rsidR="009C7F3E">
        <w:t xml:space="preserve"> ratio. At small diameter</w:t>
      </w:r>
      <w:r w:rsidR="00722647">
        <w:t>s</w:t>
      </w:r>
      <w:r w:rsidR="009C7F3E">
        <w:t xml:space="preserve">, the increase is dominated by the </w:t>
      </w:r>
      <w:r w:rsidR="009C7F3E">
        <w:rPr>
          <w:rFonts w:ascii="Cambria Math" w:hAnsi="Cambria Math"/>
        </w:rPr>
        <w:t>β</w:t>
      </w:r>
      <w:r w:rsidR="009C7F3E">
        <w:t xml:space="preserve"> ratio</w:t>
      </w:r>
      <w:r w:rsidR="00722647">
        <w:t>,</w:t>
      </w:r>
      <w:r w:rsidR="005E3880">
        <w:t xml:space="preserve"> and the </w:t>
      </w:r>
      <w:r w:rsidR="00722647">
        <w:t>contribution from the</w:t>
      </w:r>
      <w:r w:rsidR="005E3880">
        <w:rPr>
          <w:rFonts w:ascii="Cambria Math" w:hAnsi="Cambria Math"/>
        </w:rPr>
        <w:t xml:space="preserve"> γ ratio is near </w:t>
      </w:r>
      <w:r w:rsidR="00946FDD">
        <w:rPr>
          <w:rFonts w:ascii="Cambria Math" w:hAnsi="Cambria Math"/>
        </w:rPr>
        <w:t>one</w:t>
      </w:r>
      <w:r w:rsidR="009C7F3E">
        <w:t xml:space="preserve">. </w:t>
      </w:r>
      <w:r w:rsidR="005E3880">
        <w:t xml:space="preserve">At 200 nm, the </w:t>
      </w:r>
      <w:r w:rsidR="00CF5388">
        <w:t xml:space="preserve">contribution of the </w:t>
      </w:r>
      <w:r w:rsidR="00CF5388">
        <w:rPr>
          <w:rFonts w:ascii="Cambria Math" w:hAnsi="Cambria Math"/>
        </w:rPr>
        <w:t>β</w:t>
      </w:r>
      <w:r w:rsidR="00CF5388">
        <w:t xml:space="preserve"> ratio and the </w:t>
      </w:r>
      <w:r w:rsidR="00CF5388">
        <w:rPr>
          <w:rFonts w:ascii="Cambria Math" w:hAnsi="Cambria Math"/>
        </w:rPr>
        <w:t>γ</w:t>
      </w:r>
      <w:r w:rsidR="00CF5388">
        <w:t xml:space="preserve"> ratio to the increase in evaporation is nearly equivalent.  </w:t>
      </w:r>
      <w:r w:rsidR="00722647">
        <w:t>T</w:t>
      </w:r>
      <w:r w:rsidR="00CF5388">
        <w:t>he two functions change significantly as a function of diameter. The transition correction factor ratio changes by 20% (6 times the component contribution) over the range, and the Kelvin effect diameter ratio changes by 100 to 300%. The total</w:t>
      </w:r>
      <w:r w:rsidR="009C7F3E">
        <w:t xml:space="preserve"> increase in evaporation ratio </w:t>
      </w:r>
      <w:r w:rsidR="00CF5388">
        <w:t xml:space="preserve">due to individual components </w:t>
      </w:r>
      <w:r w:rsidR="009C7F3E">
        <w:t>is small. The increase in the eva</w:t>
      </w:r>
      <w:r w:rsidR="005E3880">
        <w:t xml:space="preserve">poration ratio of </w:t>
      </w:r>
      <w:r w:rsidR="00CF5388">
        <w:t xml:space="preserve">malonic acid over </w:t>
      </w:r>
      <w:proofErr w:type="spellStart"/>
      <w:r w:rsidR="00CF5388">
        <w:t>levoglucosan</w:t>
      </w:r>
      <w:proofErr w:type="spellEnd"/>
      <w:r w:rsidR="005E3880">
        <w:t xml:space="preserve"> at 200 nm is</w:t>
      </w:r>
      <w:r w:rsidR="00CF5388">
        <w:t xml:space="preserve"> </w:t>
      </w:r>
      <w:r w:rsidR="00FA76E4">
        <w:t xml:space="preserve">5%. From this analysis, we can conclude that components impact evaporation ratio at small diameters through the Kelvin effect ratio, but the impact of the </w:t>
      </w:r>
      <w:r w:rsidR="00FA76E4">
        <w:rPr>
          <w:rFonts w:ascii="Cambria Math" w:hAnsi="Cambria Math"/>
        </w:rPr>
        <w:t>γ</w:t>
      </w:r>
      <w:r w:rsidR="00FA76E4">
        <w:t xml:space="preserve"> ratio is minimal. The </w:t>
      </w:r>
      <w:r w:rsidR="00FA76E4">
        <w:rPr>
          <w:rFonts w:ascii="Cambria Math" w:hAnsi="Cambria Math"/>
        </w:rPr>
        <w:t>γ</w:t>
      </w:r>
      <w:r w:rsidR="00FA76E4">
        <w:t xml:space="preserve"> ratio is more a function of diameter than component. </w:t>
      </w:r>
    </w:p>
    <w:p w14:paraId="5370E295" w14:textId="2CB15EAC" w:rsidR="00EF3F68" w:rsidRDefault="00EF3F68" w:rsidP="00924950">
      <w:pPr>
        <w:ind w:firstLine="360"/>
      </w:pPr>
    </w:p>
    <w:p w14:paraId="2B89BF95" w14:textId="5E877B76" w:rsidR="00EF3F68" w:rsidRDefault="00EF3F68" w:rsidP="00924950">
      <w:pPr>
        <w:ind w:firstLine="360"/>
      </w:pPr>
    </w:p>
    <w:p w14:paraId="0E9850E3" w14:textId="77777777" w:rsidR="00EF3F68" w:rsidRDefault="00EF3F68" w:rsidP="00924950">
      <w:pPr>
        <w:ind w:firstLine="360"/>
      </w:pPr>
    </w:p>
    <w:p w14:paraId="36F30183" w14:textId="6D41E030" w:rsidR="005A1513" w:rsidRDefault="00317224" w:rsidP="00317224">
      <w:pPr>
        <w:pStyle w:val="ListParagraph"/>
        <w:numPr>
          <w:ilvl w:val="0"/>
          <w:numId w:val="1"/>
        </w:numPr>
      </w:pPr>
      <w:r>
        <w:t>Inlet size distribution and DMA1 transfer function</w:t>
      </w:r>
    </w:p>
    <w:p w14:paraId="14EDE14B" w14:textId="1943578B" w:rsidR="00317224" w:rsidRDefault="00FA2ABA" w:rsidP="00317224">
      <w:pPr>
        <w:keepNext/>
      </w:pPr>
      <w:r>
        <w:rPr>
          <w:noProof/>
        </w:rPr>
        <w:lastRenderedPageBreak/>
        <w:drawing>
          <wp:inline distT="0" distB="0" distL="0" distR="0" wp14:anchorId="478220A6" wp14:editId="5C61176D">
            <wp:extent cx="5943600" cy="2406650"/>
            <wp:effectExtent l="0" t="0" r="0" b="0"/>
            <wp:docPr id="4" name="Picture 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board 54.png"/>
                    <pic:cNvPicPr/>
                  </pic:nvPicPr>
                  <pic:blipFill>
                    <a:blip r:embed="rId15"/>
                    <a:stretch>
                      <a:fillRect/>
                    </a:stretch>
                  </pic:blipFill>
                  <pic:spPr>
                    <a:xfrm>
                      <a:off x="0" y="0"/>
                      <a:ext cx="5943600" cy="2406650"/>
                    </a:xfrm>
                    <a:prstGeom prst="rect">
                      <a:avLst/>
                    </a:prstGeom>
                  </pic:spPr>
                </pic:pic>
              </a:graphicData>
            </a:graphic>
          </wp:inline>
        </w:drawing>
      </w:r>
    </w:p>
    <w:p w14:paraId="13428D5F" w14:textId="016E5B24" w:rsidR="00317224" w:rsidRDefault="00317224" w:rsidP="00317224">
      <w:pPr>
        <w:pStyle w:val="supplementcaptions"/>
        <w:numPr>
          <w:ilvl w:val="0"/>
          <w:numId w:val="4"/>
        </w:numPr>
      </w:pPr>
      <w:r>
        <w:t>Panel (a) displays the two inlet size distributions: size distribution 1 (blue) and size distribution 2 (red). The transfer functions corresponding with the singly, doubly, and triply charged particles are also plotted. Size distribution 1 has more particles in the area of the singly charged transfer function than the doubly charged transfer function. Size distribution 2 is the opposite. Panel (b)</w:t>
      </w:r>
      <w:r w:rsidR="00EF3F68">
        <w:t xml:space="preserve"> displays the product of the transfer function, the charging fraction, and the inlet size distribution. The percentages display the percent of the population within a transfer function.</w:t>
      </w:r>
    </w:p>
    <w:p w14:paraId="01AB351F" w14:textId="77777777" w:rsidR="0003453D" w:rsidRDefault="0003453D" w:rsidP="0003453D">
      <w:pPr>
        <w:pStyle w:val="supplementcaptions"/>
      </w:pPr>
    </w:p>
    <w:p w14:paraId="238DCED7" w14:textId="4A691062" w:rsidR="00FA76E4" w:rsidRDefault="00C14400" w:rsidP="00456064">
      <w:pPr>
        <w:pStyle w:val="ListParagraph"/>
        <w:numPr>
          <w:ilvl w:val="0"/>
          <w:numId w:val="1"/>
        </w:numPr>
      </w:pPr>
      <w:r>
        <w:t>Role of the residence time distribution</w:t>
      </w:r>
    </w:p>
    <w:p w14:paraId="1244D631" w14:textId="310DB944" w:rsidR="004E67DA" w:rsidRDefault="004E67DA" w:rsidP="004E67DA">
      <w:pPr>
        <w:ind w:firstLine="360"/>
      </w:pPr>
      <w:r>
        <w:t xml:space="preserve">The residence time distribution is the primary reason for the asymmetry in Figure </w:t>
      </w:r>
      <w:r w:rsidR="00547B7E">
        <w:t>2 panel (a)</w:t>
      </w:r>
      <w:r>
        <w:t xml:space="preserve">. The </w:t>
      </w:r>
      <w:r w:rsidR="00547B7E">
        <w:t>singly</w:t>
      </w:r>
      <w:r>
        <w:t xml:space="preserve"> charge</w:t>
      </w:r>
      <w:r w:rsidR="00547B7E">
        <w:t>d CPC</w:t>
      </w:r>
      <w:r>
        <w:t xml:space="preserve"> response in Figure </w:t>
      </w:r>
      <w:r w:rsidR="00547B7E">
        <w:t>2 panel (a)</w:t>
      </w:r>
      <w:r>
        <w:t xml:space="preserve"> appears asymmetric with a tail on the left side of the response. This </w:t>
      </w:r>
      <w:r w:rsidR="00BD240C">
        <w:t xml:space="preserve">CPC </w:t>
      </w:r>
      <w:r>
        <w:t xml:space="preserve">response is due to the convolution of the input size distribution, the DMA1 transfer function, the DMA2 transfer function, and the residence time distribution. The response in Figure </w:t>
      </w:r>
      <w:r w:rsidR="00547B7E">
        <w:t>2</w:t>
      </w:r>
      <w:r>
        <w:t xml:space="preserve"> </w:t>
      </w:r>
      <w:r w:rsidR="00547B7E">
        <w:t xml:space="preserve">panel (a) </w:t>
      </w:r>
      <w:r>
        <w:t xml:space="preserve">resembles the </w:t>
      </w:r>
      <w:r w:rsidR="00827125">
        <w:t xml:space="preserve">shape of </w:t>
      </w:r>
      <w:r>
        <w:t>Figure S</w:t>
      </w:r>
      <w:r w:rsidR="000A7D2F">
        <w:t>5</w:t>
      </w:r>
      <w:r>
        <w:t xml:space="preserve"> reversed</w:t>
      </w:r>
      <w:r w:rsidR="00827125">
        <w:t xml:space="preserve">, and Figure </w:t>
      </w:r>
      <w:r w:rsidR="00547B7E">
        <w:t>2 panel (a)</w:t>
      </w:r>
      <w:r w:rsidR="00827125">
        <w:t xml:space="preserve"> does not contain any resemblance to </w:t>
      </w:r>
      <w:r>
        <w:t xml:space="preserve">the ideal TDMA transfer function. The </w:t>
      </w:r>
      <w:r w:rsidR="00827125">
        <w:t xml:space="preserve">final </w:t>
      </w:r>
      <w:r>
        <w:t>shape of the residence time distribution</w:t>
      </w:r>
      <w:r w:rsidR="00827125">
        <w:t>, and the DMA2 response,</w:t>
      </w:r>
      <w:r>
        <w:t xml:space="preserve"> is a function of heater design. </w:t>
      </w:r>
    </w:p>
    <w:p w14:paraId="75D9BF3C" w14:textId="42255B13" w:rsidR="00FB1C31" w:rsidRDefault="004E67DA" w:rsidP="00FB1C31">
      <w:pPr>
        <w:ind w:firstLine="360"/>
      </w:pPr>
      <w:r>
        <w:t xml:space="preserve">The heater design and flow rate determine the residence time distribution. The shape of the distribution </w:t>
      </w:r>
      <w:r w:rsidR="00EA5083">
        <w:t xml:space="preserve">is influenced by fluid phenomena and diffusional spreading. For example, if a </w:t>
      </w:r>
      <w:r w:rsidR="00507E74">
        <w:t xml:space="preserve">mixed </w:t>
      </w:r>
      <w:r w:rsidR="00EA5083">
        <w:t xml:space="preserve">tank is used as a heater, the residence time distribution would appear as a </w:t>
      </w:r>
      <w:r w:rsidR="00547B7E">
        <w:t>C</w:t>
      </w:r>
      <w:r w:rsidR="00EA5083">
        <w:t xml:space="preserve">ontinuous </w:t>
      </w:r>
      <w:r w:rsidR="00547B7E">
        <w:t>S</w:t>
      </w:r>
      <w:r w:rsidR="00EA5083">
        <w:t xml:space="preserve">tirred </w:t>
      </w:r>
      <w:r w:rsidR="00547B7E">
        <w:t>T</w:t>
      </w:r>
      <w:r w:rsidR="00EA5083">
        <w:t xml:space="preserve">ank </w:t>
      </w:r>
      <w:r w:rsidR="00547B7E">
        <w:t>R</w:t>
      </w:r>
      <w:r w:rsidR="00EA5083">
        <w:t>eactor</w:t>
      </w:r>
      <w:r w:rsidR="00A42A6C">
        <w:t xml:space="preserve"> (CSTR)</w:t>
      </w:r>
      <w:r w:rsidR="00EA5083">
        <w:t xml:space="preserve">. </w:t>
      </w:r>
      <w:r w:rsidR="00507E74">
        <w:t xml:space="preserve">The response would look like an exponential decay. If the heater is assumed as plug flow, the residence time distribution would </w:t>
      </w:r>
      <w:r w:rsidR="008D5632">
        <w:t>consist of a</w:t>
      </w:r>
      <w:r w:rsidR="00507E74">
        <w:t xml:space="preserve"> single time. </w:t>
      </w:r>
      <w:r w:rsidR="008D5632">
        <w:t xml:space="preserve">These two ideal examples represent extremes, but most </w:t>
      </w:r>
      <w:r w:rsidR="00FB1C31">
        <w:t>designs</w:t>
      </w:r>
      <w:r w:rsidR="008D5632">
        <w:t xml:space="preserve"> exist between these two examples. The heater in </w:t>
      </w:r>
      <w:r w:rsidR="008D5632" w:rsidRPr="006F64F6">
        <w:rPr>
          <w:i/>
        </w:rPr>
        <w:t>Supplemental Information S</w:t>
      </w:r>
      <w:r w:rsidR="000A7D2F">
        <w:rPr>
          <w:i/>
        </w:rPr>
        <w:t>3</w:t>
      </w:r>
      <w:r w:rsidR="008D5632" w:rsidRPr="006F64F6">
        <w:rPr>
          <w:i/>
        </w:rPr>
        <w:t xml:space="preserve"> </w:t>
      </w:r>
      <w:r w:rsidR="008D5632">
        <w:t xml:space="preserve">is 15.25 m long tubing. </w:t>
      </w:r>
      <w:r w:rsidR="006F64F6">
        <w:t xml:space="preserve">The measured residence time distribution is neither a continuous stirred tank reactor nor a plug flow response. </w:t>
      </w:r>
      <w:r w:rsidR="00FB1C31">
        <w:t>The design resides between the two id</w:t>
      </w:r>
      <w:r w:rsidR="00742A0F">
        <w:t>eal cases. Figure S1</w:t>
      </w:r>
      <w:r w:rsidR="0003453D">
        <w:t>2</w:t>
      </w:r>
      <w:r w:rsidR="00FB1C31">
        <w:t xml:space="preserve"> compares the </w:t>
      </w:r>
      <w:proofErr w:type="spellStart"/>
      <w:r w:rsidR="00FB1C31">
        <w:t>ecurve</w:t>
      </w:r>
      <w:proofErr w:type="spellEnd"/>
      <w:r w:rsidR="00FB1C31">
        <w:t xml:space="preserve"> in Figure </w:t>
      </w:r>
      <w:r w:rsidR="008577D0">
        <w:t>S</w:t>
      </w:r>
      <w:r w:rsidR="000A7D2F">
        <w:t>4</w:t>
      </w:r>
      <w:r w:rsidR="00FB1C31">
        <w:t xml:space="preserve"> with CSTRs in series model. We chose to use N=1.87 tanks to correlate the peak of the CSTR non-</w:t>
      </w:r>
      <w:proofErr w:type="spellStart"/>
      <w:r w:rsidR="00FB1C31">
        <w:t>dimensionalized</w:t>
      </w:r>
      <w:proofErr w:type="spellEnd"/>
      <w:r w:rsidR="00FB1C31">
        <w:t xml:space="preserve"> </w:t>
      </w:r>
      <w:proofErr w:type="spellStart"/>
      <w:r w:rsidR="00FB1C31">
        <w:t>ecurve</w:t>
      </w:r>
      <w:proofErr w:type="spellEnd"/>
      <w:r w:rsidR="00FB1C31">
        <w:t xml:space="preserve"> with the non-</w:t>
      </w:r>
      <w:proofErr w:type="spellStart"/>
      <w:r w:rsidR="00FB1C31">
        <w:t>dimensionalized</w:t>
      </w:r>
      <w:proofErr w:type="spellEnd"/>
      <w:r w:rsidR="00FB1C31">
        <w:t xml:space="preserve"> </w:t>
      </w:r>
      <w:proofErr w:type="spellStart"/>
      <w:r w:rsidR="00FB1C31">
        <w:t>ecurve</w:t>
      </w:r>
      <w:proofErr w:type="spellEnd"/>
      <w:r w:rsidR="00FB1C31">
        <w:t xml:space="preserve"> of Figure S</w:t>
      </w:r>
      <w:r w:rsidR="000A7D2F">
        <w:t>4</w:t>
      </w:r>
      <w:r w:rsidR="00FB1C31">
        <w:t xml:space="preserve">. The pattern of the two </w:t>
      </w:r>
      <w:r w:rsidR="00FB1C31">
        <w:lastRenderedPageBreak/>
        <w:t>curves is dramatically different. The CSTR response is quite wide in comparison to the Figure S</w:t>
      </w:r>
      <w:r w:rsidR="000A7D2F">
        <w:t>4</w:t>
      </w:r>
      <w:r w:rsidR="00FB1C31">
        <w:t xml:space="preserve"> response. </w:t>
      </w:r>
    </w:p>
    <w:p w14:paraId="0902C9C4" w14:textId="77777777" w:rsidR="007876DF" w:rsidRDefault="007876DF" w:rsidP="00FB1C31">
      <w:pPr>
        <w:ind w:firstLine="360"/>
      </w:pPr>
    </w:p>
    <w:p w14:paraId="3D8A4BCC" w14:textId="77777777" w:rsidR="00FB1C31" w:rsidRDefault="00FB1C31" w:rsidP="00FB1C31">
      <w:pPr>
        <w:ind w:firstLine="360"/>
      </w:pPr>
      <w:r>
        <w:rPr>
          <w:noProof/>
        </w:rPr>
        <w:drawing>
          <wp:inline distT="0" distB="0" distL="0" distR="0" wp14:anchorId="0B584E9B" wp14:editId="55CC3925">
            <wp:extent cx="2819406" cy="2514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2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9406" cy="2514605"/>
                    </a:xfrm>
                    <a:prstGeom prst="rect">
                      <a:avLst/>
                    </a:prstGeom>
                  </pic:spPr>
                </pic:pic>
              </a:graphicData>
            </a:graphic>
          </wp:inline>
        </w:drawing>
      </w:r>
    </w:p>
    <w:p w14:paraId="7D8A9345" w14:textId="007E2EF1" w:rsidR="00FB1C31" w:rsidRDefault="00FB1C31" w:rsidP="0003453D">
      <w:pPr>
        <w:pStyle w:val="supplementcaptions"/>
        <w:numPr>
          <w:ilvl w:val="0"/>
          <w:numId w:val="4"/>
        </w:numPr>
      </w:pPr>
      <w:r>
        <w:t xml:space="preserve">The measured </w:t>
      </w:r>
      <w:proofErr w:type="spellStart"/>
      <w:r>
        <w:t>ecurve</w:t>
      </w:r>
      <w:proofErr w:type="spellEnd"/>
      <w:r>
        <w:t xml:space="preserve"> in Figure S2 compared to a CSTRs in series model. The number of tanks used is 1.87</w:t>
      </w:r>
      <w:r w:rsidR="004126EF">
        <w:t>. Although difficult to tell, the location of the peak, in non-dimensional time, of the CSTR response is the same as the peak of the response from Figure S2.</w:t>
      </w:r>
      <w:r>
        <w:t xml:space="preserve"> </w:t>
      </w:r>
    </w:p>
    <w:p w14:paraId="725E72BC" w14:textId="77777777" w:rsidR="005B60CD" w:rsidRDefault="005B60CD" w:rsidP="00763936">
      <w:pPr>
        <w:ind w:firstLine="360"/>
      </w:pPr>
    </w:p>
    <w:p w14:paraId="734C775D" w14:textId="2E38074D" w:rsidR="00FB1C31" w:rsidRDefault="000A7D2F" w:rsidP="00763936">
      <w:pPr>
        <w:ind w:firstLine="360"/>
      </w:pPr>
      <w:r>
        <w:t>The residence time distribution can prevent charge separation alone</w:t>
      </w:r>
      <w:r w:rsidR="00FB1C31">
        <w:t>. To display this, we use the response from 1.87 CSTRs in series and compare this to the Figure S</w:t>
      </w:r>
      <w:r>
        <w:t>4</w:t>
      </w:r>
      <w:r w:rsidR="00FB1C31">
        <w:t xml:space="preserve"> </w:t>
      </w:r>
      <w:r w:rsidR="008577D0">
        <w:t>residence time distribution</w:t>
      </w:r>
      <w:r w:rsidR="00FB1C31">
        <w:t>. We input this residence time distribution into TAO to estimate the response. The c</w:t>
      </w:r>
      <w:r w:rsidR="00742A0F">
        <w:t>omparison is shown in Figure S1</w:t>
      </w:r>
      <w:r w:rsidR="0003453D">
        <w:t>3</w:t>
      </w:r>
      <w:r w:rsidR="00FB1C31">
        <w:t xml:space="preserve">. </w:t>
      </w:r>
      <w:r w:rsidR="00AD1072">
        <w:t xml:space="preserve">The Figure </w:t>
      </w:r>
      <w:r w:rsidR="00763936">
        <w:t>2 panel (a)</w:t>
      </w:r>
      <w:r w:rsidR="00AD1072">
        <w:t xml:space="preserve"> response separates the charges well, but no indication of charge separation occurs in the CSTR case. The width of the </w:t>
      </w:r>
      <w:r w:rsidR="003B30F4">
        <w:t xml:space="preserve">convolution of the </w:t>
      </w:r>
      <w:r w:rsidR="00AD1072">
        <w:t xml:space="preserve">residence time distribution </w:t>
      </w:r>
      <w:r w:rsidR="003B30F4">
        <w:t xml:space="preserve">with the DMA transfer functions </w:t>
      </w:r>
      <w:r w:rsidR="00AD1072">
        <w:t xml:space="preserve">is much wider than the difference </w:t>
      </w:r>
      <w:r w:rsidR="003B30F4">
        <w:t xml:space="preserve">between </w:t>
      </w:r>
      <w:r w:rsidR="00AD1072">
        <w:t xml:space="preserve">the peaks of the </w:t>
      </w:r>
      <w:r w:rsidR="003B30F4">
        <w:t xml:space="preserve">singly charged particles and the remaining charges. </w:t>
      </w:r>
      <w:r w:rsidR="008577D0">
        <w:t xml:space="preserve">Therefore, both </w:t>
      </w:r>
      <w:r w:rsidR="003B30F4">
        <w:t xml:space="preserve">peaks shown in Figure 2 panel (a) </w:t>
      </w:r>
      <w:r w:rsidR="008577D0">
        <w:t xml:space="preserve">will exist under a single peak. The peak of the </w:t>
      </w:r>
      <w:r w:rsidR="003B30F4">
        <w:t>singly</w:t>
      </w:r>
      <w:r w:rsidR="008577D0">
        <w:t xml:space="preserve"> charge</w:t>
      </w:r>
      <w:r w:rsidR="003B30F4">
        <w:t>d</w:t>
      </w:r>
      <w:r w:rsidR="008577D0">
        <w:t xml:space="preserve"> </w:t>
      </w:r>
      <w:r w:rsidR="00F805FB">
        <w:t xml:space="preserve">experimental </w:t>
      </w:r>
      <w:r w:rsidR="003B30F4">
        <w:t xml:space="preserve">size </w:t>
      </w:r>
      <w:r w:rsidR="008577D0">
        <w:t xml:space="preserve">distribution is located at 63.5 nm while the total </w:t>
      </w:r>
      <w:r w:rsidR="00F805FB">
        <w:t xml:space="preserve">CPC </w:t>
      </w:r>
      <w:r w:rsidR="008577D0">
        <w:t xml:space="preserve">response peak is located at 73.5 nm. </w:t>
      </w:r>
    </w:p>
    <w:p w14:paraId="578C2A03" w14:textId="77777777" w:rsidR="00DA2381" w:rsidRDefault="00DA2381" w:rsidP="00FB1C31">
      <w:pPr>
        <w:ind w:firstLine="360"/>
      </w:pPr>
    </w:p>
    <w:p w14:paraId="37349F6A" w14:textId="093860E2" w:rsidR="00FB1C31" w:rsidRDefault="00763936" w:rsidP="00763936">
      <w:pPr>
        <w:ind w:firstLine="360"/>
        <w:jc w:val="center"/>
      </w:pPr>
      <w:r>
        <w:rPr>
          <w:noProof/>
        </w:rPr>
        <w:lastRenderedPageBreak/>
        <w:drawing>
          <wp:inline distT="0" distB="0" distL="0" distR="0" wp14:anchorId="52E985A8" wp14:editId="0A7E0B6C">
            <wp:extent cx="2819400" cy="2514600"/>
            <wp:effectExtent l="0" t="0" r="0" b="0"/>
            <wp:docPr id="19" name="Picture 1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tboard 25.jpg"/>
                    <pic:cNvPicPr/>
                  </pic:nvPicPr>
                  <pic:blipFill>
                    <a:blip r:embed="rId17"/>
                    <a:stretch>
                      <a:fillRect/>
                    </a:stretch>
                  </pic:blipFill>
                  <pic:spPr>
                    <a:xfrm>
                      <a:off x="0" y="0"/>
                      <a:ext cx="2819400" cy="2514600"/>
                    </a:xfrm>
                    <a:prstGeom prst="rect">
                      <a:avLst/>
                    </a:prstGeom>
                  </pic:spPr>
                </pic:pic>
              </a:graphicData>
            </a:graphic>
          </wp:inline>
        </w:drawing>
      </w:r>
    </w:p>
    <w:p w14:paraId="78D475AE" w14:textId="7091C2DB" w:rsidR="00FB1C31" w:rsidRDefault="00FB1C31" w:rsidP="00456064">
      <w:pPr>
        <w:pStyle w:val="supplementcaptions"/>
        <w:numPr>
          <w:ilvl w:val="0"/>
          <w:numId w:val="4"/>
        </w:numPr>
      </w:pPr>
      <w:r>
        <w:t xml:space="preserve">The response from both Figure </w:t>
      </w:r>
      <w:r w:rsidR="00763936">
        <w:t xml:space="preserve">2 panel (a) </w:t>
      </w:r>
      <w:r>
        <w:t xml:space="preserve">and the CSTR </w:t>
      </w:r>
      <w:proofErr w:type="spellStart"/>
      <w:r>
        <w:t>ecurve</w:t>
      </w:r>
      <w:proofErr w:type="spellEnd"/>
      <w:r>
        <w:t xml:space="preserve">. In both responses, the aerosol-to-sheath ratio in both DMAs is 1:10, and the oven temperature is 36 </w:t>
      </w:r>
      <w:r w:rsidR="00931E27">
        <w:rPr>
          <w:rFonts w:ascii="Cambria Math" w:hAnsi="Cambria Math"/>
        </w:rPr>
        <w:t>°</w:t>
      </w:r>
      <w:r>
        <w:t xml:space="preserve">C. </w:t>
      </w:r>
    </w:p>
    <w:p w14:paraId="09B37BB1" w14:textId="77777777" w:rsidR="003670F9" w:rsidRDefault="003670F9" w:rsidP="00FB1C31"/>
    <w:p w14:paraId="459CE2EF" w14:textId="07197DF6" w:rsidR="00FB1C31" w:rsidRDefault="00FC1D12" w:rsidP="00054A97">
      <w:pPr>
        <w:ind w:firstLine="360"/>
      </w:pPr>
      <w:r>
        <w:t xml:space="preserve">Inaccuracy in vapor pressure measurement comes from both </w:t>
      </w:r>
      <w:r w:rsidR="00F805FB">
        <w:t>the lack of charge</w:t>
      </w:r>
      <w:r w:rsidR="003B30F4">
        <w:t xml:space="preserve"> separation</w:t>
      </w:r>
      <w:r>
        <w:t xml:space="preserve"> and the convolution of the RTD with the DMA1 transfer function. </w:t>
      </w:r>
      <w:r w:rsidR="00742A0F">
        <w:t>In Figure S1</w:t>
      </w:r>
      <w:r w:rsidR="0003453D">
        <w:t>3</w:t>
      </w:r>
      <w:r>
        <w:t xml:space="preserve">, the peak of the </w:t>
      </w:r>
      <w:r w:rsidR="003B30F4">
        <w:t>singly</w:t>
      </w:r>
      <w:r>
        <w:t xml:space="preserve"> charge</w:t>
      </w:r>
      <w:r w:rsidR="003B30F4">
        <w:t>d particles</w:t>
      </w:r>
      <w:r>
        <w:t xml:space="preserve"> for the Figure </w:t>
      </w:r>
      <w:r w:rsidR="003B30F4">
        <w:t>2 panel (a)</w:t>
      </w:r>
      <w:r>
        <w:t xml:space="preserve"> case is approximately 50.7 nm. If we assume this peak correlates with the peak of the RTD in Supplemental Information S</w:t>
      </w:r>
      <w:r w:rsidR="00F805FB">
        <w:t>3</w:t>
      </w:r>
      <w:r>
        <w:t>, the vapor pressure is 0.7% high. This</w:t>
      </w:r>
      <w:r w:rsidR="008577D0">
        <w:t xml:space="preserve"> response</w:t>
      </w:r>
      <w:r>
        <w:t xml:space="preserve"> is accurate. If we use the CSTR RTD from above, the </w:t>
      </w:r>
      <w:r w:rsidR="003B30F4">
        <w:t>peak of the singly charged size distribution</w:t>
      </w:r>
      <w:r>
        <w:t xml:space="preserve"> is 63.5 nm</w:t>
      </w:r>
      <w:r w:rsidR="008577D0">
        <w:t xml:space="preserve"> with </w:t>
      </w:r>
      <w:r w:rsidR="00250B7D">
        <w:t xml:space="preserve">the </w:t>
      </w:r>
      <w:r w:rsidR="008577D0">
        <w:t>same peak in residence time</w:t>
      </w:r>
      <w:r>
        <w:t xml:space="preserve">. The </w:t>
      </w:r>
      <w:r w:rsidR="008577D0">
        <w:t xml:space="preserve">resulting </w:t>
      </w:r>
      <w:r>
        <w:t xml:space="preserve">convolution error is 47%. The </w:t>
      </w:r>
      <w:r w:rsidR="003B30F4">
        <w:t xml:space="preserve">CSTR CPC </w:t>
      </w:r>
      <w:r w:rsidR="00F805FB">
        <w:t xml:space="preserve">response </w:t>
      </w:r>
      <w:r>
        <w:t>pe</w:t>
      </w:r>
      <w:r w:rsidR="00742A0F">
        <w:t>ak in Figure S1</w:t>
      </w:r>
      <w:r w:rsidR="00F805FB">
        <w:t>2</w:t>
      </w:r>
      <w:r>
        <w:t xml:space="preserve"> does not correlate with the peak of the </w:t>
      </w:r>
      <w:r w:rsidR="003B30F4">
        <w:t>singly</w:t>
      </w:r>
      <w:r>
        <w:t xml:space="preserve"> charge</w:t>
      </w:r>
      <w:r w:rsidR="003B30F4">
        <w:t xml:space="preserve">d </w:t>
      </w:r>
      <w:r w:rsidR="00F805FB">
        <w:t xml:space="preserve">experimental </w:t>
      </w:r>
      <w:r w:rsidR="003B30F4">
        <w:t>size distribution</w:t>
      </w:r>
      <w:r>
        <w:t xml:space="preserve">. If the </w:t>
      </w:r>
      <w:r w:rsidR="00F805FB">
        <w:t>CPC</w:t>
      </w:r>
      <w:r w:rsidR="008577D0">
        <w:t xml:space="preserve"> response </w:t>
      </w:r>
      <w:r w:rsidR="00742A0F">
        <w:t>peak of 72.3 nm from Figure S1</w:t>
      </w:r>
      <w:r w:rsidR="0003453D">
        <w:t>3</w:t>
      </w:r>
      <w:r>
        <w:t xml:space="preserve"> is used, the error increases to 123%. Inversions which do not include the convolution </w:t>
      </w:r>
      <w:r w:rsidR="003B30F4">
        <w:t xml:space="preserve">of the RTD with the DMA transfer functions </w:t>
      </w:r>
      <w:r>
        <w:t>could be significantly wrong</w:t>
      </w:r>
      <w:r w:rsidR="008577D0">
        <w:t>, and t</w:t>
      </w:r>
      <w:r>
        <w:t>he</w:t>
      </w:r>
      <w:r w:rsidR="003B30F4">
        <w:t xml:space="preserve"> inability to locate the peak of the singly charged size distribution makes the situation much worse</w:t>
      </w:r>
      <w:r>
        <w:t xml:space="preserve">.  </w:t>
      </w:r>
    </w:p>
    <w:p w14:paraId="2EBAB60E" w14:textId="00A3B095" w:rsidR="004E67DA" w:rsidRDefault="00AD1072" w:rsidP="004E67DA">
      <w:pPr>
        <w:ind w:firstLine="360"/>
      </w:pPr>
      <w:r>
        <w:t>The flow rates in laminar flow</w:t>
      </w:r>
      <w:r w:rsidR="006F64F6">
        <w:t xml:space="preserve"> heater</w:t>
      </w:r>
      <w:r>
        <w:t>s</w:t>
      </w:r>
      <w:r w:rsidR="006F64F6">
        <w:t xml:space="preserve"> change the residence time distribution. </w:t>
      </w:r>
      <w:r w:rsidR="00742A0F">
        <w:t>Figure S1</w:t>
      </w:r>
      <w:r w:rsidR="0003453D">
        <w:t>4</w:t>
      </w:r>
      <w:r w:rsidR="006F64F6">
        <w:t xml:space="preserve"> shows two residence time distributions: </w:t>
      </w:r>
      <w:proofErr w:type="gramStart"/>
      <w:r w:rsidR="006F64F6">
        <w:t>the</w:t>
      </w:r>
      <w:proofErr w:type="gramEnd"/>
      <w:r w:rsidR="006F64F6">
        <w:t xml:space="preserve"> </w:t>
      </w:r>
      <w:r w:rsidR="006F64F6" w:rsidRPr="006F64F6">
        <w:rPr>
          <w:i/>
        </w:rPr>
        <w:t>Supplemental Information S</w:t>
      </w:r>
      <w:r w:rsidR="00F805FB">
        <w:rPr>
          <w:i/>
        </w:rPr>
        <w:t>3</w:t>
      </w:r>
      <w:r w:rsidR="006F64F6">
        <w:t xml:space="preserve"> flow rate of 1.5 LPM and 0.4 LPM</w:t>
      </w:r>
      <w:r w:rsidR="00BD240C">
        <w:t xml:space="preserve"> through the same heater</w:t>
      </w:r>
      <w:r w:rsidR="006F64F6">
        <w:t xml:space="preserve">. The x-axis is non-dimensional time which is defined as the time divided by the first moment of the </w:t>
      </w:r>
      <w:proofErr w:type="spellStart"/>
      <w:r w:rsidR="006F64F6">
        <w:t>ecurve</w:t>
      </w:r>
      <w:proofErr w:type="spellEnd"/>
      <w:r w:rsidR="006F64F6">
        <w:t>. The y-axis is the concentration at any time divided by the total concentration. By reducing the flow rate to 0.4 LPM, the mean time of the residence time distribution increases by nearly a factor of 4. The extra time in the oven allows for diffusional spreading along the tubing axis. Some particles will exit earlier in non-dimensional time and some will exit later. This spreads the response recorded by DMA2.</w:t>
      </w:r>
      <w:r>
        <w:t xml:space="preserve"> The spread will alter the convolution </w:t>
      </w:r>
      <w:r w:rsidR="003B30F4">
        <w:t xml:space="preserve">of the RTD </w:t>
      </w:r>
      <w:r>
        <w:t xml:space="preserve">with the DMA1 transfer function and may alter the apparent volatility. The </w:t>
      </w:r>
      <w:proofErr w:type="spellStart"/>
      <w:r>
        <w:t>ecurve</w:t>
      </w:r>
      <w:proofErr w:type="spellEnd"/>
      <w:r>
        <w:t xml:space="preserve"> for </w:t>
      </w:r>
      <w:r w:rsidR="00F805FB">
        <w:t>one flow rate</w:t>
      </w:r>
      <w:r>
        <w:t xml:space="preserve"> does not equate to the </w:t>
      </w:r>
      <w:proofErr w:type="spellStart"/>
      <w:r>
        <w:t>ecurve</w:t>
      </w:r>
      <w:proofErr w:type="spellEnd"/>
      <w:r>
        <w:t xml:space="preserve"> </w:t>
      </w:r>
      <w:r w:rsidR="00905F10">
        <w:t xml:space="preserve">for </w:t>
      </w:r>
      <w:r>
        <w:t>another</w:t>
      </w:r>
      <w:r w:rsidR="00F805FB">
        <w:t xml:space="preserve"> flow rate</w:t>
      </w:r>
      <w:r>
        <w:t xml:space="preserve">. This concept can be expanded to tubing length as well. As a laminar flow reactor lengthens, diffusional spreading will occur, and the </w:t>
      </w:r>
      <w:proofErr w:type="spellStart"/>
      <w:r>
        <w:t>ecurve</w:t>
      </w:r>
      <w:proofErr w:type="spellEnd"/>
      <w:r>
        <w:t xml:space="preserve"> and convolution with DMA1 will change. </w:t>
      </w:r>
    </w:p>
    <w:p w14:paraId="4BE6F8A6" w14:textId="77777777" w:rsidR="00FB1C31" w:rsidRDefault="00FB1C31" w:rsidP="004E67DA">
      <w:pPr>
        <w:ind w:firstLine="360"/>
      </w:pPr>
    </w:p>
    <w:p w14:paraId="76DDCFAB" w14:textId="77777777" w:rsidR="006F64F6" w:rsidRDefault="006F64F6" w:rsidP="004E67DA">
      <w:pPr>
        <w:ind w:firstLine="360"/>
      </w:pPr>
      <w:r>
        <w:rPr>
          <w:noProof/>
        </w:rPr>
        <w:lastRenderedPageBreak/>
        <w:drawing>
          <wp:inline distT="0" distB="0" distL="0" distR="0" wp14:anchorId="0E7619BD" wp14:editId="63C60E65">
            <wp:extent cx="2782830" cy="24658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1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2830" cy="2465837"/>
                    </a:xfrm>
                    <a:prstGeom prst="rect">
                      <a:avLst/>
                    </a:prstGeom>
                  </pic:spPr>
                </pic:pic>
              </a:graphicData>
            </a:graphic>
          </wp:inline>
        </w:drawing>
      </w:r>
    </w:p>
    <w:p w14:paraId="3674CB62" w14:textId="13020C1F" w:rsidR="006F64F6" w:rsidRDefault="006F64F6" w:rsidP="00456064">
      <w:pPr>
        <w:pStyle w:val="supplementcaptions"/>
        <w:numPr>
          <w:ilvl w:val="0"/>
          <w:numId w:val="4"/>
        </w:numPr>
      </w:pPr>
      <w:r>
        <w:t>The non-</w:t>
      </w:r>
      <w:proofErr w:type="spellStart"/>
      <w:r>
        <w:t>dimensionalized</w:t>
      </w:r>
      <w:proofErr w:type="spellEnd"/>
      <w:r>
        <w:t xml:space="preserve"> </w:t>
      </w:r>
      <w:proofErr w:type="spellStart"/>
      <w:r>
        <w:t>ecurves</w:t>
      </w:r>
      <w:proofErr w:type="spellEnd"/>
      <w:r>
        <w:t xml:space="preserve"> from the 15.25 m heater. The cyan curve is the response shown in Figure S2. The magenta response corresponds with the same tubing with a reduced flowrate. </w:t>
      </w:r>
    </w:p>
    <w:p w14:paraId="39AB369C" w14:textId="77777777" w:rsidR="004E67DA" w:rsidRDefault="004E67DA" w:rsidP="00C14400"/>
    <w:p w14:paraId="785AC780" w14:textId="2FC8746D" w:rsidR="00AD1072" w:rsidRDefault="00AD1072" w:rsidP="00456064">
      <w:pPr>
        <w:pStyle w:val="ListParagraph"/>
        <w:numPr>
          <w:ilvl w:val="0"/>
          <w:numId w:val="1"/>
        </w:numPr>
      </w:pPr>
      <w:r>
        <w:t>Evaporation at 200 nm</w:t>
      </w:r>
    </w:p>
    <w:p w14:paraId="7FE61158" w14:textId="52D88CEE" w:rsidR="002E49D4" w:rsidRDefault="007B0988" w:rsidP="007B0988">
      <w:pPr>
        <w:ind w:firstLine="360"/>
      </w:pPr>
      <w:r>
        <w:t xml:space="preserve">Even though the </w:t>
      </w:r>
      <w:r w:rsidR="003E1267">
        <w:t xml:space="preserve">CPC response is a single </w:t>
      </w:r>
      <w:r w:rsidR="00515CC7">
        <w:t>peak</w:t>
      </w:r>
      <w:r w:rsidR="003E1267">
        <w:t xml:space="preserve"> and the location of the peak of the singly charged experimental size distribution is unknown,</w:t>
      </w:r>
      <w:r w:rsidR="00515CC7">
        <w:t xml:space="preserve"> </w:t>
      </w:r>
      <w:r>
        <w:t xml:space="preserve">the accuracy in vapor pressure measurement </w:t>
      </w:r>
      <w:r w:rsidR="003E1267">
        <w:t>may</w:t>
      </w:r>
      <w:r>
        <w:t xml:space="preserve"> not sacrificed. The DMA1 diameter, 200 nm, is much larger </w:t>
      </w:r>
      <w:r w:rsidR="00515CC7">
        <w:t xml:space="preserve">in diameter </w:t>
      </w:r>
      <w:r>
        <w:t xml:space="preserve">than the </w:t>
      </w:r>
      <w:r w:rsidR="00515CC7">
        <w:t xml:space="preserve">diameter corresponding with the </w:t>
      </w:r>
      <w:r>
        <w:t xml:space="preserve">peak of the log-normal size distribution. This along with the charging function guarantees a </w:t>
      </w:r>
      <w:r w:rsidR="00515CC7">
        <w:t xml:space="preserve">selected population consisting of primarily </w:t>
      </w:r>
      <w:r>
        <w:t xml:space="preserve">singly charged </w:t>
      </w:r>
      <w:r w:rsidR="00515CC7">
        <w:t>particles</w:t>
      </w:r>
      <w:r>
        <w:t xml:space="preserve">. </w:t>
      </w:r>
      <w:r w:rsidR="002E49D4">
        <w:t xml:space="preserve">Like </w:t>
      </w:r>
      <w:r w:rsidR="002E49D4" w:rsidRPr="003E1267">
        <w:t xml:space="preserve">Figure </w:t>
      </w:r>
      <w:r w:rsidR="003E1267" w:rsidRPr="003E1267">
        <w:t>4</w:t>
      </w:r>
      <w:r w:rsidR="002E49D4" w:rsidRPr="003E1267">
        <w:t>,</w:t>
      </w:r>
      <w:r w:rsidR="002E49D4">
        <w:t xml:space="preserve"> the peak </w:t>
      </w:r>
      <w:r w:rsidR="000F101D">
        <w:t xml:space="preserve">of the singly charged size distribution </w:t>
      </w:r>
      <w:r w:rsidR="002E49D4">
        <w:t>does not deviate significantly from the peak</w:t>
      </w:r>
      <w:r w:rsidR="00523828">
        <w:t xml:space="preserve"> of the CPC response. Figure S1</w:t>
      </w:r>
      <w:r w:rsidR="0003453D">
        <w:t>5</w:t>
      </w:r>
      <w:r w:rsidR="002E49D4">
        <w:t xml:space="preserve"> displays the accuracy of this case</w:t>
      </w:r>
      <w:r w:rsidR="006C6FD2">
        <w:t xml:space="preserve"> in panel a</w:t>
      </w:r>
      <w:r w:rsidR="002E49D4">
        <w:t xml:space="preserve">. </w:t>
      </w:r>
      <w:r w:rsidR="006C6FD2">
        <w:t>In panel b, the vapor pressure measurements</w:t>
      </w:r>
      <w:r w:rsidR="003E1267">
        <w:t xml:space="preserve">, derived from Figure 3 panel (b), </w:t>
      </w:r>
      <w:r w:rsidR="006C6FD2">
        <w:t xml:space="preserve">follow the </w:t>
      </w:r>
      <w:r w:rsidR="00515CC7">
        <w:t>Clausius-</w:t>
      </w:r>
      <w:proofErr w:type="spellStart"/>
      <w:r w:rsidR="00515CC7">
        <w:t>Clapeyron</w:t>
      </w:r>
      <w:proofErr w:type="spellEnd"/>
      <w:r w:rsidR="00515CC7">
        <w:t xml:space="preserve"> model used to generate the CPC response</w:t>
      </w:r>
      <w:r w:rsidR="006C6FD2">
        <w:t xml:space="preserve">. </w:t>
      </w:r>
    </w:p>
    <w:p w14:paraId="38344A84" w14:textId="77777777" w:rsidR="006C6FD2" w:rsidRDefault="006C6FD2" w:rsidP="007B0988">
      <w:pPr>
        <w:ind w:firstLine="360"/>
      </w:pPr>
    </w:p>
    <w:p w14:paraId="491B7302" w14:textId="27080BC6" w:rsidR="00893042" w:rsidRDefault="007C278C" w:rsidP="007C278C">
      <w:pPr>
        <w:jc w:val="center"/>
      </w:pPr>
      <w:r>
        <w:rPr>
          <w:noProof/>
        </w:rPr>
        <w:lastRenderedPageBreak/>
        <w:drawing>
          <wp:inline distT="0" distB="0" distL="0" distR="0" wp14:anchorId="75E5E584" wp14:editId="296F1F14">
            <wp:extent cx="5830824" cy="2871216"/>
            <wp:effectExtent l="0" t="0" r="0" b="5715"/>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tboard 51.jpg"/>
                    <pic:cNvPicPr/>
                  </pic:nvPicPr>
                  <pic:blipFill>
                    <a:blip r:embed="rId19"/>
                    <a:stretch>
                      <a:fillRect/>
                    </a:stretch>
                  </pic:blipFill>
                  <pic:spPr>
                    <a:xfrm>
                      <a:off x="0" y="0"/>
                      <a:ext cx="5830824" cy="2871216"/>
                    </a:xfrm>
                    <a:prstGeom prst="rect">
                      <a:avLst/>
                    </a:prstGeom>
                  </pic:spPr>
                </pic:pic>
              </a:graphicData>
            </a:graphic>
          </wp:inline>
        </w:drawing>
      </w:r>
    </w:p>
    <w:p w14:paraId="3D17F163" w14:textId="67114B74" w:rsidR="00DE3CF5" w:rsidRDefault="00DE3CF5" w:rsidP="00456064">
      <w:pPr>
        <w:pStyle w:val="supplementcaptions"/>
        <w:numPr>
          <w:ilvl w:val="0"/>
          <w:numId w:val="4"/>
        </w:numPr>
      </w:pPr>
      <w:r>
        <w:t xml:space="preserve">Panel (a): The CPC response with an oven temperature of 28 </w:t>
      </w:r>
      <w:r>
        <w:rPr>
          <w:rFonts w:ascii="Cambria Math" w:hAnsi="Cambria Math"/>
        </w:rPr>
        <w:t>°</w:t>
      </w:r>
      <w:r>
        <w:t xml:space="preserve">C. </w:t>
      </w:r>
      <w:r w:rsidR="006C6FD2">
        <w:t xml:space="preserve">The first charge CPC response is shown with open circles, and the total CPC response is shown with asterisks. Panel (b): The vapor pressure calculations based on the peak of the total CPC response. </w:t>
      </w:r>
      <w:r w:rsidR="007C278C">
        <w:t>The calculated vapor pressure response compared to the Clausius-</w:t>
      </w:r>
      <w:proofErr w:type="spellStart"/>
      <w:r w:rsidR="007C278C">
        <w:t>Clapeyron</w:t>
      </w:r>
      <w:proofErr w:type="spellEnd"/>
      <w:r w:rsidR="007C278C">
        <w:t xml:space="preserve"> relation used to generate the data.</w:t>
      </w:r>
    </w:p>
    <w:p w14:paraId="5A943EC0" w14:textId="77777777" w:rsidR="007A4FD0" w:rsidRDefault="007A4FD0" w:rsidP="006C6FD2">
      <w:pPr>
        <w:ind w:firstLine="360"/>
      </w:pPr>
    </w:p>
    <w:p w14:paraId="04383926" w14:textId="12681C1D" w:rsidR="008248C0" w:rsidRDefault="003C7B36" w:rsidP="006C6FD2">
      <w:pPr>
        <w:ind w:firstLine="360"/>
      </w:pPr>
      <w:r>
        <w:t xml:space="preserve">Although this situation is accurate, the </w:t>
      </w:r>
      <w:r w:rsidR="003E1267">
        <w:t>CPC</w:t>
      </w:r>
      <w:r>
        <w:t xml:space="preserve"> </w:t>
      </w:r>
      <w:r w:rsidR="007A4FD0">
        <w:t xml:space="preserve">response does not reveal </w:t>
      </w:r>
      <w:r>
        <w:t xml:space="preserve">whether the </w:t>
      </w:r>
      <w:r w:rsidR="00515CC7">
        <w:t>singly charged particles</w:t>
      </w:r>
      <w:r>
        <w:t xml:space="preserve"> </w:t>
      </w:r>
      <w:r w:rsidR="00515CC7">
        <w:t>are</w:t>
      </w:r>
      <w:r>
        <w:t xml:space="preserve"> tracked</w:t>
      </w:r>
      <w:r w:rsidR="00893042">
        <w:t>.</w:t>
      </w:r>
      <w:r>
        <w:t xml:space="preserve"> The user has t</w:t>
      </w:r>
      <w:r w:rsidR="003E1267">
        <w:t>hree</w:t>
      </w:r>
      <w:r>
        <w:t xml:space="preserve"> methods available for determining the charging situation: </w:t>
      </w:r>
      <w:r w:rsidR="00C07B3F">
        <w:t>use the additional equipment as</w:t>
      </w:r>
      <w:r>
        <w:t xml:space="preserve"> in the experimental method</w:t>
      </w:r>
      <w:r w:rsidR="003E1267">
        <w:t>,</w:t>
      </w:r>
      <w:r>
        <w:t xml:space="preserve"> </w:t>
      </w:r>
      <w:r w:rsidR="00C07B3F">
        <w:t xml:space="preserve">use the additional equipment as shown in </w:t>
      </w:r>
      <w:r w:rsidR="00C07B3F">
        <w:fldChar w:fldCharType="begin"/>
      </w:r>
      <w:r w:rsidR="00C07B3F">
        <w:instrText xml:space="preserve"> ADDIN EN.CITE &lt;EndNote&gt;&lt;Cite AuthorYear="1"&gt;&lt;Author&gt;Wright&lt;/Author&gt;&lt;Year&gt;2016&lt;/Year&gt;&lt;RecNum&gt;26&lt;/RecNum&gt;&lt;DisplayText&gt;Wright et al. (2016)&lt;/DisplayText&gt;&lt;record&gt;&lt;rec-number&gt;26&lt;/rec-number&gt;&lt;foreign-keys&gt;&lt;key app="EN" db-id="w5vt2rse70avfmezsabxaepdstztv5svdxt2"&gt;26&lt;/key&gt;&lt;/foreign-keys&gt;&lt;ref-type name="Journal Article"&gt;17&lt;/ref-type&gt;&lt;contributors&gt;&lt;authors&gt;&lt;author&gt;Wright, Timothy P&lt;/author&gt;&lt;author&gt;Song, Chen&lt;/author&gt;&lt;author&gt;Sears, Stephen&lt;/author&gt;&lt;author&gt;Petters, Markus D&lt;/author&gt;&lt;/authors&gt;&lt;/contributors&gt;&lt;titles&gt;&lt;title&gt;Thermodynamic and kinetic behavior of glycerol aerosol&lt;/title&gt;&lt;secondary-title&gt;Aerosol Science and Technology&lt;/secondary-title&gt;&lt;/titles&gt;&lt;periodical&gt;&lt;full-title&gt;Aerosol Science and Technology&lt;/full-title&gt;&lt;/periodical&gt;&lt;pages&gt;1385-1396&lt;/pages&gt;&lt;volume&gt;50&lt;/volume&gt;&lt;number&gt;12&lt;/number&gt;&lt;dates&gt;&lt;year&gt;2016&lt;/year&gt;&lt;/dates&gt;&lt;isbn&gt;0278-6826&lt;/isbn&gt;&lt;urls&gt;&lt;/urls&gt;&lt;/record&gt;&lt;/Cite&gt;&lt;/EndNote&gt;</w:instrText>
      </w:r>
      <w:r w:rsidR="00C07B3F">
        <w:fldChar w:fldCharType="separate"/>
      </w:r>
      <w:hyperlink w:anchor="_ENREF_14" w:tooltip="Wright, 2016 #26" w:history="1">
        <w:r w:rsidR="0055410F">
          <w:rPr>
            <w:noProof/>
          </w:rPr>
          <w:t>Wright et al. (2016</w:t>
        </w:r>
      </w:hyperlink>
      <w:r w:rsidR="00C07B3F">
        <w:rPr>
          <w:noProof/>
        </w:rPr>
        <w:t>)</w:t>
      </w:r>
      <w:r w:rsidR="00C07B3F">
        <w:fldChar w:fldCharType="end"/>
      </w:r>
      <w:r w:rsidR="00C07B3F">
        <w:t xml:space="preserve">, </w:t>
      </w:r>
      <w:r>
        <w:t xml:space="preserve">or evaporate the aerosol until the </w:t>
      </w:r>
      <w:r w:rsidR="00C07B3F">
        <w:t>singly charged size distribution is</w:t>
      </w:r>
      <w:r>
        <w:t xml:space="preserve"> revealed. This </w:t>
      </w:r>
      <w:r w:rsidR="007A4FD0">
        <w:t xml:space="preserve">200 nm </w:t>
      </w:r>
      <w:r>
        <w:t>case</w:t>
      </w:r>
      <w:r w:rsidR="007A4FD0">
        <w:t>,</w:t>
      </w:r>
      <w:r>
        <w:t xml:space="preserve"> along </w:t>
      </w:r>
      <w:r w:rsidRPr="003E1267">
        <w:t>with Figure 4</w:t>
      </w:r>
      <w:r w:rsidR="003E1267">
        <w:t xml:space="preserve"> panel (a)</w:t>
      </w:r>
      <w:r w:rsidR="007A4FD0">
        <w:t>,</w:t>
      </w:r>
      <w:r>
        <w:t xml:space="preserve"> displays primarily singly charged distributions. In these cases, when the charges </w:t>
      </w:r>
      <w:r w:rsidR="00C07B3F">
        <w:t>separate</w:t>
      </w:r>
      <w:r>
        <w:t xml:space="preserve">, the peak of the </w:t>
      </w:r>
      <w:r w:rsidR="00C07B3F">
        <w:t>remaining</w:t>
      </w:r>
      <w:r>
        <w:t xml:space="preserve"> charge</w:t>
      </w:r>
      <w:r w:rsidR="00C07B3F">
        <w:t>s</w:t>
      </w:r>
      <w:r>
        <w:t xml:space="preserve"> is smaller in population than the singl</w:t>
      </w:r>
      <w:r w:rsidR="00C07B3F">
        <w:t>y</w:t>
      </w:r>
      <w:r>
        <w:t xml:space="preserve"> charge</w:t>
      </w:r>
      <w:r w:rsidR="00C07B3F">
        <w:t>d</w:t>
      </w:r>
      <w:r>
        <w:t xml:space="preserve"> </w:t>
      </w:r>
      <w:r w:rsidR="00C07B3F">
        <w:t xml:space="preserve">size </w:t>
      </w:r>
      <w:r>
        <w:t xml:space="preserve">distribution. Users </w:t>
      </w:r>
      <w:r w:rsidR="00C07B3F">
        <w:t xml:space="preserve">choosing not to implement additional equipment </w:t>
      </w:r>
      <w:r>
        <w:t xml:space="preserve">must be careful to use tall, narrow residence time distributions along with narrow DMA transfer functions to determine the </w:t>
      </w:r>
      <w:r w:rsidR="00C07B3F">
        <w:t>fraction of the population that is singly charged</w:t>
      </w:r>
      <w:r>
        <w:t xml:space="preserve">. Using wide DMA transfer functions or wide </w:t>
      </w:r>
      <w:r w:rsidR="00250B7D">
        <w:t xml:space="preserve">residence time distributions </w:t>
      </w:r>
      <w:r w:rsidR="003E1267">
        <w:t>does not enable charge separation, and without additional equipment, the actual location of the peak of the singly charged size distribution will be unknown</w:t>
      </w:r>
      <w:r w:rsidR="00656384">
        <w:t>.</w:t>
      </w:r>
    </w:p>
    <w:p w14:paraId="7BF521C5" w14:textId="77777777" w:rsidR="00705C8F" w:rsidRDefault="00705C8F" w:rsidP="006C6FD2">
      <w:pPr>
        <w:ind w:firstLine="360"/>
      </w:pPr>
    </w:p>
    <w:p w14:paraId="061D80E6" w14:textId="50A542F1" w:rsidR="008248C0" w:rsidRDefault="00692043" w:rsidP="00456064">
      <w:pPr>
        <w:pStyle w:val="ListParagraph"/>
        <w:numPr>
          <w:ilvl w:val="0"/>
          <w:numId w:val="1"/>
        </w:numPr>
      </w:pPr>
      <w:r>
        <w:t>List of symbols used in this document</w:t>
      </w:r>
    </w:p>
    <w:p w14:paraId="34E6B49F" w14:textId="77777777" w:rsidR="00523828" w:rsidRDefault="00523828" w:rsidP="00C14400"/>
    <w:p w14:paraId="11AC1307" w14:textId="77777777" w:rsidR="008248C0" w:rsidRDefault="00397DB8" w:rsidP="00C14400">
      <w:r w:rsidRPr="00397DB8">
        <w:rPr>
          <w:rFonts w:ascii="Cambria Math" w:hAnsi="Cambria Math"/>
          <w:i/>
        </w:rPr>
        <w:t>A1</w:t>
      </w:r>
      <w:r>
        <w:t xml:space="preserve"> – 1</w:t>
      </w:r>
      <w:r w:rsidRPr="00397DB8">
        <w:rPr>
          <w:vertAlign w:val="superscript"/>
        </w:rPr>
        <w:t>st</w:t>
      </w:r>
      <w:r>
        <w:t xml:space="preserve"> Cunningham correction factor constant</w:t>
      </w:r>
    </w:p>
    <w:p w14:paraId="1162B02A" w14:textId="77777777" w:rsidR="00397DB8" w:rsidRDefault="00397DB8" w:rsidP="00C14400">
      <w:r w:rsidRPr="00397DB8">
        <w:rPr>
          <w:rFonts w:ascii="Cambria Math" w:hAnsi="Cambria Math"/>
          <w:i/>
        </w:rPr>
        <w:t>A2</w:t>
      </w:r>
      <w:r>
        <w:t xml:space="preserve"> – 2</w:t>
      </w:r>
      <w:r w:rsidRPr="00397DB8">
        <w:rPr>
          <w:vertAlign w:val="superscript"/>
        </w:rPr>
        <w:t>nd</w:t>
      </w:r>
      <w:r>
        <w:t xml:space="preserve"> Cunningham correction factor constant</w:t>
      </w:r>
    </w:p>
    <w:p w14:paraId="120CECB7" w14:textId="77777777" w:rsidR="00397DB8" w:rsidRDefault="00397DB8" w:rsidP="00C14400">
      <w:r w:rsidRPr="00397DB8">
        <w:rPr>
          <w:rFonts w:ascii="Cambria Math" w:hAnsi="Cambria Math"/>
          <w:i/>
        </w:rPr>
        <w:t>A3</w:t>
      </w:r>
      <w:r>
        <w:t xml:space="preserve"> – 3</w:t>
      </w:r>
      <w:r w:rsidRPr="00397DB8">
        <w:rPr>
          <w:vertAlign w:val="superscript"/>
        </w:rPr>
        <w:t>rd</w:t>
      </w:r>
      <w:r>
        <w:t xml:space="preserve"> Cunningham correction factor constant</w:t>
      </w:r>
    </w:p>
    <w:p w14:paraId="14E1D777" w14:textId="77777777" w:rsidR="00397DB8" w:rsidRDefault="00397DB8" w:rsidP="00C14400">
      <w:r w:rsidRPr="00397DB8">
        <w:rPr>
          <w:rFonts w:ascii="Cambria Math" w:hAnsi="Cambria Math"/>
          <w:i/>
        </w:rPr>
        <w:lastRenderedPageBreak/>
        <w:t>C</w:t>
      </w:r>
      <w:r>
        <w:t xml:space="preserve"> – Cunningham correction factor</w:t>
      </w:r>
    </w:p>
    <w:p w14:paraId="37139F70" w14:textId="77777777" w:rsidR="00397DB8" w:rsidRDefault="00397DB8" w:rsidP="00C14400">
      <w:r w:rsidRPr="00397DB8">
        <w:rPr>
          <w:rFonts w:ascii="Cambria Math" w:hAnsi="Cambria Math"/>
          <w:i/>
        </w:rPr>
        <w:t>C</w:t>
      </w:r>
      <w:r w:rsidRPr="00397DB8">
        <w:rPr>
          <w:rFonts w:ascii="Cambria Math" w:hAnsi="Cambria Math"/>
          <w:i/>
          <w:vertAlign w:val="subscript"/>
        </w:rPr>
        <w:t>1</w:t>
      </w:r>
      <w:r>
        <w:t xml:space="preserve"> – Cunningham correction factor for a single charged particle</w:t>
      </w:r>
    </w:p>
    <w:p w14:paraId="06D84FCD" w14:textId="77777777" w:rsidR="00397DB8" w:rsidRDefault="00397DB8" w:rsidP="00C14400">
      <w:r w:rsidRPr="00397DB8">
        <w:rPr>
          <w:rFonts w:ascii="Cambria Math" w:hAnsi="Cambria Math"/>
          <w:i/>
        </w:rPr>
        <w:t>C</w:t>
      </w:r>
      <w:r w:rsidRPr="00397DB8">
        <w:rPr>
          <w:rFonts w:ascii="Cambria Math" w:hAnsi="Cambria Math"/>
          <w:i/>
          <w:vertAlign w:val="subscript"/>
        </w:rPr>
        <w:t>2</w:t>
      </w:r>
      <w:r>
        <w:t xml:space="preserve"> – Cunningham correction factor for a second charged particle</w:t>
      </w:r>
    </w:p>
    <w:p w14:paraId="337A2338" w14:textId="77777777" w:rsidR="00397DB8" w:rsidRDefault="00397DB8" w:rsidP="00C14400">
      <w:r w:rsidRPr="00397DB8">
        <w:rPr>
          <w:rFonts w:ascii="Cambria Math" w:hAnsi="Cambria Math"/>
          <w:i/>
        </w:rPr>
        <w:t>C</w:t>
      </w:r>
      <w:r w:rsidRPr="00397DB8">
        <w:rPr>
          <w:rFonts w:ascii="Cambria Math" w:hAnsi="Cambria Math"/>
          <w:i/>
          <w:vertAlign w:val="subscript"/>
        </w:rPr>
        <w:t>2-1</w:t>
      </w:r>
      <w:r>
        <w:t xml:space="preserve"> – Cunningham correction factor for a second charged particle in single charge diameter space</w:t>
      </w:r>
    </w:p>
    <w:p w14:paraId="6FA5FA93" w14:textId="77777777" w:rsidR="00397DB8" w:rsidRDefault="00397DB8" w:rsidP="00397DB8">
      <w:pPr>
        <w:ind w:left="540" w:hanging="540"/>
      </w:pPr>
      <w:proofErr w:type="spellStart"/>
      <w:r w:rsidRPr="00397DB8">
        <w:rPr>
          <w:rFonts w:ascii="Cambria Math" w:hAnsi="Cambria Math"/>
          <w:i/>
        </w:rPr>
        <w:t>C</w:t>
      </w:r>
      <w:r w:rsidRPr="00397DB8">
        <w:rPr>
          <w:rFonts w:ascii="Cambria Math" w:hAnsi="Cambria Math"/>
          <w:i/>
          <w:vertAlign w:val="subscript"/>
        </w:rPr>
        <w:t>in</w:t>
      </w:r>
      <w:proofErr w:type="spellEnd"/>
      <w:r>
        <w:t xml:space="preserve"> – Concentration out of the system without the heater assuming that the entire system exists prior to the heater </w:t>
      </w:r>
    </w:p>
    <w:p w14:paraId="4D8AD46F" w14:textId="77777777" w:rsidR="00397DB8" w:rsidRDefault="00397DB8" w:rsidP="00C14400">
      <w:proofErr w:type="spellStart"/>
      <w:r w:rsidRPr="00397DB8">
        <w:rPr>
          <w:rFonts w:ascii="Cambria Math" w:hAnsi="Cambria Math"/>
          <w:i/>
        </w:rPr>
        <w:t>C</w:t>
      </w:r>
      <w:r w:rsidRPr="00397DB8">
        <w:rPr>
          <w:rFonts w:ascii="Cambria Math" w:hAnsi="Cambria Math"/>
          <w:i/>
          <w:vertAlign w:val="subscript"/>
        </w:rPr>
        <w:t>out</w:t>
      </w:r>
      <w:proofErr w:type="spellEnd"/>
      <w:r w:rsidRPr="00397DB8">
        <w:rPr>
          <w:vertAlign w:val="subscript"/>
        </w:rPr>
        <w:t xml:space="preserve"> </w:t>
      </w:r>
      <w:r>
        <w:t xml:space="preserve">– Concentration out of the entire system </w:t>
      </w:r>
    </w:p>
    <w:p w14:paraId="62048A0D" w14:textId="77777777" w:rsidR="00397DB8" w:rsidRDefault="00397DB8" w:rsidP="00C14400">
      <w:proofErr w:type="spellStart"/>
      <w:proofErr w:type="gramStart"/>
      <w:r w:rsidRPr="00397DB8">
        <w:rPr>
          <w:rFonts w:ascii="Cambria Math" w:hAnsi="Cambria Math"/>
          <w:i/>
        </w:rPr>
        <w:t>D</w:t>
      </w:r>
      <w:r w:rsidRPr="00397DB8">
        <w:rPr>
          <w:rFonts w:ascii="Cambria Math" w:hAnsi="Cambria Math"/>
          <w:i/>
          <w:vertAlign w:val="subscript"/>
        </w:rPr>
        <w:t>i,air</w:t>
      </w:r>
      <w:proofErr w:type="spellEnd"/>
      <w:proofErr w:type="gramEnd"/>
      <w:r w:rsidRPr="00397DB8">
        <w:rPr>
          <w:vertAlign w:val="subscript"/>
        </w:rPr>
        <w:t xml:space="preserve"> </w:t>
      </w:r>
      <w:r>
        <w:t xml:space="preserve">– Diffusivity of component </w:t>
      </w:r>
      <w:proofErr w:type="spellStart"/>
      <w:r w:rsidRPr="00397DB8">
        <w:rPr>
          <w:rFonts w:ascii="Cambria Math" w:hAnsi="Cambria Math"/>
          <w:i/>
        </w:rPr>
        <w:t>i</w:t>
      </w:r>
      <w:proofErr w:type="spellEnd"/>
      <w:r>
        <w:t xml:space="preserve"> in air </w:t>
      </w:r>
    </w:p>
    <w:p w14:paraId="63310BDB" w14:textId="77777777" w:rsidR="00397DB8" w:rsidRDefault="00664AA6" w:rsidP="00C14400">
      <w:proofErr w:type="spellStart"/>
      <w:r>
        <w:rPr>
          <w:rFonts w:ascii="Cambria Math" w:hAnsi="Cambria Math"/>
          <w:i/>
        </w:rPr>
        <w:t>D</w:t>
      </w:r>
      <w:r w:rsidR="00397DB8" w:rsidRPr="00397DB8">
        <w:rPr>
          <w:rFonts w:ascii="Cambria Math" w:hAnsi="Cambria Math"/>
          <w:i/>
          <w:vertAlign w:val="subscript"/>
        </w:rPr>
        <w:t>p</w:t>
      </w:r>
      <w:proofErr w:type="spellEnd"/>
      <w:r w:rsidR="00397DB8">
        <w:t xml:space="preserve"> – diameter of particle</w:t>
      </w:r>
      <w:r w:rsidR="00A21B17">
        <w:t xml:space="preserve"> </w:t>
      </w:r>
    </w:p>
    <w:p w14:paraId="6BA0C96A" w14:textId="77777777" w:rsidR="00397DB8" w:rsidRDefault="00664AA6" w:rsidP="00C14400">
      <w:r>
        <w:rPr>
          <w:rFonts w:ascii="Cambria Math" w:hAnsi="Cambria Math"/>
          <w:i/>
        </w:rPr>
        <w:t>D</w:t>
      </w:r>
      <w:r w:rsidR="00397DB8" w:rsidRPr="008B163B">
        <w:rPr>
          <w:rFonts w:ascii="Cambria Math" w:hAnsi="Cambria Math"/>
          <w:i/>
          <w:vertAlign w:val="subscript"/>
        </w:rPr>
        <w:t>p</w:t>
      </w:r>
      <w:r w:rsidR="00A21B17" w:rsidRPr="008B163B">
        <w:rPr>
          <w:rFonts w:ascii="Cambria Math" w:hAnsi="Cambria Math"/>
          <w:i/>
          <w:vertAlign w:val="subscript"/>
        </w:rPr>
        <w:t xml:space="preserve">,0 </w:t>
      </w:r>
      <w:r w:rsidR="00A21B17">
        <w:t xml:space="preserve">– Initial diameter of particle </w:t>
      </w:r>
    </w:p>
    <w:p w14:paraId="125BE730" w14:textId="77777777" w:rsidR="00A21B17" w:rsidRDefault="00664AA6" w:rsidP="00C14400">
      <w:proofErr w:type="spellStart"/>
      <w:proofErr w:type="gramStart"/>
      <w:r>
        <w:rPr>
          <w:rFonts w:ascii="Cambria Math" w:hAnsi="Cambria Math"/>
          <w:i/>
        </w:rPr>
        <w:t>D</w:t>
      </w:r>
      <w:r w:rsidR="00A21B17" w:rsidRPr="008B163B">
        <w:rPr>
          <w:rFonts w:ascii="Cambria Math" w:hAnsi="Cambria Math"/>
          <w:i/>
          <w:vertAlign w:val="subscript"/>
        </w:rPr>
        <w:t>p,f</w:t>
      </w:r>
      <w:proofErr w:type="spellEnd"/>
      <w:proofErr w:type="gramEnd"/>
      <w:r w:rsidR="00A21B17">
        <w:t xml:space="preserve"> – Final diameter of particle </w:t>
      </w:r>
    </w:p>
    <w:p w14:paraId="6AC0E3B1" w14:textId="77777777" w:rsidR="00397DB8" w:rsidRDefault="00664AA6" w:rsidP="00C14400">
      <w:r>
        <w:rPr>
          <w:rFonts w:ascii="Cambria Math" w:hAnsi="Cambria Math"/>
          <w:i/>
        </w:rPr>
        <w:t>D</w:t>
      </w:r>
      <w:r w:rsidR="008B163B" w:rsidRPr="008B163B">
        <w:rPr>
          <w:rFonts w:ascii="Cambria Math" w:hAnsi="Cambria Math"/>
          <w:i/>
          <w:vertAlign w:val="subscript"/>
        </w:rPr>
        <w:t>p,1</w:t>
      </w:r>
      <w:r w:rsidR="008B163B">
        <w:t xml:space="preserve"> – Diameter of a singly charged particle </w:t>
      </w:r>
    </w:p>
    <w:p w14:paraId="04EBF38B" w14:textId="77777777" w:rsidR="008B163B" w:rsidRDefault="00664AA6" w:rsidP="00C14400">
      <w:r>
        <w:rPr>
          <w:rFonts w:ascii="Cambria Math" w:hAnsi="Cambria Math"/>
          <w:i/>
        </w:rPr>
        <w:t>D</w:t>
      </w:r>
      <w:r w:rsidR="008B163B" w:rsidRPr="008B163B">
        <w:rPr>
          <w:rFonts w:ascii="Cambria Math" w:hAnsi="Cambria Math"/>
          <w:i/>
          <w:vertAlign w:val="subscript"/>
        </w:rPr>
        <w:t>p,2</w:t>
      </w:r>
      <w:r w:rsidR="008B163B">
        <w:t xml:space="preserve"> – Diameter of a doubly charged particle </w:t>
      </w:r>
    </w:p>
    <w:p w14:paraId="6AEAC0BC" w14:textId="77777777" w:rsidR="008B163B" w:rsidRDefault="00664AA6" w:rsidP="00C14400">
      <w:r>
        <w:rPr>
          <w:rFonts w:ascii="Cambria Math" w:hAnsi="Cambria Math"/>
          <w:i/>
        </w:rPr>
        <w:t>D</w:t>
      </w:r>
      <w:r w:rsidR="008B163B" w:rsidRPr="008B163B">
        <w:rPr>
          <w:rFonts w:ascii="Cambria Math" w:hAnsi="Cambria Math"/>
          <w:i/>
          <w:vertAlign w:val="subscript"/>
        </w:rPr>
        <w:t>p,2-1</w:t>
      </w:r>
      <w:r w:rsidR="008B163B">
        <w:t xml:space="preserve"> – Diameter of a doubly charged particle in single charged diameter space </w:t>
      </w:r>
    </w:p>
    <w:p w14:paraId="4AF0D0B3" w14:textId="77777777" w:rsidR="00E443C8" w:rsidRDefault="00E443C8" w:rsidP="00C14400">
      <w:r w:rsidRPr="00E443C8">
        <w:rPr>
          <w:rFonts w:ascii="Cambria Math" w:hAnsi="Cambria Math"/>
          <w:i/>
        </w:rPr>
        <w:t>E</w:t>
      </w:r>
      <w:r>
        <w:t xml:space="preserve"> – </w:t>
      </w:r>
      <w:proofErr w:type="spellStart"/>
      <w:r>
        <w:t>ecurve</w:t>
      </w:r>
      <w:proofErr w:type="spellEnd"/>
      <w:r>
        <w:t>. Fraction of the total mass emitted at time t</w:t>
      </w:r>
    </w:p>
    <w:p w14:paraId="13834C28" w14:textId="77777777" w:rsidR="008B163B" w:rsidRDefault="00E443C8" w:rsidP="00C14400">
      <w:r w:rsidRPr="00E443C8">
        <w:rPr>
          <w:rFonts w:ascii="Cambria Math" w:hAnsi="Cambria Math"/>
          <w:i/>
        </w:rPr>
        <w:t>e</w:t>
      </w:r>
      <w:r>
        <w:t xml:space="preserve"> – Charge of an electron. Bold face font means the value is a vector. </w:t>
      </w:r>
    </w:p>
    <w:p w14:paraId="2F0D47F0" w14:textId="77777777" w:rsidR="00E443C8" w:rsidRDefault="00E443C8" w:rsidP="00C14400">
      <w:r w:rsidRPr="00E443C8">
        <w:rPr>
          <w:rFonts w:ascii="Cambria Math" w:hAnsi="Cambria Math"/>
          <w:i/>
        </w:rPr>
        <w:t>F</w:t>
      </w:r>
      <w:r>
        <w:t xml:space="preserve"> – Transition regime correction factor.</w:t>
      </w:r>
    </w:p>
    <w:p w14:paraId="2B8D9EE0" w14:textId="77777777" w:rsidR="00E443C8" w:rsidRDefault="00E443C8" w:rsidP="00C14400">
      <w:r w:rsidRPr="00E443C8">
        <w:rPr>
          <w:rFonts w:ascii="Cambria Math" w:hAnsi="Cambria Math"/>
          <w:i/>
        </w:rPr>
        <w:t>f</w:t>
      </w:r>
      <w:r>
        <w:t xml:space="preserve"> – Subscript used to denote the final state</w:t>
      </w:r>
    </w:p>
    <w:p w14:paraId="7314C54C" w14:textId="77777777" w:rsidR="00E443C8" w:rsidRDefault="00E443C8" w:rsidP="00C14400">
      <w:proofErr w:type="spellStart"/>
      <w:r w:rsidRPr="00E443C8">
        <w:rPr>
          <w:rFonts w:ascii="Cambria Math" w:hAnsi="Cambria Math"/>
          <w:i/>
        </w:rPr>
        <w:t>i</w:t>
      </w:r>
      <w:proofErr w:type="spellEnd"/>
      <w:r>
        <w:t xml:space="preserve"> – Subscript used to denote the component under investigation</w:t>
      </w:r>
    </w:p>
    <w:p w14:paraId="7EE1F136" w14:textId="77777777" w:rsidR="00E443C8" w:rsidRDefault="00D24F05" w:rsidP="00C14400">
      <w:r w:rsidRPr="00D24F05">
        <w:rPr>
          <w:i/>
        </w:rPr>
        <w:t>j</w:t>
      </w:r>
      <w:r>
        <w:t xml:space="preserve"> – Subscript used to denote the charge of the particle</w:t>
      </w:r>
    </w:p>
    <w:p w14:paraId="3CEFA784" w14:textId="77777777" w:rsidR="00D24F05" w:rsidRDefault="00C05CCA" w:rsidP="00C14400">
      <w:pPr>
        <w:rPr>
          <w:rFonts w:ascii="Cambria Math" w:hAnsi="Cambria Math"/>
          <w:i/>
        </w:rPr>
      </w:pPr>
      <w:proofErr w:type="spellStart"/>
      <w:r w:rsidRPr="00C05CCA">
        <w:rPr>
          <w:rFonts w:ascii="Cambria Math" w:hAnsi="Cambria Math"/>
          <w:i/>
        </w:rPr>
        <w:t>K</w:t>
      </w:r>
      <w:r w:rsidRPr="00E961BC">
        <w:rPr>
          <w:rFonts w:ascii="Cambria Math" w:hAnsi="Cambria Math"/>
          <w:i/>
        </w:rPr>
        <w:t>n</w:t>
      </w:r>
      <w:r w:rsidRPr="00C05CCA">
        <w:rPr>
          <w:rFonts w:ascii="Cambria Math" w:hAnsi="Cambria Math"/>
          <w:i/>
          <w:vertAlign w:val="subscript"/>
        </w:rPr>
        <w:t>i</w:t>
      </w:r>
      <w:proofErr w:type="spellEnd"/>
      <w:r>
        <w:t xml:space="preserve"> – Knudsen number of </w:t>
      </w:r>
      <w:proofErr w:type="gramStart"/>
      <w:r>
        <w:t>component</w:t>
      </w:r>
      <w:proofErr w:type="gramEnd"/>
      <w:r>
        <w:t xml:space="preserve"> </w:t>
      </w:r>
      <w:proofErr w:type="spellStart"/>
      <w:r w:rsidRPr="00C05CCA">
        <w:rPr>
          <w:rFonts w:ascii="Cambria Math" w:hAnsi="Cambria Math"/>
          <w:i/>
        </w:rPr>
        <w:t>i</w:t>
      </w:r>
      <w:proofErr w:type="spellEnd"/>
    </w:p>
    <w:p w14:paraId="50FA5961" w14:textId="77777777" w:rsidR="00E961BC" w:rsidRPr="00E961BC" w:rsidRDefault="00E961BC" w:rsidP="00C14400">
      <w:pPr>
        <w:rPr>
          <w:rFonts w:cs="Times New Roman"/>
        </w:rPr>
      </w:pPr>
      <w:r>
        <w:rPr>
          <w:rFonts w:ascii="Cambria Math" w:hAnsi="Cambria Math"/>
          <w:i/>
        </w:rPr>
        <w:t xml:space="preserve">Kr-85 </w:t>
      </w:r>
      <w:r w:rsidRPr="00E961BC">
        <w:rPr>
          <w:rFonts w:cs="Times New Roman"/>
        </w:rPr>
        <w:t>– Subscript used to denote the size distribution exiting the neutralizer</w:t>
      </w:r>
    </w:p>
    <w:p w14:paraId="2F43C3B1" w14:textId="77777777" w:rsidR="00C05CCA" w:rsidRDefault="00C05CCA" w:rsidP="00C14400">
      <w:r w:rsidRPr="00C05CCA">
        <w:rPr>
          <w:rFonts w:ascii="Cambria Math" w:hAnsi="Cambria Math"/>
          <w:i/>
        </w:rPr>
        <w:t>M</w:t>
      </w:r>
      <w:r w:rsidRPr="00C05CCA">
        <w:rPr>
          <w:rFonts w:ascii="Cambria Math" w:hAnsi="Cambria Math"/>
          <w:i/>
          <w:vertAlign w:val="subscript"/>
        </w:rPr>
        <w:t>i</w:t>
      </w:r>
      <w:r>
        <w:t xml:space="preserve"> – Molecular weight of component </w:t>
      </w:r>
      <w:proofErr w:type="spellStart"/>
      <w:r w:rsidRPr="00C05CCA">
        <w:rPr>
          <w:rFonts w:ascii="Cambria Math" w:hAnsi="Cambria Math"/>
          <w:i/>
        </w:rPr>
        <w:t>i</w:t>
      </w:r>
      <w:proofErr w:type="spellEnd"/>
    </w:p>
    <w:p w14:paraId="55B734E4" w14:textId="77777777" w:rsidR="00C05CCA" w:rsidRDefault="002F60E5" w:rsidP="00C14400">
      <w:r w:rsidRPr="002F60E5">
        <w:rPr>
          <w:rFonts w:ascii="Cambria Math" w:hAnsi="Cambria Math"/>
          <w:i/>
        </w:rPr>
        <w:t>N</w:t>
      </w:r>
      <w:r>
        <w:t xml:space="preserve"> – Number of particles in the inlet size distribution</w:t>
      </w:r>
    </w:p>
    <w:p w14:paraId="7074F5A1" w14:textId="77777777" w:rsidR="002F60E5" w:rsidRDefault="002F60E5" w:rsidP="00C14400">
      <w:proofErr w:type="spellStart"/>
      <w:r w:rsidRPr="002F60E5">
        <w:rPr>
          <w:rFonts w:ascii="Cambria Math" w:hAnsi="Cambria Math"/>
          <w:i/>
        </w:rPr>
        <w:t>N</w:t>
      </w:r>
      <w:r w:rsidRPr="002F60E5">
        <w:rPr>
          <w:rFonts w:ascii="Cambria Math" w:hAnsi="Cambria Math"/>
          <w:i/>
          <w:vertAlign w:val="subscript"/>
        </w:rPr>
        <w:t>exp</w:t>
      </w:r>
      <w:proofErr w:type="spellEnd"/>
      <w:r>
        <w:t xml:space="preserve"> – Number of particles in the size distribution exiting the heater</w:t>
      </w:r>
    </w:p>
    <w:p w14:paraId="5200036B" w14:textId="77777777" w:rsidR="00F344B2" w:rsidRDefault="00F344B2" w:rsidP="00C14400">
      <w:r w:rsidRPr="00F344B2">
        <w:rPr>
          <w:rFonts w:ascii="Cambria Math" w:hAnsi="Cambria Math"/>
          <w:i/>
        </w:rPr>
        <w:t>N</w:t>
      </w:r>
      <w:r w:rsidRPr="00F344B2">
        <w:rPr>
          <w:rFonts w:ascii="Cambria Math" w:hAnsi="Cambria Math"/>
          <w:i/>
          <w:vertAlign w:val="subscript"/>
        </w:rPr>
        <w:t>p</w:t>
      </w:r>
      <w:r>
        <w:t xml:space="preserve"> – Total number of particles in the inlet size distribution</w:t>
      </w:r>
    </w:p>
    <w:p w14:paraId="6590094B" w14:textId="77777777" w:rsidR="002F60E5" w:rsidRDefault="002F60E5" w:rsidP="00C14400">
      <w:r w:rsidRPr="002F60E5">
        <w:rPr>
          <w:rFonts w:ascii="Cambria Math" w:hAnsi="Cambria Math"/>
          <w:i/>
        </w:rPr>
        <w:t>N</w:t>
      </w:r>
      <w:r w:rsidRPr="002F60E5">
        <w:rPr>
          <w:rFonts w:ascii="Cambria Math" w:hAnsi="Cambria Math"/>
          <w:i/>
          <w:vertAlign w:val="subscript"/>
        </w:rPr>
        <w:t>1</w:t>
      </w:r>
      <w:r>
        <w:t xml:space="preserve"> – Number of particles in the size distribution exiting DMA1</w:t>
      </w:r>
    </w:p>
    <w:p w14:paraId="61C171E3" w14:textId="77777777" w:rsidR="002F60E5" w:rsidRDefault="002F60E5" w:rsidP="00C14400">
      <w:r w:rsidRPr="002F60E5">
        <w:rPr>
          <w:rFonts w:ascii="Cambria Math" w:hAnsi="Cambria Math"/>
          <w:i/>
        </w:rPr>
        <w:lastRenderedPageBreak/>
        <w:t>N</w:t>
      </w:r>
      <w:r w:rsidRPr="002F60E5">
        <w:rPr>
          <w:rFonts w:ascii="Cambria Math" w:hAnsi="Cambria Math"/>
          <w:i/>
          <w:vertAlign w:val="subscript"/>
        </w:rPr>
        <w:t>2</w:t>
      </w:r>
      <w:r>
        <w:t xml:space="preserve"> – Number of particles in the size distribution exiting DMA2</w:t>
      </w:r>
    </w:p>
    <w:p w14:paraId="553B0407" w14:textId="77777777" w:rsidR="002F60E5" w:rsidRDefault="00F344B2" w:rsidP="00C14400">
      <w:r>
        <w:t xml:space="preserve">P* - Vapor pressure of component </w:t>
      </w:r>
      <w:proofErr w:type="spellStart"/>
      <w:r w:rsidRPr="00F344B2">
        <w:rPr>
          <w:rFonts w:ascii="Cambria Math" w:hAnsi="Cambria Math"/>
          <w:i/>
        </w:rPr>
        <w:t>i</w:t>
      </w:r>
      <w:proofErr w:type="spellEnd"/>
      <w:r>
        <w:t xml:space="preserve"> </w:t>
      </w:r>
    </w:p>
    <w:p w14:paraId="54167654" w14:textId="77777777" w:rsidR="00F344B2" w:rsidRDefault="00F344B2" w:rsidP="00C14400">
      <w:proofErr w:type="spellStart"/>
      <w:r w:rsidRPr="00F344B2">
        <w:rPr>
          <w:rFonts w:ascii="Cambria Math" w:hAnsi="Cambria Math"/>
          <w:i/>
        </w:rPr>
        <w:t>Q</w:t>
      </w:r>
      <w:r w:rsidRPr="00F344B2">
        <w:rPr>
          <w:rFonts w:ascii="Cambria Math" w:hAnsi="Cambria Math"/>
          <w:i/>
          <w:vertAlign w:val="subscript"/>
        </w:rPr>
        <w:t>a</w:t>
      </w:r>
      <w:proofErr w:type="spellEnd"/>
      <w:r>
        <w:t xml:space="preserve"> – Aerosol inlet flow to DMA</w:t>
      </w:r>
    </w:p>
    <w:p w14:paraId="7CC66308" w14:textId="77777777" w:rsidR="00F344B2" w:rsidRDefault="00F344B2" w:rsidP="00C14400">
      <w:r w:rsidRPr="00F344B2">
        <w:rPr>
          <w:rFonts w:ascii="Cambria Math" w:hAnsi="Cambria Math"/>
          <w:i/>
        </w:rPr>
        <w:t>Q</w:t>
      </w:r>
      <w:r w:rsidRPr="00F344B2">
        <w:rPr>
          <w:rFonts w:ascii="Cambria Math" w:hAnsi="Cambria Math"/>
          <w:i/>
          <w:vertAlign w:val="subscript"/>
        </w:rPr>
        <w:t>c</w:t>
      </w:r>
      <w:r>
        <w:t xml:space="preserve"> – Sheath inlet flow to DMA</w:t>
      </w:r>
    </w:p>
    <w:p w14:paraId="61D22709" w14:textId="77777777" w:rsidR="00F344B2" w:rsidRDefault="00F344B2" w:rsidP="00C14400">
      <w:proofErr w:type="spellStart"/>
      <w:r w:rsidRPr="00F344B2">
        <w:rPr>
          <w:rFonts w:ascii="Cambria Math" w:hAnsi="Cambria Math"/>
          <w:i/>
        </w:rPr>
        <w:t>Q</w:t>
      </w:r>
      <w:r w:rsidRPr="00F344B2">
        <w:rPr>
          <w:rFonts w:ascii="Cambria Math" w:hAnsi="Cambria Math"/>
          <w:i/>
          <w:vertAlign w:val="subscript"/>
        </w:rPr>
        <w:t>m</w:t>
      </w:r>
      <w:proofErr w:type="spellEnd"/>
      <w:r>
        <w:t xml:space="preserve"> – Sheath outlet flow from DMA</w:t>
      </w:r>
    </w:p>
    <w:p w14:paraId="56306B4B" w14:textId="77777777" w:rsidR="00F344B2" w:rsidRDefault="00F344B2" w:rsidP="00C14400">
      <w:r w:rsidRPr="00F344B2">
        <w:rPr>
          <w:rFonts w:ascii="Cambria Math" w:hAnsi="Cambria Math"/>
          <w:i/>
        </w:rPr>
        <w:t>Q</w:t>
      </w:r>
      <w:r w:rsidRPr="00F344B2">
        <w:rPr>
          <w:rFonts w:ascii="Cambria Math" w:hAnsi="Cambria Math"/>
          <w:i/>
          <w:vertAlign w:val="subscript"/>
        </w:rPr>
        <w:t>s</w:t>
      </w:r>
      <w:r>
        <w:t xml:space="preserve"> – Aerosol outlet flow from DMA</w:t>
      </w:r>
    </w:p>
    <w:p w14:paraId="1A911316" w14:textId="77777777" w:rsidR="00F344B2" w:rsidRDefault="00C97DDF" w:rsidP="00C14400">
      <w:r w:rsidRPr="00C97DDF">
        <w:rPr>
          <w:rFonts w:ascii="Cambria Math" w:hAnsi="Cambria Math"/>
          <w:i/>
        </w:rPr>
        <w:t>R</w:t>
      </w:r>
      <w:r>
        <w:t xml:space="preserve"> – Gas constant</w:t>
      </w:r>
    </w:p>
    <w:p w14:paraId="4A95E99D" w14:textId="77777777" w:rsidR="00C97DDF" w:rsidRDefault="00C97DDF" w:rsidP="00C14400">
      <w:r w:rsidRPr="00C97DDF">
        <w:rPr>
          <w:rFonts w:ascii="Cambria Math" w:hAnsi="Cambria Math"/>
          <w:i/>
        </w:rPr>
        <w:t>T</w:t>
      </w:r>
      <w:r>
        <w:t xml:space="preserve"> – Temperature</w:t>
      </w:r>
    </w:p>
    <w:p w14:paraId="743015D5" w14:textId="77777777" w:rsidR="00E961BC" w:rsidRDefault="00E961BC" w:rsidP="00C14400">
      <w:r w:rsidRPr="00E961BC">
        <w:rPr>
          <w:rFonts w:ascii="Cambria Math" w:hAnsi="Cambria Math"/>
          <w:i/>
        </w:rPr>
        <w:t>TAO</w:t>
      </w:r>
      <w:r>
        <w:t xml:space="preserve"> – Subscript used to denote the hypothesized size distribution calculated by TAO</w:t>
      </w:r>
    </w:p>
    <w:p w14:paraId="73C2787F" w14:textId="77777777" w:rsidR="00C97DDF" w:rsidRDefault="00C97DDF" w:rsidP="00C14400">
      <w:r w:rsidRPr="006A524C">
        <w:rPr>
          <w:rFonts w:ascii="Cambria Math" w:hAnsi="Cambria Math"/>
          <w:i/>
        </w:rPr>
        <w:t>t</w:t>
      </w:r>
      <w:r>
        <w:t xml:space="preserve"> – time </w:t>
      </w:r>
      <w:r w:rsidR="006A524C">
        <w:t>at exit of entire system</w:t>
      </w:r>
    </w:p>
    <w:p w14:paraId="0695A48A" w14:textId="77777777" w:rsidR="006A524C" w:rsidRDefault="006A524C" w:rsidP="00C14400">
      <w:r w:rsidRPr="006A524C">
        <w:rPr>
          <w:rFonts w:ascii="Cambria Math" w:hAnsi="Cambria Math"/>
          <w:i/>
        </w:rPr>
        <w:t>t’</w:t>
      </w:r>
      <w:r>
        <w:t xml:space="preserve"> – time in heater</w:t>
      </w:r>
    </w:p>
    <w:p w14:paraId="35D5F41C" w14:textId="77777777" w:rsidR="00C97DDF" w:rsidRDefault="00E961BC" w:rsidP="00C14400">
      <w:r w:rsidRPr="00E961BC">
        <w:rPr>
          <w:rFonts w:ascii="Cambria Math" w:hAnsi="Cambria Math"/>
          <w:i/>
        </w:rPr>
        <w:t>Z</w:t>
      </w:r>
      <w:r w:rsidRPr="00E961BC">
        <w:rPr>
          <w:rFonts w:ascii="Cambria Math" w:hAnsi="Cambria Math"/>
          <w:i/>
          <w:vertAlign w:val="subscript"/>
        </w:rPr>
        <w:t>1</w:t>
      </w:r>
      <w:r>
        <w:t xml:space="preserve"> – Mobility of a single charged particle</w:t>
      </w:r>
    </w:p>
    <w:p w14:paraId="6C02B5EE" w14:textId="77777777" w:rsidR="00E961BC" w:rsidRDefault="00E961BC" w:rsidP="00C14400">
      <w:r w:rsidRPr="00E961BC">
        <w:rPr>
          <w:rFonts w:ascii="Cambria Math" w:hAnsi="Cambria Math"/>
          <w:i/>
        </w:rPr>
        <w:t>Z</w:t>
      </w:r>
      <w:r w:rsidRPr="00E961BC">
        <w:rPr>
          <w:rFonts w:ascii="Cambria Math" w:hAnsi="Cambria Math"/>
          <w:i/>
          <w:vertAlign w:val="subscript"/>
        </w:rPr>
        <w:t>2</w:t>
      </w:r>
      <w:r>
        <w:t xml:space="preserve"> – Mobility of a doubly charged particle</w:t>
      </w:r>
    </w:p>
    <w:p w14:paraId="3F0A4A8C" w14:textId="77777777" w:rsidR="00E961BC" w:rsidRDefault="00E961BC" w:rsidP="00C14400">
      <w:r w:rsidRPr="00E961BC">
        <w:rPr>
          <w:rFonts w:ascii="Cambria Math" w:hAnsi="Cambria Math"/>
          <w:i/>
        </w:rPr>
        <w:t>Z</w:t>
      </w:r>
      <w:r w:rsidRPr="00E961BC">
        <w:rPr>
          <w:rFonts w:ascii="Cambria Math" w:hAnsi="Cambria Math"/>
          <w:i/>
          <w:vertAlign w:val="subscript"/>
        </w:rPr>
        <w:t>2-1</w:t>
      </w:r>
      <w:r>
        <w:t xml:space="preserve"> – Mobility of doubly charged particle in single charge diameter space</w:t>
      </w:r>
    </w:p>
    <w:p w14:paraId="08DAA3AC" w14:textId="77777777" w:rsidR="00E961BC" w:rsidRDefault="00E961BC" w:rsidP="00C14400">
      <w:pPr>
        <w:rPr>
          <w:rFonts w:eastAsiaTheme="minorEastAsia"/>
        </w:rPr>
      </w:pP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p</m:t>
            </m:r>
          </m:sub>
        </m:sSub>
      </m:oMath>
      <w:r>
        <w:rPr>
          <w:rFonts w:eastAsiaTheme="minorEastAsia"/>
        </w:rPr>
        <w:t xml:space="preserve"> -  Non-dimensional mobility</w:t>
      </w:r>
    </w:p>
    <w:p w14:paraId="46C5A38C" w14:textId="77777777" w:rsidR="00E961BC" w:rsidRDefault="00E961BC" w:rsidP="00C14400">
      <w:pPr>
        <w:rPr>
          <w:rFonts w:eastAsiaTheme="minorEastAsia"/>
        </w:rPr>
      </w:pPr>
      <w:proofErr w:type="spellStart"/>
      <w:r>
        <w:rPr>
          <w:rFonts w:eastAsiaTheme="minorEastAsia"/>
        </w:rPr>
        <w:t>Z</w:t>
      </w:r>
      <w:r w:rsidRPr="00E961BC">
        <w:rPr>
          <w:rFonts w:eastAsiaTheme="minorEastAsia"/>
          <w:vertAlign w:val="subscript"/>
        </w:rPr>
        <w:t>p</w:t>
      </w:r>
      <w:proofErr w:type="spellEnd"/>
      <w:r>
        <w:rPr>
          <w:rFonts w:eastAsiaTheme="minorEastAsia"/>
        </w:rPr>
        <w:t>* - Mobility at the centroid of the DMA transfer function</w:t>
      </w:r>
    </w:p>
    <w:p w14:paraId="27201631" w14:textId="77777777" w:rsidR="00E961BC" w:rsidRDefault="00E961BC" w:rsidP="00C14400">
      <w:pPr>
        <w:rPr>
          <w:rFonts w:ascii="Cambria Math" w:eastAsiaTheme="minorEastAsia" w:hAnsi="Cambria Math"/>
        </w:rPr>
      </w:pPr>
      <w:r w:rsidRPr="00E961BC">
        <w:rPr>
          <w:rFonts w:ascii="Cambria Math" w:eastAsiaTheme="minorEastAsia" w:hAnsi="Cambria Math"/>
          <w:i/>
        </w:rPr>
        <w:t>α</w:t>
      </w:r>
      <w:r>
        <w:rPr>
          <w:rFonts w:ascii="Cambria Math" w:eastAsiaTheme="minorEastAsia" w:hAnsi="Cambria Math"/>
        </w:rPr>
        <w:t xml:space="preserve"> – </w:t>
      </w:r>
      <w:r w:rsidRPr="00E961BC">
        <w:rPr>
          <w:rFonts w:eastAsiaTheme="minorEastAsia" w:cs="Times New Roman"/>
        </w:rPr>
        <w:t>Subscript used to denote the diameter ratio</w:t>
      </w:r>
      <w:r>
        <w:rPr>
          <w:rFonts w:ascii="Cambria Math" w:eastAsiaTheme="minorEastAsia" w:hAnsi="Cambria Math"/>
        </w:rPr>
        <w:t xml:space="preserve"> </w:t>
      </w:r>
    </w:p>
    <w:p w14:paraId="15001199" w14:textId="77777777" w:rsidR="00E961BC" w:rsidRDefault="00E961BC" w:rsidP="00C14400">
      <w:pPr>
        <w:rPr>
          <w:rFonts w:ascii="Cambria Math" w:eastAsiaTheme="minorEastAsia" w:hAnsi="Cambria Math"/>
        </w:rPr>
      </w:pPr>
      <w:r w:rsidRPr="00E961BC">
        <w:rPr>
          <w:rFonts w:ascii="Cambria Math" w:eastAsiaTheme="minorEastAsia" w:hAnsi="Cambria Math"/>
          <w:i/>
        </w:rPr>
        <w:t>α</w:t>
      </w:r>
      <w:proofErr w:type="spellStart"/>
      <w:r w:rsidRPr="00E961BC">
        <w:rPr>
          <w:rFonts w:ascii="Cambria Math" w:eastAsiaTheme="minorEastAsia" w:hAnsi="Cambria Math"/>
          <w:i/>
          <w:vertAlign w:val="subscript"/>
        </w:rPr>
        <w:t>i</w:t>
      </w:r>
      <w:proofErr w:type="spellEnd"/>
      <w:r>
        <w:rPr>
          <w:rFonts w:ascii="Cambria Math" w:eastAsiaTheme="minorEastAsia" w:hAnsi="Cambria Math"/>
        </w:rPr>
        <w:t xml:space="preserve"> – </w:t>
      </w:r>
      <w:r w:rsidRPr="00E961BC">
        <w:rPr>
          <w:rFonts w:eastAsiaTheme="minorEastAsia" w:cs="Times New Roman"/>
        </w:rPr>
        <w:t>Mass accommodation coefficient of component</w:t>
      </w:r>
      <w:r>
        <w:rPr>
          <w:rFonts w:ascii="Cambria Math" w:eastAsiaTheme="minorEastAsia" w:hAnsi="Cambria Math"/>
        </w:rPr>
        <w:t xml:space="preserve"> </w:t>
      </w:r>
      <w:proofErr w:type="spellStart"/>
      <w:r w:rsidRPr="00E961BC">
        <w:rPr>
          <w:rFonts w:ascii="Cambria Math" w:eastAsiaTheme="minorEastAsia" w:hAnsi="Cambria Math"/>
          <w:i/>
        </w:rPr>
        <w:t>i</w:t>
      </w:r>
      <w:proofErr w:type="spellEnd"/>
    </w:p>
    <w:p w14:paraId="3EAFCC1C" w14:textId="77777777" w:rsidR="00E961BC" w:rsidRDefault="00E961BC" w:rsidP="00C14400">
      <w:r w:rsidRPr="00E961BC">
        <w:rPr>
          <w:rFonts w:ascii="Cambria Math" w:hAnsi="Cambria Math"/>
          <w:i/>
        </w:rPr>
        <w:t>β</w:t>
      </w:r>
      <w:r>
        <w:t xml:space="preserve"> – Non-dimensional flow used in DMA transfer function</w:t>
      </w:r>
    </w:p>
    <w:p w14:paraId="79362A7B" w14:textId="77777777" w:rsidR="00E961BC" w:rsidRDefault="00E961BC" w:rsidP="00C14400">
      <w:r w:rsidRPr="00E961BC">
        <w:rPr>
          <w:rFonts w:ascii="Cambria Math" w:hAnsi="Cambria Math"/>
          <w:i/>
        </w:rPr>
        <w:t>β</w:t>
      </w:r>
      <w:r>
        <w:t xml:space="preserve"> – Subscript used to denote the ratio of the Kelvin effects</w:t>
      </w:r>
    </w:p>
    <w:p w14:paraId="2E08A87F" w14:textId="77777777" w:rsidR="00E961BC" w:rsidRDefault="00E961BC" w:rsidP="00C14400">
      <w:r w:rsidRPr="00E961BC">
        <w:rPr>
          <w:rFonts w:ascii="Cambria Math" w:hAnsi="Cambria Math"/>
          <w:i/>
        </w:rPr>
        <w:t>γ</w:t>
      </w:r>
      <w:r>
        <w:t xml:space="preserve"> – Subscript used to denote the ratio of the transition correction factors</w:t>
      </w:r>
    </w:p>
    <w:p w14:paraId="1D34D4B3" w14:textId="77777777" w:rsidR="00E961BC" w:rsidRDefault="00E961BC" w:rsidP="00C14400">
      <w:r>
        <w:rPr>
          <w:rFonts w:ascii="Cambria Math" w:hAnsi="Cambria Math"/>
        </w:rPr>
        <w:t>δ</w:t>
      </w:r>
      <w:r>
        <w:t xml:space="preserve"> – Non-dimensional flow used in DMA transfer function</w:t>
      </w:r>
    </w:p>
    <w:p w14:paraId="0ED09239" w14:textId="77777777" w:rsidR="00E961BC" w:rsidRDefault="00E961BC" w:rsidP="00C14400">
      <w:r>
        <w:rPr>
          <w:rFonts w:ascii="Cambria Math" w:hAnsi="Cambria Math"/>
        </w:rPr>
        <w:t>δ</w:t>
      </w:r>
      <w:r>
        <w:t xml:space="preserve"> – Subscript used to denote the conversion of the second charge to first charge diameter space</w:t>
      </w:r>
    </w:p>
    <w:p w14:paraId="72865B36" w14:textId="77777777" w:rsidR="00E961BC" w:rsidRDefault="003B1B58" w:rsidP="00C14400">
      <w:r w:rsidRPr="003B1B58">
        <w:rPr>
          <w:rFonts w:ascii="Cambria Math" w:hAnsi="Cambria Math"/>
          <w:i/>
        </w:rPr>
        <w:t>η</w:t>
      </w:r>
      <w:r>
        <w:t xml:space="preserve"> – Fraction of particles receiving a charge</w:t>
      </w:r>
    </w:p>
    <w:p w14:paraId="276623E6" w14:textId="77777777" w:rsidR="003B1B58" w:rsidRDefault="0036484E" w:rsidP="00C14400">
      <w:r>
        <w:rPr>
          <w:rFonts w:ascii="Cambria Math" w:hAnsi="Cambria Math"/>
        </w:rPr>
        <w:t>θ</w:t>
      </w:r>
      <w:r>
        <w:t xml:space="preserve"> – Non-dimensional time</w:t>
      </w:r>
    </w:p>
    <w:p w14:paraId="147BFD02" w14:textId="77777777" w:rsidR="0036484E" w:rsidRDefault="0036484E" w:rsidP="00C14400">
      <w:proofErr w:type="spellStart"/>
      <w:r w:rsidRPr="0036484E">
        <w:rPr>
          <w:rFonts w:ascii="Cambria Math" w:hAnsi="Cambria Math"/>
          <w:i/>
        </w:rPr>
        <w:t>λ</w:t>
      </w:r>
      <w:r w:rsidRPr="0036484E">
        <w:rPr>
          <w:rFonts w:ascii="Cambria Math" w:hAnsi="Cambria Math"/>
          <w:i/>
          <w:vertAlign w:val="subscript"/>
        </w:rPr>
        <w:t>air</w:t>
      </w:r>
      <w:proofErr w:type="spellEnd"/>
      <w:r>
        <w:t xml:space="preserve"> – Mean free path in air</w:t>
      </w:r>
    </w:p>
    <w:p w14:paraId="73A5F005" w14:textId="77777777" w:rsidR="0036484E" w:rsidRDefault="0036484E" w:rsidP="00C14400">
      <w:r w:rsidRPr="00FC6957">
        <w:rPr>
          <w:rFonts w:ascii="Cambria Math" w:hAnsi="Cambria Math"/>
          <w:i/>
        </w:rPr>
        <w:lastRenderedPageBreak/>
        <w:t>μ</w:t>
      </w:r>
      <w:r>
        <w:t xml:space="preserve"> – Viscosity of air</w:t>
      </w:r>
    </w:p>
    <w:p w14:paraId="3FF5D5CB" w14:textId="77777777" w:rsidR="0036484E" w:rsidRDefault="0036484E" w:rsidP="00C14400">
      <w:proofErr w:type="spellStart"/>
      <w:r w:rsidRPr="00FC6957">
        <w:rPr>
          <w:rFonts w:ascii="Cambria Math" w:hAnsi="Cambria Math"/>
          <w:i/>
        </w:rPr>
        <w:t>μ</w:t>
      </w:r>
      <w:r w:rsidRPr="00FC6957">
        <w:rPr>
          <w:rFonts w:ascii="Cambria Math" w:hAnsi="Cambria Math"/>
          <w:i/>
          <w:vertAlign w:val="subscript"/>
        </w:rPr>
        <w:t>g</w:t>
      </w:r>
      <w:proofErr w:type="spellEnd"/>
      <w:r>
        <w:t xml:space="preserve"> </w:t>
      </w:r>
      <w:r w:rsidR="00FC6957">
        <w:t>–</w:t>
      </w:r>
      <w:r>
        <w:t xml:space="preserve"> </w:t>
      </w:r>
      <w:r w:rsidR="00FC6957">
        <w:t>Mean of the log-normal size distribution</w:t>
      </w:r>
    </w:p>
    <w:p w14:paraId="5517AED4" w14:textId="77777777" w:rsidR="00FC6957" w:rsidRDefault="00FC6957" w:rsidP="00C14400">
      <w:proofErr w:type="spellStart"/>
      <w:r w:rsidRPr="00FC6957">
        <w:rPr>
          <w:rFonts w:ascii="Cambria Math" w:hAnsi="Cambria Math"/>
          <w:i/>
        </w:rPr>
        <w:t>ρ</w:t>
      </w:r>
      <w:r w:rsidRPr="00FC6957">
        <w:rPr>
          <w:rFonts w:ascii="Cambria Math" w:hAnsi="Cambria Math"/>
          <w:i/>
          <w:vertAlign w:val="subscript"/>
        </w:rPr>
        <w:t>i</w:t>
      </w:r>
      <w:proofErr w:type="spellEnd"/>
      <w:r>
        <w:t xml:space="preserve"> – Density of a particle of component </w:t>
      </w:r>
      <w:proofErr w:type="spellStart"/>
      <w:r w:rsidRPr="00FC6957">
        <w:rPr>
          <w:rFonts w:ascii="Cambria Math" w:hAnsi="Cambria Math"/>
          <w:i/>
        </w:rPr>
        <w:t>i</w:t>
      </w:r>
      <w:proofErr w:type="spellEnd"/>
    </w:p>
    <w:p w14:paraId="089ACBF1" w14:textId="77777777" w:rsidR="00FC6957" w:rsidRDefault="00182486" w:rsidP="00C14400">
      <w:proofErr w:type="spellStart"/>
      <w:r w:rsidRPr="00182486">
        <w:rPr>
          <w:rFonts w:ascii="Cambria Math" w:hAnsi="Cambria Math"/>
          <w:i/>
        </w:rPr>
        <w:t>σ</w:t>
      </w:r>
      <w:r w:rsidRPr="00182486">
        <w:rPr>
          <w:rFonts w:ascii="Cambria Math" w:hAnsi="Cambria Math"/>
          <w:i/>
          <w:vertAlign w:val="subscript"/>
        </w:rPr>
        <w:t>i</w:t>
      </w:r>
      <w:proofErr w:type="spellEnd"/>
      <w:r>
        <w:t xml:space="preserve"> – Surface tension of component </w:t>
      </w:r>
      <w:proofErr w:type="spellStart"/>
      <w:r w:rsidRPr="00182486">
        <w:rPr>
          <w:rFonts w:ascii="Cambria Math" w:hAnsi="Cambria Math"/>
          <w:i/>
        </w:rPr>
        <w:t>i</w:t>
      </w:r>
      <w:proofErr w:type="spellEnd"/>
    </w:p>
    <w:p w14:paraId="358E969F" w14:textId="77777777" w:rsidR="00182486" w:rsidRDefault="00182486" w:rsidP="00C14400">
      <w:proofErr w:type="spellStart"/>
      <w:r w:rsidRPr="00182486">
        <w:rPr>
          <w:rFonts w:ascii="Cambria Math" w:hAnsi="Cambria Math"/>
          <w:i/>
        </w:rPr>
        <w:t>σ</w:t>
      </w:r>
      <w:r w:rsidRPr="00182486">
        <w:rPr>
          <w:rFonts w:ascii="Cambria Math" w:hAnsi="Cambria Math"/>
          <w:i/>
          <w:vertAlign w:val="subscript"/>
        </w:rPr>
        <w:t>g</w:t>
      </w:r>
      <w:proofErr w:type="spellEnd"/>
      <w:r>
        <w:t xml:space="preserve"> – Standard Deviation of the log-normal size distribution</w:t>
      </w:r>
    </w:p>
    <w:p w14:paraId="3A3522D6" w14:textId="77777777" w:rsidR="00182486" w:rsidRDefault="00182486" w:rsidP="00C14400">
      <w:proofErr w:type="spellStart"/>
      <w:r w:rsidRPr="00182486">
        <w:rPr>
          <w:rFonts w:ascii="Cambria Math" w:hAnsi="Cambria Math"/>
          <w:i/>
        </w:rPr>
        <w:t>Ω</w:t>
      </w:r>
      <w:r w:rsidRPr="00182486">
        <w:rPr>
          <w:rFonts w:ascii="Cambria Math" w:hAnsi="Cambria Math"/>
          <w:i/>
          <w:vertAlign w:val="subscript"/>
        </w:rPr>
        <w:t>nd</w:t>
      </w:r>
      <w:proofErr w:type="spellEnd"/>
      <w:r>
        <w:t xml:space="preserve"> – DMA transfer function</w:t>
      </w:r>
    </w:p>
    <w:p w14:paraId="238633C0" w14:textId="77777777" w:rsidR="00182486" w:rsidRDefault="00182486" w:rsidP="00C14400"/>
    <w:p w14:paraId="6E7C1594" w14:textId="3C128B3C" w:rsidR="008248C0" w:rsidRDefault="003C7B36" w:rsidP="00456064">
      <w:pPr>
        <w:pStyle w:val="ListParagraph"/>
        <w:numPr>
          <w:ilvl w:val="0"/>
          <w:numId w:val="1"/>
        </w:numPr>
      </w:pPr>
      <w:r>
        <w:t>References</w:t>
      </w:r>
    </w:p>
    <w:p w14:paraId="2954BDE3" w14:textId="77777777" w:rsidR="003C7B36" w:rsidRDefault="003C7B36" w:rsidP="00C14400"/>
    <w:p w14:paraId="096FD51B" w14:textId="43AED6DB" w:rsidR="0055410F" w:rsidRPr="0055410F" w:rsidRDefault="0076170E" w:rsidP="00A345F5">
      <w:pPr>
        <w:rPr>
          <w:rFonts w:cs="Times New Roman"/>
          <w:noProof/>
        </w:rPr>
      </w:pPr>
      <w:r>
        <w:fldChar w:fldCharType="begin"/>
      </w:r>
      <w:r>
        <w:instrText xml:space="preserve"> ADDIN EN.REFLIST </w:instrText>
      </w:r>
      <w:r>
        <w:fldChar w:fldCharType="separate"/>
      </w:r>
      <w:bookmarkStart w:id="1" w:name="_ENREF_1"/>
      <w:r w:rsidR="0055410F" w:rsidRPr="00A345F5">
        <w:rPr>
          <w:rFonts w:cs="Times New Roman"/>
          <w:noProof/>
        </w:rPr>
        <w:t xml:space="preserve">Allen, M. D. and </w:t>
      </w:r>
      <w:r w:rsidR="00DE2A2E" w:rsidRPr="00A345F5">
        <w:rPr>
          <w:rFonts w:cs="Times New Roman"/>
          <w:noProof/>
        </w:rPr>
        <w:t xml:space="preserve">O. G. </w:t>
      </w:r>
      <w:r w:rsidR="0055410F" w:rsidRPr="00A345F5">
        <w:rPr>
          <w:rFonts w:cs="Times New Roman"/>
          <w:noProof/>
        </w:rPr>
        <w:t>Raabe.</w:t>
      </w:r>
      <w:r w:rsidR="00DE2A2E" w:rsidRPr="00A345F5">
        <w:rPr>
          <w:rFonts w:cs="Times New Roman"/>
          <w:noProof/>
        </w:rPr>
        <w:t xml:space="preserve"> </w:t>
      </w:r>
      <w:r w:rsidR="0055410F" w:rsidRPr="00A345F5">
        <w:rPr>
          <w:rFonts w:cs="Times New Roman"/>
          <w:noProof/>
        </w:rPr>
        <w:t xml:space="preserve">1985. Slip Correction Measurements of Spherical Solid Aerosol Particles in an Improved Millikan Apparatus. </w:t>
      </w:r>
      <w:r w:rsidR="0055410F" w:rsidRPr="00F93D9E">
        <w:rPr>
          <w:rFonts w:cs="Times New Roman"/>
          <w:i/>
          <w:noProof/>
        </w:rPr>
        <w:t>Aerosol Sci</w:t>
      </w:r>
      <w:r w:rsidR="00F93D9E" w:rsidRPr="00F93D9E">
        <w:rPr>
          <w:rFonts w:cs="Times New Roman"/>
          <w:i/>
          <w:noProof/>
        </w:rPr>
        <w:t>.</w:t>
      </w:r>
      <w:r w:rsidR="0055410F" w:rsidRPr="00F93D9E">
        <w:rPr>
          <w:rFonts w:cs="Times New Roman"/>
          <w:i/>
          <w:noProof/>
        </w:rPr>
        <w:t xml:space="preserve"> Tech</w:t>
      </w:r>
      <w:r w:rsidR="00F93D9E" w:rsidRPr="00F93D9E">
        <w:rPr>
          <w:rFonts w:cs="Times New Roman"/>
          <w:i/>
          <w:noProof/>
        </w:rPr>
        <w:t>.</w:t>
      </w:r>
      <w:r w:rsidR="0055410F" w:rsidRPr="00A345F5">
        <w:rPr>
          <w:rFonts w:cs="Times New Roman"/>
          <w:noProof/>
        </w:rPr>
        <w:t xml:space="preserve"> 4:269-286.</w:t>
      </w:r>
      <w:bookmarkEnd w:id="1"/>
      <w:r w:rsidR="00F93D9E">
        <w:rPr>
          <w:rFonts w:cs="Times New Roman"/>
          <w:noProof/>
        </w:rPr>
        <w:t xml:space="preserve"> </w:t>
      </w:r>
      <w:hyperlink r:id="rId20" w:history="1">
        <w:r w:rsidR="00F93D9E">
          <w:rPr>
            <w:rStyle w:val="Hyperlink"/>
            <w:rFonts w:cs="Times New Roman"/>
            <w:noProof/>
          </w:rPr>
          <w:t xml:space="preserve">DOI: </w:t>
        </w:r>
        <w:r w:rsidR="00A345F5" w:rsidRPr="00F93D9E">
          <w:rPr>
            <w:rStyle w:val="Hyperlink"/>
            <w:rFonts w:cs="Times New Roman"/>
            <w:noProof/>
          </w:rPr>
          <w:t>1</w:t>
        </w:r>
        <w:r w:rsidR="00A345F5" w:rsidRPr="00F93D9E">
          <w:rPr>
            <w:rStyle w:val="Hyperlink"/>
            <w:rFonts w:cs="Times New Roman"/>
            <w:noProof/>
          </w:rPr>
          <w:t>0</w:t>
        </w:r>
        <w:r w:rsidR="00A345F5" w:rsidRPr="00F93D9E">
          <w:rPr>
            <w:rStyle w:val="Hyperlink"/>
            <w:rFonts w:cs="Times New Roman"/>
            <w:noProof/>
          </w:rPr>
          <w:t>.10</w:t>
        </w:r>
        <w:r w:rsidR="00A345F5" w:rsidRPr="00F93D9E">
          <w:rPr>
            <w:rStyle w:val="Hyperlink"/>
            <w:rFonts w:cs="Times New Roman"/>
            <w:noProof/>
          </w:rPr>
          <w:t>8</w:t>
        </w:r>
        <w:r w:rsidR="00A345F5" w:rsidRPr="00F93D9E">
          <w:rPr>
            <w:rStyle w:val="Hyperlink"/>
            <w:rFonts w:cs="Times New Roman"/>
            <w:noProof/>
          </w:rPr>
          <w:t>0/0</w:t>
        </w:r>
        <w:r w:rsidR="00A345F5" w:rsidRPr="00F93D9E">
          <w:rPr>
            <w:rStyle w:val="Hyperlink"/>
            <w:rFonts w:cs="Times New Roman"/>
            <w:noProof/>
          </w:rPr>
          <w:t>2</w:t>
        </w:r>
        <w:r w:rsidR="00A345F5" w:rsidRPr="00F93D9E">
          <w:rPr>
            <w:rStyle w:val="Hyperlink"/>
            <w:rFonts w:cs="Times New Roman"/>
            <w:noProof/>
          </w:rPr>
          <w:t>786828508959055</w:t>
        </w:r>
      </w:hyperlink>
      <w:r w:rsidR="00D13A6B">
        <w:rPr>
          <w:rFonts w:cs="Times New Roman"/>
          <w:noProof/>
        </w:rPr>
        <w:t>.</w:t>
      </w:r>
    </w:p>
    <w:p w14:paraId="5BFF33F6" w14:textId="1A5BA64F" w:rsidR="0055410F" w:rsidRPr="0055410F" w:rsidRDefault="0055410F" w:rsidP="0055410F">
      <w:pPr>
        <w:spacing w:after="240" w:line="240" w:lineRule="auto"/>
        <w:rPr>
          <w:rFonts w:cs="Times New Roman"/>
          <w:noProof/>
        </w:rPr>
      </w:pPr>
      <w:bookmarkStart w:id="2" w:name="_ENREF_2"/>
      <w:r w:rsidRPr="0055410F">
        <w:rPr>
          <w:rFonts w:cs="Times New Roman"/>
          <w:noProof/>
        </w:rPr>
        <w:t>Baron, P. A.</w:t>
      </w:r>
      <w:r w:rsidR="00DE2A2E">
        <w:rPr>
          <w:rFonts w:cs="Times New Roman"/>
          <w:noProof/>
        </w:rPr>
        <w:t xml:space="preserve"> </w:t>
      </w:r>
      <w:r w:rsidRPr="0055410F">
        <w:rPr>
          <w:rFonts w:cs="Times New Roman"/>
          <w:noProof/>
        </w:rPr>
        <w:t xml:space="preserve">2001. </w:t>
      </w:r>
      <w:r w:rsidRPr="00642A41">
        <w:rPr>
          <w:rFonts w:cs="Times New Roman"/>
          <w:i/>
          <w:noProof/>
        </w:rPr>
        <w:t>Aerosol measurement principles, techniques, and applications</w:t>
      </w:r>
      <w:r w:rsidRPr="0055410F">
        <w:rPr>
          <w:rFonts w:cs="Times New Roman"/>
          <w:noProof/>
        </w:rPr>
        <w:t xml:space="preserve">. </w:t>
      </w:r>
      <w:r w:rsidR="00DE2A2E">
        <w:rPr>
          <w:rFonts w:cs="Times New Roman"/>
          <w:noProof/>
        </w:rPr>
        <w:t xml:space="preserve">New York: </w:t>
      </w:r>
      <w:r w:rsidRPr="0055410F">
        <w:rPr>
          <w:rFonts w:cs="Times New Roman"/>
          <w:noProof/>
        </w:rPr>
        <w:t>Wiley.</w:t>
      </w:r>
      <w:bookmarkEnd w:id="2"/>
    </w:p>
    <w:p w14:paraId="132B3130" w14:textId="0BB74666" w:rsidR="0055410F" w:rsidRPr="0055410F" w:rsidRDefault="0055410F" w:rsidP="00DE2A2E">
      <w:pPr>
        <w:rPr>
          <w:rFonts w:cs="Times New Roman"/>
        </w:rPr>
      </w:pPr>
      <w:bookmarkStart w:id="3" w:name="_ENREF_3"/>
      <w:r w:rsidRPr="0055410F">
        <w:rPr>
          <w:rFonts w:cs="Times New Roman"/>
          <w:noProof/>
        </w:rPr>
        <w:t xml:space="preserve">Bilde, M., </w:t>
      </w:r>
      <w:r w:rsidR="00DE2A2E">
        <w:rPr>
          <w:rFonts w:cs="Times New Roman"/>
          <w:noProof/>
        </w:rPr>
        <w:t xml:space="preserve">B. </w:t>
      </w:r>
      <w:r w:rsidRPr="0055410F">
        <w:rPr>
          <w:rFonts w:cs="Times New Roman"/>
          <w:noProof/>
        </w:rPr>
        <w:t xml:space="preserve">Svenningsson, </w:t>
      </w:r>
      <w:r w:rsidR="00DE2A2E">
        <w:rPr>
          <w:rFonts w:cs="Times New Roman"/>
          <w:noProof/>
        </w:rPr>
        <w:t>J.</w:t>
      </w:r>
      <w:r w:rsidRPr="0055410F">
        <w:rPr>
          <w:rFonts w:cs="Times New Roman"/>
          <w:noProof/>
        </w:rPr>
        <w:t xml:space="preserve"> M</w:t>
      </w:r>
      <w:r w:rsidR="00DE2A2E">
        <w:rPr>
          <w:rFonts w:cs="Times New Roman"/>
          <w:noProof/>
        </w:rPr>
        <w:t>ø</w:t>
      </w:r>
      <w:r w:rsidRPr="0055410F">
        <w:rPr>
          <w:rFonts w:cs="Times New Roman"/>
          <w:noProof/>
        </w:rPr>
        <w:t xml:space="preserve">nster, </w:t>
      </w:r>
      <w:r w:rsidR="00DE2A2E">
        <w:rPr>
          <w:rFonts w:cs="Times New Roman"/>
          <w:noProof/>
        </w:rPr>
        <w:t xml:space="preserve">and T. </w:t>
      </w:r>
      <w:r w:rsidRPr="0055410F">
        <w:rPr>
          <w:rFonts w:cs="Times New Roman"/>
          <w:noProof/>
        </w:rPr>
        <w:t>Rosen</w:t>
      </w:r>
      <w:r w:rsidR="00DE2A2E">
        <w:rPr>
          <w:rFonts w:cs="Times New Roman"/>
          <w:noProof/>
        </w:rPr>
        <w:t>ø</w:t>
      </w:r>
      <w:r w:rsidRPr="0055410F">
        <w:rPr>
          <w:rFonts w:cs="Times New Roman"/>
          <w:noProof/>
        </w:rPr>
        <w:t>rn</w:t>
      </w:r>
      <w:r w:rsidR="00DE2A2E">
        <w:rPr>
          <w:rFonts w:cs="Times New Roman"/>
          <w:noProof/>
        </w:rPr>
        <w:t xml:space="preserve">. </w:t>
      </w:r>
      <w:r w:rsidRPr="0055410F">
        <w:rPr>
          <w:rFonts w:cs="Times New Roman"/>
          <w:noProof/>
        </w:rPr>
        <w:t xml:space="preserve">2003. Even-odd alternation of evaporation rates and vapor pressures of C3-C9 dicarboxylic acid aerosols. </w:t>
      </w:r>
      <w:r w:rsidRPr="00DE2A2E">
        <w:rPr>
          <w:rFonts w:cs="Times New Roman"/>
          <w:i/>
          <w:noProof/>
        </w:rPr>
        <w:t>Environ</w:t>
      </w:r>
      <w:r w:rsidR="00F93D9E">
        <w:rPr>
          <w:rFonts w:cs="Times New Roman"/>
          <w:i/>
          <w:noProof/>
        </w:rPr>
        <w:t>.</w:t>
      </w:r>
      <w:r w:rsidRPr="00DE2A2E">
        <w:rPr>
          <w:rFonts w:cs="Times New Roman"/>
          <w:i/>
          <w:noProof/>
        </w:rPr>
        <w:t xml:space="preserve"> Sci</w:t>
      </w:r>
      <w:r w:rsidR="00F93D9E">
        <w:rPr>
          <w:rFonts w:cs="Times New Roman"/>
          <w:i/>
          <w:noProof/>
        </w:rPr>
        <w:t>.</w:t>
      </w:r>
      <w:r w:rsidRPr="00DE2A2E">
        <w:rPr>
          <w:rFonts w:cs="Times New Roman"/>
          <w:i/>
          <w:noProof/>
        </w:rPr>
        <w:t xml:space="preserve"> Technol</w:t>
      </w:r>
      <w:r w:rsidR="00F93D9E">
        <w:rPr>
          <w:rFonts w:cs="Times New Roman"/>
          <w:i/>
          <w:noProof/>
        </w:rPr>
        <w:t>.</w:t>
      </w:r>
      <w:r w:rsidRPr="0055410F">
        <w:rPr>
          <w:rFonts w:cs="Times New Roman"/>
          <w:noProof/>
        </w:rPr>
        <w:t xml:space="preserve"> 37:1371-1378.</w:t>
      </w:r>
      <w:bookmarkEnd w:id="3"/>
      <w:r w:rsidR="00DE2A2E">
        <w:rPr>
          <w:rFonts w:cs="Times New Roman"/>
          <w:noProof/>
        </w:rPr>
        <w:t xml:space="preserve"> </w:t>
      </w:r>
      <w:r w:rsidR="00F93D9E">
        <w:rPr>
          <w:rFonts w:cs="Times New Roman"/>
          <w:noProof/>
        </w:rPr>
        <w:t xml:space="preserve">DOI: </w:t>
      </w:r>
      <w:hyperlink r:id="rId21" w:tooltip="DOI URL" w:history="1">
        <w:r w:rsidR="00DE2A2E" w:rsidRPr="00DE2A2E">
          <w:rPr>
            <w:rStyle w:val="Hyperlink"/>
            <w:rFonts w:cs="Times New Roman"/>
            <w:color w:val="000000"/>
            <w:shd w:val="clear" w:color="auto" w:fill="FFFFFF"/>
          </w:rPr>
          <w:t>1</w:t>
        </w:r>
        <w:r w:rsidR="00DE2A2E" w:rsidRPr="00DE2A2E">
          <w:rPr>
            <w:rStyle w:val="Hyperlink"/>
            <w:rFonts w:cs="Times New Roman"/>
            <w:color w:val="000000"/>
            <w:shd w:val="clear" w:color="auto" w:fill="FFFFFF"/>
          </w:rPr>
          <w:t>0</w:t>
        </w:r>
        <w:r w:rsidR="00DE2A2E" w:rsidRPr="00DE2A2E">
          <w:rPr>
            <w:rStyle w:val="Hyperlink"/>
            <w:rFonts w:cs="Times New Roman"/>
            <w:color w:val="000000"/>
            <w:shd w:val="clear" w:color="auto" w:fill="FFFFFF"/>
          </w:rPr>
          <w:t>.1021</w:t>
        </w:r>
        <w:r w:rsidR="00DE2A2E" w:rsidRPr="00DE2A2E">
          <w:rPr>
            <w:rStyle w:val="Hyperlink"/>
            <w:rFonts w:cs="Times New Roman"/>
            <w:color w:val="000000"/>
            <w:shd w:val="clear" w:color="auto" w:fill="FFFFFF"/>
          </w:rPr>
          <w:t>/</w:t>
        </w:r>
        <w:r w:rsidR="00DE2A2E" w:rsidRPr="00DE2A2E">
          <w:rPr>
            <w:rStyle w:val="Hyperlink"/>
            <w:rFonts w:cs="Times New Roman"/>
            <w:color w:val="000000"/>
            <w:shd w:val="clear" w:color="auto" w:fill="FFFFFF"/>
          </w:rPr>
          <w:t>es0201810</w:t>
        </w:r>
      </w:hyperlink>
      <w:r w:rsidR="00DE2A2E">
        <w:rPr>
          <w:rFonts w:cs="Times New Roman"/>
        </w:rPr>
        <w:t>.</w:t>
      </w:r>
    </w:p>
    <w:p w14:paraId="35420315" w14:textId="6FA653D2" w:rsidR="0055410F" w:rsidRPr="0055410F" w:rsidRDefault="0055410F" w:rsidP="0055410F">
      <w:pPr>
        <w:spacing w:after="240" w:line="240" w:lineRule="auto"/>
        <w:rPr>
          <w:rFonts w:cs="Times New Roman"/>
          <w:noProof/>
        </w:rPr>
      </w:pPr>
      <w:bookmarkStart w:id="4" w:name="_ENREF_4"/>
      <w:r w:rsidRPr="0055410F">
        <w:rPr>
          <w:rFonts w:cs="Times New Roman"/>
          <w:noProof/>
        </w:rPr>
        <w:t xml:space="preserve">Bird, R. B., </w:t>
      </w:r>
      <w:r w:rsidR="00DE2A2E">
        <w:rPr>
          <w:rFonts w:cs="Times New Roman"/>
          <w:noProof/>
        </w:rPr>
        <w:t xml:space="preserve">W. E. </w:t>
      </w:r>
      <w:r w:rsidRPr="0055410F">
        <w:rPr>
          <w:rFonts w:cs="Times New Roman"/>
          <w:noProof/>
        </w:rPr>
        <w:t xml:space="preserve">Stewart, </w:t>
      </w:r>
      <w:r w:rsidR="00DE2A2E">
        <w:rPr>
          <w:rFonts w:cs="Times New Roman"/>
          <w:noProof/>
        </w:rPr>
        <w:t>and E. N.</w:t>
      </w:r>
      <w:r w:rsidRPr="0055410F">
        <w:rPr>
          <w:rFonts w:cs="Times New Roman"/>
          <w:noProof/>
        </w:rPr>
        <w:t xml:space="preserve"> Lightfoot. 2002. </w:t>
      </w:r>
      <w:r w:rsidRPr="00DE2A2E">
        <w:rPr>
          <w:rFonts w:cs="Times New Roman"/>
          <w:i/>
          <w:noProof/>
        </w:rPr>
        <w:t>Transport phenomena</w:t>
      </w:r>
      <w:r w:rsidRPr="0055410F">
        <w:rPr>
          <w:rFonts w:cs="Times New Roman"/>
          <w:noProof/>
        </w:rPr>
        <w:t xml:space="preserve">. </w:t>
      </w:r>
      <w:r w:rsidR="00DE2A2E">
        <w:rPr>
          <w:rFonts w:cs="Times New Roman"/>
          <w:noProof/>
        </w:rPr>
        <w:t xml:space="preserve">New York: </w:t>
      </w:r>
      <w:r w:rsidRPr="0055410F">
        <w:rPr>
          <w:rFonts w:cs="Times New Roman"/>
          <w:noProof/>
        </w:rPr>
        <w:t>J. Wiley</w:t>
      </w:r>
      <w:r w:rsidR="00DE2A2E">
        <w:rPr>
          <w:rFonts w:cs="Times New Roman"/>
          <w:noProof/>
        </w:rPr>
        <w:t>.</w:t>
      </w:r>
      <w:bookmarkEnd w:id="4"/>
    </w:p>
    <w:p w14:paraId="15F417E3" w14:textId="67D676E9" w:rsidR="0055410F" w:rsidRPr="0055410F" w:rsidRDefault="0055410F" w:rsidP="0055410F">
      <w:pPr>
        <w:spacing w:after="240" w:line="240" w:lineRule="auto"/>
        <w:rPr>
          <w:rFonts w:cs="Times New Roman"/>
          <w:noProof/>
        </w:rPr>
      </w:pPr>
      <w:bookmarkStart w:id="5" w:name="_ENREF_5"/>
      <w:r w:rsidRPr="0055410F">
        <w:rPr>
          <w:rFonts w:cs="Times New Roman"/>
          <w:noProof/>
        </w:rPr>
        <w:t xml:space="preserve">Friedlander, S. K. 2000. </w:t>
      </w:r>
      <w:r w:rsidRPr="00642A41">
        <w:rPr>
          <w:rFonts w:cs="Times New Roman"/>
          <w:i/>
          <w:noProof/>
        </w:rPr>
        <w:t>Smoke, dust, and haze : fundamentals of aerosol dynamics</w:t>
      </w:r>
      <w:r w:rsidRPr="0055410F">
        <w:rPr>
          <w:rFonts w:cs="Times New Roman"/>
          <w:noProof/>
        </w:rPr>
        <w:t xml:space="preserve">. </w:t>
      </w:r>
      <w:r w:rsidR="00F93D9E">
        <w:rPr>
          <w:rFonts w:cs="Times New Roman"/>
          <w:noProof/>
        </w:rPr>
        <w:t xml:space="preserve">New York: </w:t>
      </w:r>
      <w:r w:rsidRPr="0055410F">
        <w:rPr>
          <w:rFonts w:cs="Times New Roman"/>
          <w:noProof/>
        </w:rPr>
        <w:t>Oxford University Pres</w:t>
      </w:r>
      <w:r w:rsidR="00F93D9E">
        <w:rPr>
          <w:rFonts w:cs="Times New Roman"/>
          <w:noProof/>
        </w:rPr>
        <w:t>s</w:t>
      </w:r>
      <w:r w:rsidRPr="0055410F">
        <w:rPr>
          <w:rFonts w:cs="Times New Roman"/>
          <w:noProof/>
        </w:rPr>
        <w:t>.</w:t>
      </w:r>
      <w:bookmarkEnd w:id="5"/>
    </w:p>
    <w:p w14:paraId="76BBB05C" w14:textId="582FC203" w:rsidR="0055410F" w:rsidRPr="00D13A6B" w:rsidRDefault="0055410F" w:rsidP="00D13A6B">
      <w:bookmarkStart w:id="6" w:name="_ENREF_6"/>
      <w:r w:rsidRPr="0055410F">
        <w:rPr>
          <w:rFonts w:cs="Times New Roman"/>
          <w:noProof/>
        </w:rPr>
        <w:t xml:space="preserve">Kim, J. H., </w:t>
      </w:r>
      <w:r w:rsidR="00642A41">
        <w:rPr>
          <w:rFonts w:cs="Times New Roman"/>
          <w:noProof/>
        </w:rPr>
        <w:t xml:space="preserve">G. W. </w:t>
      </w:r>
      <w:r w:rsidRPr="0055410F">
        <w:rPr>
          <w:rFonts w:cs="Times New Roman"/>
          <w:noProof/>
        </w:rPr>
        <w:t xml:space="preserve">Mulholland, </w:t>
      </w:r>
      <w:r w:rsidR="00642A41">
        <w:rPr>
          <w:rFonts w:cs="Times New Roman"/>
          <w:noProof/>
        </w:rPr>
        <w:t>S. R.</w:t>
      </w:r>
      <w:r w:rsidRPr="0055410F">
        <w:rPr>
          <w:rFonts w:cs="Times New Roman"/>
          <w:noProof/>
        </w:rPr>
        <w:t xml:space="preserve"> Kukuck, </w:t>
      </w:r>
      <w:r w:rsidR="00642A41">
        <w:rPr>
          <w:rFonts w:cs="Times New Roman"/>
          <w:noProof/>
        </w:rPr>
        <w:t xml:space="preserve">and D. Y. H. </w:t>
      </w:r>
      <w:r w:rsidRPr="0055410F">
        <w:rPr>
          <w:rFonts w:cs="Times New Roman"/>
          <w:noProof/>
        </w:rPr>
        <w:t xml:space="preserve">Pui, D. Y. H. (2005). Slip Correction Measurements of Certified PSL Nanoparticles Using a Nanometer Differential Mobility Analyzer (Nano-DMA) for Knudsen Number From 0.5 to 83. </w:t>
      </w:r>
      <w:r w:rsidRPr="00D13A6B">
        <w:rPr>
          <w:rFonts w:cs="Times New Roman"/>
          <w:i/>
          <w:noProof/>
        </w:rPr>
        <w:t>J</w:t>
      </w:r>
      <w:r w:rsidR="00F93D9E" w:rsidRPr="00D13A6B">
        <w:rPr>
          <w:rFonts w:cs="Times New Roman"/>
          <w:i/>
          <w:noProof/>
        </w:rPr>
        <w:t>.</w:t>
      </w:r>
      <w:r w:rsidRPr="00D13A6B">
        <w:rPr>
          <w:rFonts w:cs="Times New Roman"/>
          <w:i/>
          <w:noProof/>
        </w:rPr>
        <w:t xml:space="preserve"> Res</w:t>
      </w:r>
      <w:r w:rsidR="00F93D9E" w:rsidRPr="00D13A6B">
        <w:rPr>
          <w:rFonts w:cs="Times New Roman"/>
          <w:i/>
          <w:noProof/>
        </w:rPr>
        <w:t>.</w:t>
      </w:r>
      <w:r w:rsidRPr="00D13A6B">
        <w:rPr>
          <w:rFonts w:cs="Times New Roman"/>
          <w:i/>
          <w:noProof/>
        </w:rPr>
        <w:t xml:space="preserve"> Na</w:t>
      </w:r>
      <w:r w:rsidR="00F93D9E" w:rsidRPr="00D13A6B">
        <w:rPr>
          <w:rFonts w:cs="Times New Roman"/>
          <w:i/>
          <w:noProof/>
        </w:rPr>
        <w:t>t</w:t>
      </w:r>
      <w:r w:rsidRPr="00D13A6B">
        <w:rPr>
          <w:rFonts w:cs="Times New Roman"/>
          <w:i/>
          <w:noProof/>
        </w:rPr>
        <w:t>l</w:t>
      </w:r>
      <w:r w:rsidR="00F93D9E" w:rsidRPr="00D13A6B">
        <w:rPr>
          <w:rFonts w:cs="Times New Roman"/>
          <w:i/>
          <w:noProof/>
        </w:rPr>
        <w:t>.</w:t>
      </w:r>
      <w:r w:rsidRPr="00D13A6B">
        <w:rPr>
          <w:rFonts w:cs="Times New Roman"/>
          <w:i/>
          <w:noProof/>
        </w:rPr>
        <w:t xml:space="preserve"> Inst</w:t>
      </w:r>
      <w:r w:rsidR="00F93D9E" w:rsidRPr="00D13A6B">
        <w:rPr>
          <w:rFonts w:cs="Times New Roman"/>
          <w:i/>
          <w:noProof/>
        </w:rPr>
        <w:t xml:space="preserve">. </w:t>
      </w:r>
      <w:r w:rsidRPr="00D13A6B">
        <w:rPr>
          <w:rFonts w:cs="Times New Roman"/>
          <w:i/>
          <w:noProof/>
        </w:rPr>
        <w:t>Stan</w:t>
      </w:r>
      <w:r w:rsidR="00F93D9E">
        <w:rPr>
          <w:rFonts w:cs="Times New Roman"/>
          <w:noProof/>
        </w:rPr>
        <w:t>.</w:t>
      </w:r>
      <w:r w:rsidRPr="0055410F">
        <w:rPr>
          <w:rFonts w:cs="Times New Roman"/>
          <w:noProof/>
        </w:rPr>
        <w:t xml:space="preserve"> 110:31-54.</w:t>
      </w:r>
      <w:bookmarkEnd w:id="6"/>
      <w:r w:rsidR="00D13A6B">
        <w:rPr>
          <w:rFonts w:cs="Times New Roman"/>
          <w:noProof/>
        </w:rPr>
        <w:t xml:space="preserve"> DOI:</w:t>
      </w:r>
      <w:r w:rsidR="00D13A6B" w:rsidRPr="00D13A6B">
        <w:rPr>
          <w:rFonts w:cs="Times New Roman"/>
          <w:noProof/>
        </w:rPr>
        <w:t xml:space="preserve"> </w:t>
      </w:r>
      <w:hyperlink r:id="rId22" w:tgtFrame="pmc_ext" w:history="1">
        <w:r w:rsidR="00D13A6B" w:rsidRPr="00D13A6B">
          <w:rPr>
            <w:rStyle w:val="Hyperlink"/>
            <w:rFonts w:cs="Times New Roman"/>
            <w:color w:val="642A8F"/>
            <w:shd w:val="clear" w:color="auto" w:fill="FFFFFF"/>
          </w:rPr>
          <w:t>10.6028</w:t>
        </w:r>
        <w:r w:rsidR="00D13A6B" w:rsidRPr="00D13A6B">
          <w:rPr>
            <w:rStyle w:val="Hyperlink"/>
            <w:rFonts w:cs="Times New Roman"/>
            <w:color w:val="642A8F"/>
            <w:shd w:val="clear" w:color="auto" w:fill="FFFFFF"/>
          </w:rPr>
          <w:t>/</w:t>
        </w:r>
        <w:r w:rsidR="00D13A6B" w:rsidRPr="00D13A6B">
          <w:rPr>
            <w:rStyle w:val="Hyperlink"/>
            <w:rFonts w:cs="Times New Roman"/>
            <w:color w:val="642A8F"/>
            <w:shd w:val="clear" w:color="auto" w:fill="FFFFFF"/>
          </w:rPr>
          <w:t>j</w:t>
        </w:r>
        <w:r w:rsidR="00D13A6B" w:rsidRPr="00D13A6B">
          <w:rPr>
            <w:rStyle w:val="Hyperlink"/>
            <w:rFonts w:cs="Times New Roman"/>
            <w:color w:val="642A8F"/>
            <w:shd w:val="clear" w:color="auto" w:fill="FFFFFF"/>
          </w:rPr>
          <w:t>r</w:t>
        </w:r>
        <w:r w:rsidR="00D13A6B" w:rsidRPr="00D13A6B">
          <w:rPr>
            <w:rStyle w:val="Hyperlink"/>
            <w:rFonts w:cs="Times New Roman"/>
            <w:color w:val="642A8F"/>
            <w:shd w:val="clear" w:color="auto" w:fill="FFFFFF"/>
          </w:rPr>
          <w:t>e</w:t>
        </w:r>
        <w:r w:rsidR="00D13A6B" w:rsidRPr="00D13A6B">
          <w:rPr>
            <w:rStyle w:val="Hyperlink"/>
            <w:rFonts w:cs="Times New Roman"/>
            <w:color w:val="642A8F"/>
            <w:shd w:val="clear" w:color="auto" w:fill="FFFFFF"/>
          </w:rPr>
          <w:t>s</w:t>
        </w:r>
        <w:r w:rsidR="00D13A6B" w:rsidRPr="00D13A6B">
          <w:rPr>
            <w:rStyle w:val="Hyperlink"/>
            <w:rFonts w:cs="Times New Roman"/>
            <w:color w:val="642A8F"/>
            <w:shd w:val="clear" w:color="auto" w:fill="FFFFFF"/>
          </w:rPr>
          <w:t>.110.005</w:t>
        </w:r>
      </w:hyperlink>
      <w:r w:rsidR="00D13A6B">
        <w:rPr>
          <w:rFonts w:cs="Times New Roman"/>
        </w:rPr>
        <w:t>.</w:t>
      </w:r>
    </w:p>
    <w:p w14:paraId="0A04E2A7" w14:textId="3D33F20E" w:rsidR="0055410F" w:rsidRPr="00B5748D" w:rsidRDefault="0055410F" w:rsidP="00D13A6B">
      <w:pPr>
        <w:rPr>
          <w:rFonts w:eastAsia="Times New Roman" w:cs="Times New Roman"/>
          <w:color w:val="548DD4" w:themeColor="text2" w:themeTint="99"/>
          <w:sz w:val="24"/>
          <w:szCs w:val="24"/>
          <w:lang w:val="en-CA"/>
        </w:rPr>
      </w:pPr>
      <w:bookmarkStart w:id="7" w:name="_ENREF_7"/>
      <w:r w:rsidRPr="0055410F">
        <w:rPr>
          <w:rFonts w:cs="Times New Roman"/>
          <w:noProof/>
        </w:rPr>
        <w:t xml:space="preserve">Koehler, K. A., </w:t>
      </w:r>
      <w:r w:rsidR="00D13A6B">
        <w:rPr>
          <w:rFonts w:cs="Times New Roman"/>
          <w:noProof/>
        </w:rPr>
        <w:t xml:space="preserve">S. M. </w:t>
      </w:r>
      <w:r w:rsidRPr="0055410F">
        <w:rPr>
          <w:rFonts w:cs="Times New Roman"/>
          <w:noProof/>
        </w:rPr>
        <w:t xml:space="preserve">Kreidenweis, </w:t>
      </w:r>
      <w:r w:rsidR="00D13A6B">
        <w:rPr>
          <w:rFonts w:cs="Times New Roman"/>
          <w:noProof/>
        </w:rPr>
        <w:t xml:space="preserve">P. J. </w:t>
      </w:r>
      <w:r w:rsidRPr="0055410F">
        <w:rPr>
          <w:rFonts w:cs="Times New Roman"/>
          <w:noProof/>
        </w:rPr>
        <w:t xml:space="preserve">DeMott, </w:t>
      </w:r>
      <w:r w:rsidR="00D13A6B">
        <w:rPr>
          <w:rFonts w:cs="Times New Roman"/>
          <w:noProof/>
        </w:rPr>
        <w:t>A.</w:t>
      </w:r>
      <w:r w:rsidRPr="0055410F">
        <w:rPr>
          <w:rFonts w:cs="Times New Roman"/>
          <w:noProof/>
        </w:rPr>
        <w:t xml:space="preserve"> J. Prenni, </w:t>
      </w:r>
      <w:r w:rsidR="00D13A6B">
        <w:rPr>
          <w:rFonts w:cs="Times New Roman"/>
          <w:noProof/>
        </w:rPr>
        <w:t xml:space="preserve">C. M. </w:t>
      </w:r>
      <w:r w:rsidRPr="0055410F">
        <w:rPr>
          <w:rFonts w:cs="Times New Roman"/>
          <w:noProof/>
        </w:rPr>
        <w:t xml:space="preserve">Carrico, </w:t>
      </w:r>
      <w:r w:rsidR="00D13A6B">
        <w:rPr>
          <w:rFonts w:cs="Times New Roman"/>
          <w:noProof/>
        </w:rPr>
        <w:t>B.</w:t>
      </w:r>
      <w:r w:rsidRPr="0055410F">
        <w:rPr>
          <w:rFonts w:cs="Times New Roman"/>
          <w:noProof/>
        </w:rPr>
        <w:t xml:space="preserve"> Ervens, </w:t>
      </w:r>
      <w:r w:rsidR="00D13A6B">
        <w:rPr>
          <w:rFonts w:cs="Times New Roman"/>
          <w:noProof/>
        </w:rPr>
        <w:t xml:space="preserve">and G. </w:t>
      </w:r>
      <w:r w:rsidRPr="0055410F">
        <w:rPr>
          <w:rFonts w:cs="Times New Roman"/>
          <w:noProof/>
        </w:rPr>
        <w:t>Feingold</w:t>
      </w:r>
      <w:r w:rsidR="00D13A6B">
        <w:rPr>
          <w:rFonts w:cs="Times New Roman"/>
          <w:noProof/>
        </w:rPr>
        <w:t xml:space="preserve">. </w:t>
      </w:r>
      <w:r w:rsidRPr="0055410F">
        <w:rPr>
          <w:rFonts w:cs="Times New Roman"/>
          <w:noProof/>
        </w:rPr>
        <w:t xml:space="preserve">2006. Water activity and activation diameters from hygroscopicity data - Part II: Application to organic species. </w:t>
      </w:r>
      <w:r w:rsidRPr="00D13A6B">
        <w:rPr>
          <w:rFonts w:cs="Times New Roman"/>
          <w:i/>
          <w:noProof/>
        </w:rPr>
        <w:t>Atmos</w:t>
      </w:r>
      <w:r w:rsidR="00D13A6B">
        <w:rPr>
          <w:rFonts w:cs="Times New Roman"/>
          <w:i/>
          <w:noProof/>
        </w:rPr>
        <w:t>.</w:t>
      </w:r>
      <w:r w:rsidRPr="00D13A6B">
        <w:rPr>
          <w:rFonts w:cs="Times New Roman"/>
          <w:i/>
          <w:noProof/>
        </w:rPr>
        <w:t xml:space="preserve"> Chem</w:t>
      </w:r>
      <w:r w:rsidR="00D13A6B">
        <w:rPr>
          <w:rFonts w:cs="Times New Roman"/>
          <w:i/>
          <w:noProof/>
        </w:rPr>
        <w:t>.</w:t>
      </w:r>
      <w:r w:rsidRPr="00D13A6B">
        <w:rPr>
          <w:rFonts w:cs="Times New Roman"/>
          <w:i/>
          <w:noProof/>
        </w:rPr>
        <w:t xml:space="preserve"> Phys</w:t>
      </w:r>
      <w:r w:rsidR="00D13A6B">
        <w:rPr>
          <w:rFonts w:cs="Times New Roman"/>
          <w:i/>
          <w:noProof/>
        </w:rPr>
        <w:t>.</w:t>
      </w:r>
      <w:r w:rsidRPr="0055410F">
        <w:rPr>
          <w:rFonts w:cs="Times New Roman"/>
          <w:noProof/>
        </w:rPr>
        <w:t xml:space="preserve"> 6:795-809.</w:t>
      </w:r>
      <w:bookmarkEnd w:id="7"/>
      <w:r w:rsidR="00D13A6B">
        <w:rPr>
          <w:rFonts w:cs="Times New Roman"/>
          <w:noProof/>
        </w:rPr>
        <w:t xml:space="preserve"> DOI: </w:t>
      </w:r>
      <w:hyperlink r:id="rId23" w:history="1">
        <w:r w:rsidR="00D13A6B" w:rsidRPr="00B5748D">
          <w:rPr>
            <w:rStyle w:val="Hyperlink"/>
            <w:rFonts w:eastAsia="Times New Roman" w:cs="Times New Roman"/>
            <w:color w:val="000000" w:themeColor="text1"/>
            <w:shd w:val="clear" w:color="auto" w:fill="FFFFFF"/>
            <w:lang w:val="en-CA"/>
          </w:rPr>
          <w:t>10.5</w:t>
        </w:r>
        <w:r w:rsidR="00D13A6B" w:rsidRPr="00B5748D">
          <w:rPr>
            <w:rStyle w:val="Hyperlink"/>
            <w:rFonts w:eastAsia="Times New Roman" w:cs="Times New Roman"/>
            <w:color w:val="000000" w:themeColor="text1"/>
            <w:shd w:val="clear" w:color="auto" w:fill="FFFFFF"/>
            <w:lang w:val="en-CA"/>
          </w:rPr>
          <w:t>1</w:t>
        </w:r>
        <w:r w:rsidR="00D13A6B" w:rsidRPr="00B5748D">
          <w:rPr>
            <w:rStyle w:val="Hyperlink"/>
            <w:rFonts w:eastAsia="Times New Roman" w:cs="Times New Roman"/>
            <w:color w:val="000000" w:themeColor="text1"/>
            <w:shd w:val="clear" w:color="auto" w:fill="FFFFFF"/>
            <w:lang w:val="en-CA"/>
          </w:rPr>
          <w:t>94/</w:t>
        </w:r>
        <w:r w:rsidR="00D13A6B" w:rsidRPr="00B5748D">
          <w:rPr>
            <w:rStyle w:val="Hyperlink"/>
            <w:rFonts w:eastAsia="Times New Roman" w:cs="Times New Roman"/>
            <w:color w:val="000000" w:themeColor="text1"/>
            <w:shd w:val="clear" w:color="auto" w:fill="FFFFFF"/>
            <w:lang w:val="en-CA"/>
          </w:rPr>
          <w:t>a</w:t>
        </w:r>
        <w:r w:rsidR="00D13A6B" w:rsidRPr="00B5748D">
          <w:rPr>
            <w:rStyle w:val="Hyperlink"/>
            <w:rFonts w:eastAsia="Times New Roman" w:cs="Times New Roman"/>
            <w:color w:val="000000" w:themeColor="text1"/>
            <w:shd w:val="clear" w:color="auto" w:fill="FFFFFF"/>
            <w:lang w:val="en-CA"/>
          </w:rPr>
          <w:t>cp-6-795-2006</w:t>
        </w:r>
      </w:hyperlink>
      <w:r w:rsidR="00D13A6B" w:rsidRPr="00B5748D">
        <w:rPr>
          <w:rFonts w:eastAsia="Times New Roman" w:cs="Times New Roman"/>
          <w:color w:val="000000" w:themeColor="text1"/>
          <w:shd w:val="clear" w:color="auto" w:fill="FFFFFF"/>
          <w:lang w:val="en-CA"/>
        </w:rPr>
        <w:t>.</w:t>
      </w:r>
    </w:p>
    <w:p w14:paraId="5DF34E74" w14:textId="1CC9841A" w:rsidR="0055410F" w:rsidRPr="0055410F" w:rsidRDefault="0055410F" w:rsidP="0055410F">
      <w:pPr>
        <w:spacing w:after="240" w:line="240" w:lineRule="auto"/>
        <w:rPr>
          <w:rFonts w:cs="Times New Roman"/>
          <w:noProof/>
        </w:rPr>
      </w:pPr>
      <w:bookmarkStart w:id="8" w:name="_ENREF_8"/>
      <w:r w:rsidRPr="0055410F">
        <w:rPr>
          <w:rFonts w:cs="Times New Roman"/>
          <w:noProof/>
        </w:rPr>
        <w:t xml:space="preserve">Levenspiel, O. 1999. Chemical reaction engineering. </w:t>
      </w:r>
      <w:r w:rsidR="00D13A6B">
        <w:rPr>
          <w:rFonts w:cs="Times New Roman"/>
          <w:noProof/>
        </w:rPr>
        <w:t xml:space="preserve">New York: </w:t>
      </w:r>
      <w:r w:rsidRPr="0055410F">
        <w:rPr>
          <w:rFonts w:cs="Times New Roman"/>
          <w:noProof/>
        </w:rPr>
        <w:t>Wiley.</w:t>
      </w:r>
      <w:bookmarkEnd w:id="8"/>
    </w:p>
    <w:p w14:paraId="53B87E2E" w14:textId="0847308F" w:rsidR="00B5748D" w:rsidRDefault="0055410F" w:rsidP="00B5748D">
      <w:pPr>
        <w:pStyle w:val="dx-doi"/>
        <w:spacing w:before="0" w:after="0"/>
        <w:rPr>
          <w:rFonts w:ascii="Arial" w:hAnsi="Arial" w:cs="Arial"/>
          <w:color w:val="333333"/>
          <w:sz w:val="20"/>
          <w:szCs w:val="20"/>
        </w:rPr>
      </w:pPr>
      <w:bookmarkStart w:id="9" w:name="_ENREF_9"/>
      <w:r w:rsidRPr="00541D46">
        <w:rPr>
          <w:noProof/>
          <w:sz w:val="22"/>
          <w:szCs w:val="22"/>
        </w:rPr>
        <w:t xml:space="preserve">Oxford, C. R., </w:t>
      </w:r>
      <w:r w:rsidR="00D13A6B" w:rsidRPr="00541D46">
        <w:rPr>
          <w:noProof/>
          <w:sz w:val="22"/>
          <w:szCs w:val="22"/>
        </w:rPr>
        <w:t xml:space="preserve">C. M. </w:t>
      </w:r>
      <w:r w:rsidRPr="00541D46">
        <w:rPr>
          <w:noProof/>
          <w:sz w:val="22"/>
          <w:szCs w:val="22"/>
        </w:rPr>
        <w:t xml:space="preserve">Rapp, </w:t>
      </w:r>
      <w:r w:rsidR="00D13A6B" w:rsidRPr="00541D46">
        <w:rPr>
          <w:noProof/>
          <w:sz w:val="22"/>
          <w:szCs w:val="22"/>
        </w:rPr>
        <w:t>Y.</w:t>
      </w:r>
      <w:r w:rsidRPr="00541D46">
        <w:rPr>
          <w:noProof/>
          <w:sz w:val="22"/>
          <w:szCs w:val="22"/>
        </w:rPr>
        <w:t xml:space="preserve"> Wang, </w:t>
      </w:r>
      <w:r w:rsidR="00D13A6B" w:rsidRPr="00541D46">
        <w:rPr>
          <w:noProof/>
          <w:sz w:val="22"/>
          <w:szCs w:val="22"/>
        </w:rPr>
        <w:t xml:space="preserve">P. </w:t>
      </w:r>
      <w:r w:rsidRPr="00541D46">
        <w:rPr>
          <w:noProof/>
          <w:sz w:val="22"/>
          <w:szCs w:val="22"/>
        </w:rPr>
        <w:t xml:space="preserve">Kumar, P., </w:t>
      </w:r>
      <w:r w:rsidR="00D13A6B" w:rsidRPr="00541D46">
        <w:rPr>
          <w:noProof/>
          <w:sz w:val="22"/>
          <w:szCs w:val="22"/>
        </w:rPr>
        <w:t xml:space="preserve">D. </w:t>
      </w:r>
      <w:r w:rsidRPr="00541D46">
        <w:rPr>
          <w:noProof/>
          <w:sz w:val="22"/>
          <w:szCs w:val="22"/>
        </w:rPr>
        <w:t xml:space="preserve">Watson, </w:t>
      </w:r>
      <w:r w:rsidR="00D13A6B" w:rsidRPr="00541D46">
        <w:rPr>
          <w:noProof/>
          <w:sz w:val="22"/>
          <w:szCs w:val="22"/>
        </w:rPr>
        <w:t>J. L.</w:t>
      </w:r>
      <w:r w:rsidRPr="00541D46">
        <w:rPr>
          <w:noProof/>
          <w:sz w:val="22"/>
          <w:szCs w:val="22"/>
        </w:rPr>
        <w:t xml:space="preserve"> Portelli,</w:t>
      </w:r>
      <w:r w:rsidR="00D13A6B" w:rsidRPr="00541D46">
        <w:rPr>
          <w:noProof/>
          <w:sz w:val="22"/>
          <w:szCs w:val="22"/>
        </w:rPr>
        <w:t>E. A.</w:t>
      </w:r>
      <w:r w:rsidRPr="00541D46">
        <w:rPr>
          <w:noProof/>
          <w:sz w:val="22"/>
          <w:szCs w:val="22"/>
        </w:rPr>
        <w:t xml:space="preserve"> Sussman, </w:t>
      </w:r>
      <w:r w:rsidR="00B5748D" w:rsidRPr="00541D46">
        <w:rPr>
          <w:noProof/>
          <w:sz w:val="22"/>
          <w:szCs w:val="22"/>
        </w:rPr>
        <w:t>S.</w:t>
      </w:r>
      <w:r w:rsidRPr="00541D46">
        <w:rPr>
          <w:noProof/>
          <w:sz w:val="22"/>
          <w:szCs w:val="22"/>
        </w:rPr>
        <w:t xml:space="preserve"> Dhawan, </w:t>
      </w:r>
      <w:r w:rsidR="00B5748D" w:rsidRPr="00541D46">
        <w:rPr>
          <w:noProof/>
          <w:sz w:val="22"/>
          <w:szCs w:val="22"/>
        </w:rPr>
        <w:t>J.</w:t>
      </w:r>
      <w:r w:rsidRPr="00541D46">
        <w:rPr>
          <w:noProof/>
          <w:sz w:val="22"/>
          <w:szCs w:val="22"/>
        </w:rPr>
        <w:t xml:space="preserve"> Jiang, </w:t>
      </w:r>
      <w:r w:rsidR="00B5748D" w:rsidRPr="00541D46">
        <w:rPr>
          <w:noProof/>
          <w:sz w:val="22"/>
          <w:szCs w:val="22"/>
        </w:rPr>
        <w:t xml:space="preserve">B. </w:t>
      </w:r>
      <w:r w:rsidRPr="00541D46">
        <w:rPr>
          <w:noProof/>
          <w:sz w:val="22"/>
          <w:szCs w:val="22"/>
        </w:rPr>
        <w:t>J.</w:t>
      </w:r>
      <w:r w:rsidR="00B5748D" w:rsidRPr="00541D46">
        <w:rPr>
          <w:noProof/>
          <w:sz w:val="22"/>
          <w:szCs w:val="22"/>
        </w:rPr>
        <w:t xml:space="preserve"> </w:t>
      </w:r>
      <w:r w:rsidRPr="00541D46">
        <w:rPr>
          <w:noProof/>
          <w:sz w:val="22"/>
          <w:szCs w:val="22"/>
        </w:rPr>
        <w:t xml:space="preserve">Williams. 2019. Development and qualification of a VH-TDMA for the study of pure aerosols. </w:t>
      </w:r>
      <w:r w:rsidRPr="00D13A6B">
        <w:rPr>
          <w:i/>
          <w:noProof/>
        </w:rPr>
        <w:t>Aerosol Sci</w:t>
      </w:r>
      <w:r w:rsidR="00D13A6B" w:rsidRPr="00D13A6B">
        <w:rPr>
          <w:i/>
          <w:noProof/>
        </w:rPr>
        <w:t>.</w:t>
      </w:r>
      <w:r w:rsidRPr="00D13A6B">
        <w:rPr>
          <w:i/>
          <w:noProof/>
        </w:rPr>
        <w:t>Techno</w:t>
      </w:r>
      <w:r w:rsidR="00D13A6B" w:rsidRPr="00D13A6B">
        <w:rPr>
          <w:i/>
          <w:noProof/>
        </w:rPr>
        <w:t>l</w:t>
      </w:r>
      <w:r w:rsidR="00D13A6B">
        <w:rPr>
          <w:noProof/>
        </w:rPr>
        <w:t>.</w:t>
      </w:r>
      <w:r w:rsidRPr="0055410F">
        <w:rPr>
          <w:noProof/>
        </w:rPr>
        <w:t xml:space="preserve"> 53:120-132.</w:t>
      </w:r>
      <w:bookmarkEnd w:id="9"/>
      <w:r w:rsidR="00B5748D">
        <w:rPr>
          <w:noProof/>
        </w:rPr>
        <w:t xml:space="preserve"> DOI: </w:t>
      </w:r>
      <w:hyperlink r:id="rId24" w:history="1">
        <w:r w:rsidR="00B5748D" w:rsidRPr="00541D46">
          <w:rPr>
            <w:rStyle w:val="Hyperlink"/>
            <w:color w:val="000000" w:themeColor="text1"/>
            <w:sz w:val="22"/>
            <w:szCs w:val="22"/>
          </w:rPr>
          <w:t>10.108</w:t>
        </w:r>
        <w:r w:rsidR="00B5748D" w:rsidRPr="00541D46">
          <w:rPr>
            <w:rStyle w:val="Hyperlink"/>
            <w:color w:val="000000" w:themeColor="text1"/>
            <w:sz w:val="22"/>
            <w:szCs w:val="22"/>
          </w:rPr>
          <w:t>0</w:t>
        </w:r>
        <w:r w:rsidR="00B5748D" w:rsidRPr="00541D46">
          <w:rPr>
            <w:rStyle w:val="Hyperlink"/>
            <w:color w:val="000000" w:themeColor="text1"/>
            <w:sz w:val="22"/>
            <w:szCs w:val="22"/>
          </w:rPr>
          <w:t>/0278</w:t>
        </w:r>
        <w:r w:rsidR="00B5748D" w:rsidRPr="00541D46">
          <w:rPr>
            <w:rStyle w:val="Hyperlink"/>
            <w:color w:val="000000" w:themeColor="text1"/>
            <w:sz w:val="22"/>
            <w:szCs w:val="22"/>
          </w:rPr>
          <w:t>6</w:t>
        </w:r>
        <w:r w:rsidR="00B5748D" w:rsidRPr="00541D46">
          <w:rPr>
            <w:rStyle w:val="Hyperlink"/>
            <w:color w:val="000000" w:themeColor="text1"/>
            <w:sz w:val="22"/>
            <w:szCs w:val="22"/>
          </w:rPr>
          <w:t>826.2018.1547358</w:t>
        </w:r>
        <w:r w:rsidR="00B5748D" w:rsidRPr="00BA099F">
          <w:rPr>
            <w:rStyle w:val="Hyperlink"/>
            <w:color w:val="6666FF" w:themeColor="hyperlink" w:themeTint="99"/>
            <w:sz w:val="22"/>
            <w:szCs w:val="22"/>
          </w:rPr>
          <w:t>.</w:t>
        </w:r>
      </w:hyperlink>
    </w:p>
    <w:p w14:paraId="7D8CE171" w14:textId="618A17CF" w:rsidR="0055410F" w:rsidRPr="0055410F" w:rsidRDefault="0055410F" w:rsidP="0055410F">
      <w:pPr>
        <w:spacing w:after="240" w:line="240" w:lineRule="auto"/>
        <w:rPr>
          <w:rFonts w:cs="Times New Roman"/>
          <w:noProof/>
        </w:rPr>
      </w:pPr>
    </w:p>
    <w:p w14:paraId="57D731A4" w14:textId="43401E85" w:rsidR="0055410F" w:rsidRPr="00541D46" w:rsidRDefault="0055410F" w:rsidP="00541D46">
      <w:pPr>
        <w:pStyle w:val="dx-doi"/>
        <w:spacing w:before="0" w:after="0"/>
        <w:rPr>
          <w:rFonts w:ascii="Arial" w:hAnsi="Arial" w:cs="Arial"/>
          <w:color w:val="333333"/>
          <w:sz w:val="20"/>
          <w:szCs w:val="20"/>
        </w:rPr>
      </w:pPr>
      <w:bookmarkStart w:id="10" w:name="_ENREF_10"/>
      <w:r w:rsidRPr="00541D46">
        <w:rPr>
          <w:noProof/>
          <w:sz w:val="22"/>
          <w:szCs w:val="22"/>
        </w:rPr>
        <w:lastRenderedPageBreak/>
        <w:t>Stolzenburg, M. R.</w:t>
      </w:r>
      <w:r w:rsidR="00996694">
        <w:rPr>
          <w:noProof/>
          <w:sz w:val="22"/>
          <w:szCs w:val="22"/>
        </w:rPr>
        <w:t>,</w:t>
      </w:r>
      <w:r w:rsidRPr="00541D46">
        <w:rPr>
          <w:noProof/>
          <w:sz w:val="22"/>
          <w:szCs w:val="22"/>
        </w:rPr>
        <w:t xml:space="preserve"> and </w:t>
      </w:r>
      <w:r w:rsidR="00CF2760">
        <w:rPr>
          <w:noProof/>
          <w:sz w:val="22"/>
          <w:szCs w:val="22"/>
        </w:rPr>
        <w:t xml:space="preserve">P. H. </w:t>
      </w:r>
      <w:r w:rsidRPr="00541D46">
        <w:rPr>
          <w:noProof/>
          <w:sz w:val="22"/>
          <w:szCs w:val="22"/>
        </w:rPr>
        <w:t xml:space="preserve">McMurry. 2008. Equations Governing Single and Tandem DMA Configurations and a New Lognormal Approximation to the Transfer Function. </w:t>
      </w:r>
      <w:r w:rsidRPr="00541D46">
        <w:rPr>
          <w:i/>
          <w:noProof/>
          <w:sz w:val="22"/>
          <w:szCs w:val="22"/>
        </w:rPr>
        <w:t>Aerosol Sci</w:t>
      </w:r>
      <w:r w:rsidR="00D13A6B" w:rsidRPr="00541D46">
        <w:rPr>
          <w:i/>
          <w:noProof/>
          <w:sz w:val="22"/>
          <w:szCs w:val="22"/>
        </w:rPr>
        <w:t>.</w:t>
      </w:r>
      <w:r w:rsidRPr="00541D46">
        <w:rPr>
          <w:i/>
          <w:noProof/>
          <w:sz w:val="22"/>
          <w:szCs w:val="22"/>
        </w:rPr>
        <w:t xml:space="preserve"> Tech</w:t>
      </w:r>
      <w:r w:rsidR="00D13A6B" w:rsidRPr="00541D46">
        <w:rPr>
          <w:noProof/>
          <w:sz w:val="22"/>
          <w:szCs w:val="22"/>
        </w:rPr>
        <w:t>.</w:t>
      </w:r>
      <w:r w:rsidRPr="00541D46">
        <w:rPr>
          <w:noProof/>
          <w:sz w:val="22"/>
          <w:szCs w:val="22"/>
        </w:rPr>
        <w:t xml:space="preserve"> 42:421-432.</w:t>
      </w:r>
      <w:bookmarkEnd w:id="10"/>
      <w:r w:rsidR="00541D46" w:rsidRPr="00541D46">
        <w:rPr>
          <w:noProof/>
          <w:sz w:val="22"/>
          <w:szCs w:val="22"/>
        </w:rPr>
        <w:t xml:space="preserve"> DOI:</w:t>
      </w:r>
      <w:r w:rsidR="00541D46">
        <w:rPr>
          <w:noProof/>
        </w:rPr>
        <w:t xml:space="preserve"> </w:t>
      </w:r>
      <w:hyperlink r:id="rId25" w:history="1">
        <w:r w:rsidR="00541D46" w:rsidRPr="00541D46">
          <w:rPr>
            <w:rStyle w:val="Hyperlink"/>
            <w:color w:val="006DB4"/>
            <w:sz w:val="22"/>
            <w:szCs w:val="22"/>
          </w:rPr>
          <w:t>10.1080/0278682</w:t>
        </w:r>
        <w:r w:rsidR="00541D46" w:rsidRPr="00541D46">
          <w:rPr>
            <w:rStyle w:val="Hyperlink"/>
            <w:color w:val="006DB4"/>
            <w:sz w:val="22"/>
            <w:szCs w:val="22"/>
          </w:rPr>
          <w:t>0</w:t>
        </w:r>
        <w:r w:rsidR="00541D46" w:rsidRPr="00541D46">
          <w:rPr>
            <w:rStyle w:val="Hyperlink"/>
            <w:color w:val="006DB4"/>
            <w:sz w:val="22"/>
            <w:szCs w:val="22"/>
          </w:rPr>
          <w:t>802157823</w:t>
        </w:r>
      </w:hyperlink>
      <w:r w:rsidR="00541D46">
        <w:rPr>
          <w:color w:val="333333"/>
          <w:sz w:val="22"/>
          <w:szCs w:val="22"/>
        </w:rPr>
        <w:t>.</w:t>
      </w:r>
    </w:p>
    <w:p w14:paraId="01EC8431" w14:textId="6DBA4C68" w:rsidR="0055410F" w:rsidRPr="00CF2760" w:rsidRDefault="0055410F" w:rsidP="00CF2760">
      <w:pPr>
        <w:rPr>
          <w:rFonts w:eastAsia="Times New Roman" w:cs="Times New Roman"/>
          <w:sz w:val="24"/>
          <w:szCs w:val="24"/>
          <w:lang w:val="en-CA"/>
        </w:rPr>
      </w:pPr>
      <w:bookmarkStart w:id="11" w:name="_ENREF_11"/>
      <w:r w:rsidRPr="0055410F">
        <w:rPr>
          <w:rFonts w:cs="Times New Roman"/>
          <w:noProof/>
        </w:rPr>
        <w:t xml:space="preserve">Topping, D. O., </w:t>
      </w:r>
      <w:r w:rsidR="00CF2760">
        <w:rPr>
          <w:rFonts w:cs="Times New Roman"/>
          <w:noProof/>
        </w:rPr>
        <w:t xml:space="preserve">G. B. </w:t>
      </w:r>
      <w:r w:rsidRPr="0055410F">
        <w:rPr>
          <w:rFonts w:cs="Times New Roman"/>
          <w:noProof/>
        </w:rPr>
        <w:t xml:space="preserve">McFiggans, G. Kiss, </w:t>
      </w:r>
      <w:r w:rsidR="00CF2760">
        <w:rPr>
          <w:rFonts w:cs="Times New Roman"/>
          <w:noProof/>
        </w:rPr>
        <w:t>Z.</w:t>
      </w:r>
      <w:r w:rsidRPr="0055410F">
        <w:rPr>
          <w:rFonts w:cs="Times New Roman"/>
          <w:noProof/>
        </w:rPr>
        <w:t xml:space="preserve"> Varga, </w:t>
      </w:r>
      <w:r w:rsidR="00CF2760">
        <w:rPr>
          <w:rFonts w:cs="Times New Roman"/>
          <w:noProof/>
        </w:rPr>
        <w:t>M. C.</w:t>
      </w:r>
      <w:r w:rsidRPr="0055410F">
        <w:rPr>
          <w:rFonts w:cs="Times New Roman"/>
          <w:noProof/>
        </w:rPr>
        <w:t xml:space="preserve"> Facchini, </w:t>
      </w:r>
      <w:r w:rsidR="00CF2760">
        <w:rPr>
          <w:rFonts w:cs="Times New Roman"/>
          <w:noProof/>
        </w:rPr>
        <w:t>S.</w:t>
      </w:r>
      <w:r w:rsidRPr="0055410F">
        <w:rPr>
          <w:rFonts w:cs="Times New Roman"/>
          <w:noProof/>
        </w:rPr>
        <w:t xml:space="preserve"> Decesari,</w:t>
      </w:r>
      <w:r w:rsidR="00CF2760">
        <w:rPr>
          <w:rFonts w:cs="Times New Roman"/>
          <w:noProof/>
        </w:rPr>
        <w:t xml:space="preserve">and M. </w:t>
      </w:r>
      <w:r w:rsidRPr="0055410F">
        <w:rPr>
          <w:rFonts w:cs="Times New Roman"/>
          <w:noProof/>
        </w:rPr>
        <w:t>Mir</w:t>
      </w:r>
      <w:r w:rsidR="00CF2760">
        <w:rPr>
          <w:rFonts w:cs="Times New Roman"/>
          <w:noProof/>
        </w:rPr>
        <w:t>cea</w:t>
      </w:r>
      <w:r w:rsidRPr="0055410F">
        <w:rPr>
          <w:rFonts w:cs="Times New Roman"/>
          <w:noProof/>
        </w:rPr>
        <w:t>. 2007. Surface tensions of multi-component mixed inorganic/organic aqueous systems of atmospheric significance: measurements, model predictions and importance for cloud activation predictions.</w:t>
      </w:r>
      <w:r w:rsidRPr="00BA099F">
        <w:rPr>
          <w:rFonts w:cs="Times New Roman"/>
          <w:i/>
          <w:noProof/>
        </w:rPr>
        <w:t xml:space="preserve"> Atmos</w:t>
      </w:r>
      <w:r w:rsidR="00BA099F" w:rsidRPr="00BA099F">
        <w:rPr>
          <w:rFonts w:cs="Times New Roman"/>
          <w:i/>
          <w:noProof/>
        </w:rPr>
        <w:t>.</w:t>
      </w:r>
      <w:r w:rsidRPr="00BA099F">
        <w:rPr>
          <w:rFonts w:cs="Times New Roman"/>
          <w:i/>
          <w:noProof/>
        </w:rPr>
        <w:t xml:space="preserve"> Chem </w:t>
      </w:r>
      <w:r w:rsidR="00BA099F" w:rsidRPr="00BA099F">
        <w:rPr>
          <w:rFonts w:cs="Times New Roman"/>
          <w:i/>
          <w:noProof/>
        </w:rPr>
        <w:t>.</w:t>
      </w:r>
      <w:r w:rsidRPr="00BA099F">
        <w:rPr>
          <w:rFonts w:cs="Times New Roman"/>
          <w:i/>
          <w:noProof/>
        </w:rPr>
        <w:t>Phys</w:t>
      </w:r>
      <w:r w:rsidR="00BA099F" w:rsidRPr="00BA099F">
        <w:rPr>
          <w:rFonts w:cs="Times New Roman"/>
          <w:i/>
          <w:noProof/>
        </w:rPr>
        <w:t>.</w:t>
      </w:r>
      <w:r w:rsidRPr="0055410F">
        <w:rPr>
          <w:rFonts w:cs="Times New Roman"/>
          <w:noProof/>
        </w:rPr>
        <w:t xml:space="preserve"> 7:2371-2398.</w:t>
      </w:r>
      <w:bookmarkEnd w:id="11"/>
      <w:r w:rsidR="00CF2760">
        <w:rPr>
          <w:rFonts w:cs="Times New Roman"/>
          <w:noProof/>
        </w:rPr>
        <w:t xml:space="preserve"> DOI:</w:t>
      </w:r>
      <w:r w:rsidR="00CF2760" w:rsidRPr="00CF2760">
        <w:rPr>
          <w:rFonts w:cs="Times New Roman"/>
          <w:noProof/>
          <w:color w:val="000000" w:themeColor="text1"/>
        </w:rPr>
        <w:t xml:space="preserve"> </w:t>
      </w:r>
      <w:hyperlink r:id="rId26" w:history="1">
        <w:r w:rsidR="00CF2760" w:rsidRPr="00CF2760">
          <w:rPr>
            <w:rStyle w:val="Hyperlink"/>
            <w:rFonts w:eastAsia="Times New Roman" w:cs="Times New Roman"/>
            <w:shd w:val="clear" w:color="auto" w:fill="FFFFFF"/>
            <w:lang w:val="en-CA"/>
          </w:rPr>
          <w:t>10.5194</w:t>
        </w:r>
        <w:r w:rsidR="00CF2760" w:rsidRPr="00CF2760">
          <w:rPr>
            <w:rStyle w:val="Hyperlink"/>
            <w:rFonts w:eastAsia="Times New Roman" w:cs="Times New Roman"/>
            <w:shd w:val="clear" w:color="auto" w:fill="FFFFFF"/>
            <w:lang w:val="en-CA"/>
          </w:rPr>
          <w:t>/</w:t>
        </w:r>
        <w:r w:rsidR="00CF2760" w:rsidRPr="00CF2760">
          <w:rPr>
            <w:rStyle w:val="Hyperlink"/>
            <w:rFonts w:eastAsia="Times New Roman" w:cs="Times New Roman"/>
            <w:shd w:val="clear" w:color="auto" w:fill="FFFFFF"/>
            <w:lang w:val="en-CA"/>
          </w:rPr>
          <w:t>acp-7-2371-2007</w:t>
        </w:r>
      </w:hyperlink>
      <w:r w:rsidR="00CF2760">
        <w:rPr>
          <w:rFonts w:eastAsia="Times New Roman" w:cs="Times New Roman"/>
          <w:color w:val="000000" w:themeColor="text1"/>
          <w:shd w:val="clear" w:color="auto" w:fill="FFFFFF"/>
          <w:lang w:val="en-CA"/>
        </w:rPr>
        <w:t>.</w:t>
      </w:r>
    </w:p>
    <w:p w14:paraId="08B2E6C1" w14:textId="0CCB05E1" w:rsidR="0055410F" w:rsidRPr="00FA637B" w:rsidRDefault="0055410F" w:rsidP="00FA637B">
      <w:pPr>
        <w:rPr>
          <w:color w:val="000000" w:themeColor="text1"/>
        </w:rPr>
      </w:pPr>
      <w:bookmarkStart w:id="12" w:name="_ENREF_12"/>
      <w:r w:rsidRPr="0055410F">
        <w:rPr>
          <w:rFonts w:cs="Times New Roman"/>
          <w:noProof/>
        </w:rPr>
        <w:t xml:space="preserve">Wiedensohler, A. 1988. An Approximation of the Bipolar Charge-Distribution for Particles in the Sub-Micron Size Range. </w:t>
      </w:r>
      <w:r w:rsidRPr="00541D46">
        <w:rPr>
          <w:rFonts w:cs="Times New Roman"/>
          <w:i/>
          <w:noProof/>
        </w:rPr>
        <w:t>J</w:t>
      </w:r>
      <w:r w:rsidR="00541D46" w:rsidRPr="00541D46">
        <w:rPr>
          <w:rFonts w:cs="Times New Roman"/>
          <w:i/>
          <w:noProof/>
        </w:rPr>
        <w:t>.</w:t>
      </w:r>
      <w:r w:rsidRPr="00541D46">
        <w:rPr>
          <w:rFonts w:cs="Times New Roman"/>
          <w:i/>
          <w:noProof/>
        </w:rPr>
        <w:t xml:space="preserve"> Aerosol Sci</w:t>
      </w:r>
      <w:r w:rsidR="00541D46">
        <w:rPr>
          <w:rFonts w:cs="Times New Roman"/>
          <w:noProof/>
        </w:rPr>
        <w:t xml:space="preserve">. </w:t>
      </w:r>
      <w:r w:rsidRPr="0055410F">
        <w:rPr>
          <w:rFonts w:cs="Times New Roman"/>
          <w:noProof/>
        </w:rPr>
        <w:t>19:387-389.</w:t>
      </w:r>
      <w:bookmarkEnd w:id="12"/>
      <w:r w:rsidR="00FA637B">
        <w:rPr>
          <w:rFonts w:cs="Times New Roman"/>
          <w:noProof/>
        </w:rPr>
        <w:t xml:space="preserve"> DOI: </w:t>
      </w:r>
      <w:hyperlink r:id="rId27" w:tgtFrame="_blank" w:tooltip="Persistent link using digital object identifier" w:history="1">
        <w:r w:rsidR="00FA637B" w:rsidRPr="00FA637B">
          <w:rPr>
            <w:rStyle w:val="Hyperlink"/>
            <w:rFonts w:cs="Times New Roman"/>
            <w:color w:val="0070C0"/>
          </w:rPr>
          <w:t>10.101</w:t>
        </w:r>
        <w:r w:rsidR="00FA637B" w:rsidRPr="00FA637B">
          <w:rPr>
            <w:rStyle w:val="Hyperlink"/>
            <w:rFonts w:cs="Times New Roman"/>
            <w:color w:val="0070C0"/>
          </w:rPr>
          <w:t>6</w:t>
        </w:r>
        <w:r w:rsidR="00FA637B" w:rsidRPr="00FA637B">
          <w:rPr>
            <w:rStyle w:val="Hyperlink"/>
            <w:rFonts w:cs="Times New Roman"/>
            <w:color w:val="0070C0"/>
          </w:rPr>
          <w:t>/0</w:t>
        </w:r>
        <w:r w:rsidR="00FA637B" w:rsidRPr="00FA637B">
          <w:rPr>
            <w:rStyle w:val="Hyperlink"/>
            <w:rFonts w:cs="Times New Roman"/>
            <w:color w:val="0070C0"/>
          </w:rPr>
          <w:t>0</w:t>
        </w:r>
        <w:r w:rsidR="00FA637B" w:rsidRPr="00FA637B">
          <w:rPr>
            <w:rStyle w:val="Hyperlink"/>
            <w:rFonts w:cs="Times New Roman"/>
            <w:color w:val="0070C0"/>
          </w:rPr>
          <w:t>21-8502(88)90278-9</w:t>
        </w:r>
      </w:hyperlink>
      <w:r w:rsidR="00FA637B">
        <w:rPr>
          <w:rFonts w:cs="Times New Roman"/>
          <w:color w:val="0070C0"/>
        </w:rPr>
        <w:t>.</w:t>
      </w:r>
    </w:p>
    <w:p w14:paraId="7C0586A5" w14:textId="19E00C2F" w:rsidR="0055410F" w:rsidRPr="00FA637B" w:rsidRDefault="0055410F" w:rsidP="00FA637B">
      <w:bookmarkStart w:id="13" w:name="_ENREF_13"/>
      <w:r w:rsidRPr="0055410F">
        <w:rPr>
          <w:rFonts w:cs="Times New Roman"/>
          <w:noProof/>
        </w:rPr>
        <w:t>Woessner, R. H.</w:t>
      </w:r>
      <w:r w:rsidR="00996694">
        <w:rPr>
          <w:rFonts w:cs="Times New Roman"/>
          <w:noProof/>
        </w:rPr>
        <w:t>,</w:t>
      </w:r>
      <w:r w:rsidRPr="0055410F">
        <w:rPr>
          <w:rFonts w:cs="Times New Roman"/>
          <w:noProof/>
        </w:rPr>
        <w:t xml:space="preserve"> and </w:t>
      </w:r>
      <w:r w:rsidR="00FA637B">
        <w:rPr>
          <w:rFonts w:cs="Times New Roman"/>
          <w:noProof/>
        </w:rPr>
        <w:t xml:space="preserve">R. </w:t>
      </w:r>
      <w:r w:rsidRPr="0055410F">
        <w:rPr>
          <w:rFonts w:cs="Times New Roman"/>
          <w:noProof/>
        </w:rPr>
        <w:t xml:space="preserve">Gunn. 1956. Measurements related to the fundamental processes of aerosol electrification. </w:t>
      </w:r>
      <w:r w:rsidRPr="00541D46">
        <w:rPr>
          <w:rFonts w:cs="Times New Roman"/>
          <w:i/>
          <w:noProof/>
        </w:rPr>
        <w:t>Journal of Colloid Science</w:t>
      </w:r>
      <w:r w:rsidRPr="0055410F">
        <w:rPr>
          <w:rFonts w:cs="Times New Roman"/>
          <w:noProof/>
        </w:rPr>
        <w:t xml:space="preserve"> 11:69-76.</w:t>
      </w:r>
      <w:bookmarkEnd w:id="13"/>
      <w:r w:rsidR="00872820">
        <w:rPr>
          <w:rFonts w:cs="Times New Roman"/>
          <w:noProof/>
        </w:rPr>
        <w:t xml:space="preserve"> DOI:</w:t>
      </w:r>
      <w:r w:rsidR="00FA637B">
        <w:rPr>
          <w:rFonts w:cs="Times New Roman"/>
          <w:noProof/>
        </w:rPr>
        <w:t xml:space="preserve"> </w:t>
      </w:r>
      <w:hyperlink r:id="rId28" w:tgtFrame="_blank" w:history="1">
        <w:r w:rsidR="00FA637B" w:rsidRPr="00872820">
          <w:rPr>
            <w:rStyle w:val="Hyperlink"/>
            <w:rFonts w:cs="Times New Roman"/>
            <w:bdr w:val="none" w:sz="0" w:space="0" w:color="auto" w:frame="1"/>
          </w:rPr>
          <w:t>10.101</w:t>
        </w:r>
        <w:r w:rsidR="00FA637B" w:rsidRPr="00872820">
          <w:rPr>
            <w:rStyle w:val="Hyperlink"/>
            <w:rFonts w:cs="Times New Roman"/>
            <w:bdr w:val="none" w:sz="0" w:space="0" w:color="auto" w:frame="1"/>
          </w:rPr>
          <w:t>6</w:t>
        </w:r>
        <w:r w:rsidR="00FA637B" w:rsidRPr="00872820">
          <w:rPr>
            <w:rStyle w:val="Hyperlink"/>
            <w:rFonts w:cs="Times New Roman"/>
            <w:bdr w:val="none" w:sz="0" w:space="0" w:color="auto" w:frame="1"/>
          </w:rPr>
          <w:t>/0</w:t>
        </w:r>
        <w:r w:rsidR="00FA637B" w:rsidRPr="00872820">
          <w:rPr>
            <w:rStyle w:val="Hyperlink"/>
            <w:rFonts w:cs="Times New Roman"/>
            <w:bdr w:val="none" w:sz="0" w:space="0" w:color="auto" w:frame="1"/>
          </w:rPr>
          <w:t>0</w:t>
        </w:r>
        <w:r w:rsidR="00FA637B" w:rsidRPr="00872820">
          <w:rPr>
            <w:rStyle w:val="Hyperlink"/>
            <w:rFonts w:cs="Times New Roman"/>
            <w:bdr w:val="none" w:sz="0" w:space="0" w:color="auto" w:frame="1"/>
          </w:rPr>
          <w:t>95-</w:t>
        </w:r>
        <w:r w:rsidR="00FA637B" w:rsidRPr="00872820">
          <w:rPr>
            <w:rStyle w:val="Hyperlink"/>
            <w:rFonts w:cs="Times New Roman"/>
            <w:bdr w:val="none" w:sz="0" w:space="0" w:color="auto" w:frame="1"/>
          </w:rPr>
          <w:t>8</w:t>
        </w:r>
        <w:r w:rsidR="00FA637B" w:rsidRPr="00872820">
          <w:rPr>
            <w:rStyle w:val="Hyperlink"/>
            <w:rFonts w:cs="Times New Roman"/>
            <w:bdr w:val="none" w:sz="0" w:space="0" w:color="auto" w:frame="1"/>
          </w:rPr>
          <w:t>522(56)90021-6</w:t>
        </w:r>
        <w:r w:rsidR="00872820" w:rsidRPr="00872820">
          <w:rPr>
            <w:rStyle w:val="Hyperlink"/>
            <w:rFonts w:cs="Times New Roman"/>
            <w:color w:val="000000" w:themeColor="text1"/>
          </w:rPr>
          <w:t>.</w:t>
        </w:r>
      </w:hyperlink>
    </w:p>
    <w:p w14:paraId="7FF4C1C5" w14:textId="3C86B040" w:rsidR="0055410F" w:rsidRPr="006D2FBF" w:rsidRDefault="0055410F" w:rsidP="006D2FBF">
      <w:pPr>
        <w:pStyle w:val="dx-doi"/>
        <w:spacing w:before="0" w:after="0"/>
        <w:rPr>
          <w:rFonts w:ascii="Arial" w:hAnsi="Arial" w:cs="Arial"/>
          <w:color w:val="333333"/>
          <w:sz w:val="20"/>
          <w:szCs w:val="20"/>
        </w:rPr>
      </w:pPr>
      <w:bookmarkStart w:id="14" w:name="_ENREF_14"/>
      <w:r w:rsidRPr="0055410F">
        <w:rPr>
          <w:noProof/>
        </w:rPr>
        <w:t xml:space="preserve">Wright, T. P., </w:t>
      </w:r>
      <w:r w:rsidR="00FA637B">
        <w:rPr>
          <w:noProof/>
        </w:rPr>
        <w:t xml:space="preserve">C. </w:t>
      </w:r>
      <w:r w:rsidRPr="0055410F">
        <w:rPr>
          <w:noProof/>
        </w:rPr>
        <w:t xml:space="preserve">Song, </w:t>
      </w:r>
      <w:r w:rsidR="00FA637B">
        <w:rPr>
          <w:noProof/>
        </w:rPr>
        <w:t>S.</w:t>
      </w:r>
      <w:r w:rsidRPr="0055410F">
        <w:rPr>
          <w:noProof/>
        </w:rPr>
        <w:t xml:space="preserve"> Sears, </w:t>
      </w:r>
      <w:r w:rsidR="00FA637B">
        <w:rPr>
          <w:noProof/>
        </w:rPr>
        <w:t>M. D.</w:t>
      </w:r>
      <w:r w:rsidRPr="0055410F">
        <w:rPr>
          <w:noProof/>
        </w:rPr>
        <w:t xml:space="preserve"> Petters. 2016. Thermodynamic and kinetic behavior of glycerol aerosol. </w:t>
      </w:r>
      <w:r w:rsidRPr="00541D46">
        <w:rPr>
          <w:i/>
          <w:noProof/>
        </w:rPr>
        <w:t>Aerosol Sci</w:t>
      </w:r>
      <w:r w:rsidR="00BA099F" w:rsidRPr="00541D46">
        <w:rPr>
          <w:i/>
          <w:noProof/>
        </w:rPr>
        <w:t xml:space="preserve">. </w:t>
      </w:r>
      <w:r w:rsidRPr="00541D46">
        <w:rPr>
          <w:i/>
          <w:noProof/>
        </w:rPr>
        <w:t>Technol</w:t>
      </w:r>
      <w:r w:rsidR="00BA099F">
        <w:rPr>
          <w:noProof/>
        </w:rPr>
        <w:t xml:space="preserve">. </w:t>
      </w:r>
      <w:r w:rsidRPr="0055410F">
        <w:rPr>
          <w:noProof/>
        </w:rPr>
        <w:t>50:1385-1396.</w:t>
      </w:r>
      <w:bookmarkEnd w:id="14"/>
      <w:r w:rsidR="006D2FBF">
        <w:rPr>
          <w:noProof/>
        </w:rPr>
        <w:t xml:space="preserve"> DOI:</w:t>
      </w:r>
      <w:r w:rsidR="00EF493C">
        <w:rPr>
          <w:noProof/>
        </w:rPr>
        <w:t xml:space="preserve"> </w:t>
      </w:r>
      <w:r w:rsidR="00EF493C" w:rsidRPr="00EF493C">
        <w:rPr>
          <w:color w:val="333333"/>
          <w:sz w:val="22"/>
          <w:szCs w:val="22"/>
        </w:rPr>
        <w:fldChar w:fldCharType="begin"/>
      </w:r>
      <w:r w:rsidR="006D2FBF">
        <w:rPr>
          <w:color w:val="333333"/>
          <w:sz w:val="22"/>
          <w:szCs w:val="22"/>
        </w:rPr>
        <w:instrText>HYPERLINK "https://www.tandfonline.com/doi/full/10.1080/02786826.2016.1245405"</w:instrText>
      </w:r>
      <w:r w:rsidR="006D2FBF" w:rsidRPr="00EF493C">
        <w:rPr>
          <w:color w:val="333333"/>
          <w:sz w:val="22"/>
          <w:szCs w:val="22"/>
        </w:rPr>
      </w:r>
      <w:r w:rsidR="00EF493C" w:rsidRPr="00EF493C">
        <w:rPr>
          <w:color w:val="333333"/>
          <w:sz w:val="22"/>
          <w:szCs w:val="22"/>
        </w:rPr>
        <w:fldChar w:fldCharType="separate"/>
      </w:r>
      <w:r w:rsidR="00EF493C" w:rsidRPr="00EF493C">
        <w:rPr>
          <w:rStyle w:val="Hyperlink"/>
          <w:color w:val="10147E"/>
          <w:sz w:val="22"/>
          <w:szCs w:val="22"/>
        </w:rPr>
        <w:t>10.1080/027</w:t>
      </w:r>
      <w:r w:rsidR="00EF493C" w:rsidRPr="00EF493C">
        <w:rPr>
          <w:rStyle w:val="Hyperlink"/>
          <w:color w:val="10147E"/>
          <w:sz w:val="22"/>
          <w:szCs w:val="22"/>
        </w:rPr>
        <w:t>8</w:t>
      </w:r>
      <w:r w:rsidR="00EF493C" w:rsidRPr="00EF493C">
        <w:rPr>
          <w:rStyle w:val="Hyperlink"/>
          <w:color w:val="10147E"/>
          <w:sz w:val="22"/>
          <w:szCs w:val="22"/>
        </w:rPr>
        <w:t>6826.2016.1245405</w:t>
      </w:r>
      <w:r w:rsidR="00EF493C" w:rsidRPr="00EF493C">
        <w:rPr>
          <w:color w:val="333333"/>
          <w:sz w:val="22"/>
          <w:szCs w:val="22"/>
        </w:rPr>
        <w:fldChar w:fldCharType="end"/>
      </w:r>
      <w:r w:rsidR="006D2FBF" w:rsidRPr="006D2FBF">
        <w:rPr>
          <w:color w:val="000000" w:themeColor="text1"/>
          <w:sz w:val="22"/>
          <w:szCs w:val="22"/>
        </w:rPr>
        <w:t>.</w:t>
      </w:r>
    </w:p>
    <w:p w14:paraId="6EDE5586" w14:textId="0B23B2C0" w:rsidR="0055410F" w:rsidRPr="0055410F" w:rsidRDefault="0055410F" w:rsidP="0055410F">
      <w:pPr>
        <w:spacing w:line="240" w:lineRule="auto"/>
        <w:rPr>
          <w:rFonts w:cs="Times New Roman"/>
          <w:noProof/>
        </w:rPr>
      </w:pPr>
      <w:bookmarkStart w:id="15" w:name="_ENREF_15"/>
      <w:r w:rsidRPr="0055410F">
        <w:rPr>
          <w:rFonts w:cs="Times New Roman"/>
          <w:noProof/>
        </w:rPr>
        <w:t xml:space="preserve">Yaws, C. L. 2008. Thermophysical properties of chemicals and hydrocarbons. </w:t>
      </w:r>
      <w:r w:rsidR="00BA099F" w:rsidRPr="0055410F">
        <w:rPr>
          <w:rFonts w:cs="Times New Roman"/>
          <w:noProof/>
        </w:rPr>
        <w:t>Norwich, NY</w:t>
      </w:r>
      <w:r w:rsidR="00BA099F">
        <w:rPr>
          <w:rFonts w:cs="Times New Roman"/>
          <w:noProof/>
        </w:rPr>
        <w:t>:</w:t>
      </w:r>
      <w:r w:rsidR="00BA099F" w:rsidRPr="0055410F">
        <w:rPr>
          <w:rFonts w:cs="Times New Roman"/>
          <w:noProof/>
        </w:rPr>
        <w:t xml:space="preserve"> </w:t>
      </w:r>
      <w:r w:rsidRPr="0055410F">
        <w:rPr>
          <w:rFonts w:cs="Times New Roman"/>
          <w:noProof/>
        </w:rPr>
        <w:t>William Andrew.</w:t>
      </w:r>
      <w:bookmarkEnd w:id="15"/>
    </w:p>
    <w:p w14:paraId="21424440" w14:textId="6BBA8DC9" w:rsidR="0055410F" w:rsidRDefault="0055410F" w:rsidP="0055410F">
      <w:pPr>
        <w:spacing w:line="240" w:lineRule="auto"/>
        <w:rPr>
          <w:rFonts w:cs="Times New Roman"/>
          <w:noProof/>
        </w:rPr>
      </w:pPr>
      <w:bookmarkStart w:id="16" w:name="_GoBack"/>
      <w:bookmarkEnd w:id="16"/>
    </w:p>
    <w:p w14:paraId="432BC454" w14:textId="077EA9BC" w:rsidR="009B035A" w:rsidRPr="009B035A" w:rsidRDefault="0076170E" w:rsidP="009B035A">
      <w:r>
        <w:fldChar w:fldCharType="end"/>
      </w:r>
    </w:p>
    <w:sectPr w:rsidR="009B035A" w:rsidRPr="009B03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472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124D94"/>
    <w:multiLevelType w:val="multilevel"/>
    <w:tmpl w:val="F702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763652"/>
    <w:multiLevelType w:val="multilevel"/>
    <w:tmpl w:val="2E60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970115"/>
    <w:multiLevelType w:val="multilevel"/>
    <w:tmpl w:val="5780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EA7B76"/>
    <w:multiLevelType w:val="multilevel"/>
    <w:tmpl w:val="20FCD216"/>
    <w:lvl w:ilvl="0">
      <w:start w:val="1"/>
      <w:numFmt w:val="decimal"/>
      <w:suff w:val="space"/>
      <w:lvlText w:val="S%1."/>
      <w:lvlJc w:val="left"/>
      <w:pPr>
        <w:ind w:left="360" w:hanging="360"/>
      </w:pPr>
      <w:rPr>
        <w:rFonts w:hint="default"/>
      </w:rPr>
    </w:lvl>
    <w:lvl w:ilvl="1">
      <w:start w:val="1"/>
      <w:numFmt w:val="decimal"/>
      <w:suff w:val="space"/>
      <w:lvlText w:val="S%1.%2."/>
      <w:lvlJc w:val="left"/>
      <w:pPr>
        <w:ind w:left="792" w:hanging="432"/>
      </w:pPr>
      <w:rPr>
        <w:rFonts w:hint="default"/>
      </w:rPr>
    </w:lvl>
    <w:lvl w:ilvl="2">
      <w:start w:val="1"/>
      <w:numFmt w:val="decimal"/>
      <w:suff w:val="space"/>
      <w:lvlText w:val="S%1.%2.%3."/>
      <w:lvlJc w:val="left"/>
      <w:pPr>
        <w:ind w:left="1224" w:hanging="504"/>
      </w:pPr>
      <w:rPr>
        <w:rFonts w:hint="default"/>
      </w:rPr>
    </w:lvl>
    <w:lvl w:ilvl="3">
      <w:start w:val="1"/>
      <w:numFmt w:val="decimal"/>
      <w:suff w:val="space"/>
      <w:lvlText w:val="S%1.%2.%3.%4."/>
      <w:lvlJc w:val="left"/>
      <w:pPr>
        <w:ind w:left="1728" w:hanging="648"/>
      </w:pPr>
      <w:rPr>
        <w:rFonts w:hint="default"/>
      </w:rPr>
    </w:lvl>
    <w:lvl w:ilvl="4">
      <w:start w:val="1"/>
      <w:numFmt w:val="decimal"/>
      <w:lvlText w:val="S%1.%2.%3.%4.%5."/>
      <w:lvlJc w:val="left"/>
      <w:pPr>
        <w:ind w:left="2232" w:hanging="792"/>
      </w:pPr>
      <w:rPr>
        <w:rFonts w:hint="default"/>
      </w:rPr>
    </w:lvl>
    <w:lvl w:ilvl="5">
      <w:start w:val="1"/>
      <w:numFmt w:val="decimal"/>
      <w:lvlText w:val="S%1.%2.%3.%4.%5.%6."/>
      <w:lvlJc w:val="left"/>
      <w:pPr>
        <w:ind w:left="2736" w:hanging="936"/>
      </w:pPr>
      <w:rPr>
        <w:rFonts w:hint="default"/>
      </w:rPr>
    </w:lvl>
    <w:lvl w:ilvl="6">
      <w:start w:val="1"/>
      <w:numFmt w:val="decimal"/>
      <w:lvlText w:val="S%1.%2.%3.%4.%5.%6.%7."/>
      <w:lvlJc w:val="left"/>
      <w:pPr>
        <w:ind w:left="3240" w:hanging="1080"/>
      </w:pPr>
      <w:rPr>
        <w:rFonts w:hint="default"/>
      </w:rPr>
    </w:lvl>
    <w:lvl w:ilvl="7">
      <w:start w:val="1"/>
      <w:numFmt w:val="decimal"/>
      <w:lvlText w:val="S%1.%2.%3.%4.%5.%6.%7.%8."/>
      <w:lvlJc w:val="left"/>
      <w:pPr>
        <w:ind w:left="3744" w:hanging="1224"/>
      </w:pPr>
      <w:rPr>
        <w:rFonts w:hint="default"/>
      </w:rPr>
    </w:lvl>
    <w:lvl w:ilvl="8">
      <w:start w:val="1"/>
      <w:numFmt w:val="decimal"/>
      <w:lvlText w:val="S%1.%2.%3.%4.%5.%6.%7.%8.%9."/>
      <w:lvlJc w:val="left"/>
      <w:pPr>
        <w:ind w:left="4320" w:hanging="1440"/>
      </w:pPr>
      <w:rPr>
        <w:rFonts w:hint="default"/>
      </w:rPr>
    </w:lvl>
  </w:abstractNum>
  <w:abstractNum w:abstractNumId="5" w15:restartNumberingAfterBreak="0">
    <w:nsid w:val="599916AB"/>
    <w:multiLevelType w:val="hybridMultilevel"/>
    <w:tmpl w:val="B4B878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04A414B"/>
    <w:multiLevelType w:val="multilevel"/>
    <w:tmpl w:val="145C7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747184"/>
    <w:multiLevelType w:val="hybridMultilevel"/>
    <w:tmpl w:val="B5DC6A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E655BCA"/>
    <w:multiLevelType w:val="multilevel"/>
    <w:tmpl w:val="92B22340"/>
    <w:lvl w:ilvl="0">
      <w:start w:val="1"/>
      <w:numFmt w:val="decimal"/>
      <w:lvlText w:val="Figure S%1."/>
      <w:lvlJc w:val="left"/>
      <w:pPr>
        <w:ind w:left="72" w:hanging="72"/>
      </w:pPr>
      <w:rPr>
        <w:rFonts w:hint="default"/>
      </w:rPr>
    </w:lvl>
    <w:lvl w:ilvl="1">
      <w:start w:val="1"/>
      <w:numFmt w:val="decimal"/>
      <w:lvlText w:val="Figure S%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5690F0A"/>
    <w:multiLevelType w:val="multilevel"/>
    <w:tmpl w:val="DD1E7084"/>
    <w:lvl w:ilvl="0">
      <w:start w:val="1"/>
      <w:numFmt w:val="decimal"/>
      <w:suff w:val="space"/>
      <w:lvlText w:val="Figure S%1."/>
      <w:lvlJc w:val="left"/>
      <w:pPr>
        <w:ind w:left="72" w:hanging="72"/>
      </w:pPr>
      <w:rPr>
        <w:rFonts w:hint="default"/>
      </w:rPr>
    </w:lvl>
    <w:lvl w:ilvl="1">
      <w:start w:val="1"/>
      <w:numFmt w:val="decimal"/>
      <w:lvlText w:val="Figure S%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0"/>
  </w:num>
  <w:num w:numId="3">
    <w:abstractNumId w:val="8"/>
  </w:num>
  <w:num w:numId="4">
    <w:abstractNumId w:val="9"/>
  </w:num>
  <w:num w:numId="5">
    <w:abstractNumId w:val="5"/>
  </w:num>
  <w:num w:numId="6">
    <w:abstractNumId w:val="7"/>
  </w:num>
  <w:num w:numId="7">
    <w:abstractNumId w:val="6"/>
  </w:num>
  <w:num w:numId="8">
    <w:abstractNumId w:val="2"/>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erosol Science Tech correct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Layout&gt;"/>
    <w:docVar w:name="EN.Libraries" w:val="&lt;Libraries&gt;&lt;item db-id=&quot;w5vt2rse70avfmezsabxaepdstztv5svdxt2&quot;&gt;paper 2b&lt;record-ids&gt;&lt;item&gt;3&lt;/item&gt;&lt;item&gt;6&lt;/item&gt;&lt;item&gt;15&lt;/item&gt;&lt;item&gt;26&lt;/item&gt;&lt;item&gt;27&lt;/item&gt;&lt;/record-ids&gt;&lt;/item&gt;&lt;/Libraries&gt;"/>
  </w:docVars>
  <w:rsids>
    <w:rsidRoot w:val="009B035A"/>
    <w:rsid w:val="00000A44"/>
    <w:rsid w:val="0000139B"/>
    <w:rsid w:val="00001BC9"/>
    <w:rsid w:val="00002B8C"/>
    <w:rsid w:val="00002ED8"/>
    <w:rsid w:val="00003F5E"/>
    <w:rsid w:val="000050D0"/>
    <w:rsid w:val="000053E6"/>
    <w:rsid w:val="0000551A"/>
    <w:rsid w:val="00011C29"/>
    <w:rsid w:val="000121F7"/>
    <w:rsid w:val="0001357E"/>
    <w:rsid w:val="00014106"/>
    <w:rsid w:val="00015F9C"/>
    <w:rsid w:val="00020E92"/>
    <w:rsid w:val="00021BF2"/>
    <w:rsid w:val="00022C80"/>
    <w:rsid w:val="00024A4A"/>
    <w:rsid w:val="00025C2F"/>
    <w:rsid w:val="00026129"/>
    <w:rsid w:val="0002737D"/>
    <w:rsid w:val="00027BDD"/>
    <w:rsid w:val="00027D67"/>
    <w:rsid w:val="0003171B"/>
    <w:rsid w:val="000326B9"/>
    <w:rsid w:val="00032D38"/>
    <w:rsid w:val="0003453D"/>
    <w:rsid w:val="00034A18"/>
    <w:rsid w:val="0003606A"/>
    <w:rsid w:val="0003672B"/>
    <w:rsid w:val="00037095"/>
    <w:rsid w:val="00037632"/>
    <w:rsid w:val="00040687"/>
    <w:rsid w:val="000429A3"/>
    <w:rsid w:val="00044194"/>
    <w:rsid w:val="0004687D"/>
    <w:rsid w:val="00050519"/>
    <w:rsid w:val="00050DB1"/>
    <w:rsid w:val="00051093"/>
    <w:rsid w:val="000511B2"/>
    <w:rsid w:val="00053B28"/>
    <w:rsid w:val="00054A97"/>
    <w:rsid w:val="00055830"/>
    <w:rsid w:val="00055E05"/>
    <w:rsid w:val="0005608E"/>
    <w:rsid w:val="0006248D"/>
    <w:rsid w:val="00065499"/>
    <w:rsid w:val="0006555D"/>
    <w:rsid w:val="00065E0D"/>
    <w:rsid w:val="000661E9"/>
    <w:rsid w:val="00067404"/>
    <w:rsid w:val="00074BBB"/>
    <w:rsid w:val="0007556A"/>
    <w:rsid w:val="00081528"/>
    <w:rsid w:val="00081F58"/>
    <w:rsid w:val="00083D62"/>
    <w:rsid w:val="00084048"/>
    <w:rsid w:val="00085095"/>
    <w:rsid w:val="000852D3"/>
    <w:rsid w:val="00087C79"/>
    <w:rsid w:val="00087F6E"/>
    <w:rsid w:val="00090746"/>
    <w:rsid w:val="00090FA6"/>
    <w:rsid w:val="00092644"/>
    <w:rsid w:val="0009367B"/>
    <w:rsid w:val="00094503"/>
    <w:rsid w:val="0009489C"/>
    <w:rsid w:val="000953FA"/>
    <w:rsid w:val="0009608C"/>
    <w:rsid w:val="000973AF"/>
    <w:rsid w:val="000A1826"/>
    <w:rsid w:val="000A1B96"/>
    <w:rsid w:val="000A237B"/>
    <w:rsid w:val="000A2C0D"/>
    <w:rsid w:val="000A39C5"/>
    <w:rsid w:val="000A3DC0"/>
    <w:rsid w:val="000A4A35"/>
    <w:rsid w:val="000A4DC2"/>
    <w:rsid w:val="000A5A38"/>
    <w:rsid w:val="000A76B3"/>
    <w:rsid w:val="000A7D2F"/>
    <w:rsid w:val="000B0A5B"/>
    <w:rsid w:val="000B370D"/>
    <w:rsid w:val="000B3C5F"/>
    <w:rsid w:val="000B575D"/>
    <w:rsid w:val="000B586F"/>
    <w:rsid w:val="000B5EB3"/>
    <w:rsid w:val="000B6E20"/>
    <w:rsid w:val="000B71A6"/>
    <w:rsid w:val="000B74D7"/>
    <w:rsid w:val="000B7C4E"/>
    <w:rsid w:val="000C11DA"/>
    <w:rsid w:val="000C231F"/>
    <w:rsid w:val="000C29F2"/>
    <w:rsid w:val="000C2ABE"/>
    <w:rsid w:val="000C2DFE"/>
    <w:rsid w:val="000C65AD"/>
    <w:rsid w:val="000C6A83"/>
    <w:rsid w:val="000D075E"/>
    <w:rsid w:val="000D273E"/>
    <w:rsid w:val="000D2FA8"/>
    <w:rsid w:val="000D4BC0"/>
    <w:rsid w:val="000D5496"/>
    <w:rsid w:val="000D63B8"/>
    <w:rsid w:val="000D6E1E"/>
    <w:rsid w:val="000E09BC"/>
    <w:rsid w:val="000E0B34"/>
    <w:rsid w:val="000E12DE"/>
    <w:rsid w:val="000E1479"/>
    <w:rsid w:val="000E4199"/>
    <w:rsid w:val="000E66AB"/>
    <w:rsid w:val="000E757A"/>
    <w:rsid w:val="000E7D3F"/>
    <w:rsid w:val="000E7EE0"/>
    <w:rsid w:val="000F09F9"/>
    <w:rsid w:val="000F101D"/>
    <w:rsid w:val="000F4045"/>
    <w:rsid w:val="000F4258"/>
    <w:rsid w:val="000F4829"/>
    <w:rsid w:val="000F4CD3"/>
    <w:rsid w:val="000F6321"/>
    <w:rsid w:val="000F7CDB"/>
    <w:rsid w:val="000F7D2F"/>
    <w:rsid w:val="00100041"/>
    <w:rsid w:val="00100798"/>
    <w:rsid w:val="00100FA6"/>
    <w:rsid w:val="001037CB"/>
    <w:rsid w:val="00104E1A"/>
    <w:rsid w:val="00104EDD"/>
    <w:rsid w:val="0010568F"/>
    <w:rsid w:val="00106EA3"/>
    <w:rsid w:val="001117E2"/>
    <w:rsid w:val="001133E1"/>
    <w:rsid w:val="00114BBA"/>
    <w:rsid w:val="00114F0E"/>
    <w:rsid w:val="0011613D"/>
    <w:rsid w:val="00116380"/>
    <w:rsid w:val="00116D8F"/>
    <w:rsid w:val="00117E45"/>
    <w:rsid w:val="001206F4"/>
    <w:rsid w:val="00120C85"/>
    <w:rsid w:val="00120E31"/>
    <w:rsid w:val="00123004"/>
    <w:rsid w:val="00123515"/>
    <w:rsid w:val="001236D2"/>
    <w:rsid w:val="001243FA"/>
    <w:rsid w:val="00124CDD"/>
    <w:rsid w:val="0012506B"/>
    <w:rsid w:val="0012519F"/>
    <w:rsid w:val="0012621A"/>
    <w:rsid w:val="0013066D"/>
    <w:rsid w:val="00130A6A"/>
    <w:rsid w:val="00131253"/>
    <w:rsid w:val="00131441"/>
    <w:rsid w:val="00134830"/>
    <w:rsid w:val="00134888"/>
    <w:rsid w:val="00135CC2"/>
    <w:rsid w:val="0014170A"/>
    <w:rsid w:val="00142458"/>
    <w:rsid w:val="00143AB1"/>
    <w:rsid w:val="00143C7A"/>
    <w:rsid w:val="0014533C"/>
    <w:rsid w:val="00146E2F"/>
    <w:rsid w:val="0015109F"/>
    <w:rsid w:val="001513E2"/>
    <w:rsid w:val="00152A80"/>
    <w:rsid w:val="00152CA7"/>
    <w:rsid w:val="001556AC"/>
    <w:rsid w:val="0015632D"/>
    <w:rsid w:val="00160D11"/>
    <w:rsid w:val="00161011"/>
    <w:rsid w:val="00161C24"/>
    <w:rsid w:val="00163303"/>
    <w:rsid w:val="0016387B"/>
    <w:rsid w:val="00165F48"/>
    <w:rsid w:val="00166652"/>
    <w:rsid w:val="00170839"/>
    <w:rsid w:val="00170CF3"/>
    <w:rsid w:val="00174B50"/>
    <w:rsid w:val="001768FE"/>
    <w:rsid w:val="00176A95"/>
    <w:rsid w:val="00177F95"/>
    <w:rsid w:val="00181D68"/>
    <w:rsid w:val="00181F39"/>
    <w:rsid w:val="00182486"/>
    <w:rsid w:val="0018356D"/>
    <w:rsid w:val="00183827"/>
    <w:rsid w:val="00183EA8"/>
    <w:rsid w:val="001850FF"/>
    <w:rsid w:val="00191DE2"/>
    <w:rsid w:val="001931E3"/>
    <w:rsid w:val="001946B4"/>
    <w:rsid w:val="0019473C"/>
    <w:rsid w:val="00194CCB"/>
    <w:rsid w:val="00195813"/>
    <w:rsid w:val="00195B19"/>
    <w:rsid w:val="001966B8"/>
    <w:rsid w:val="00196A90"/>
    <w:rsid w:val="001975BF"/>
    <w:rsid w:val="001975C6"/>
    <w:rsid w:val="001A097B"/>
    <w:rsid w:val="001A0E31"/>
    <w:rsid w:val="001A0E7B"/>
    <w:rsid w:val="001B0A8A"/>
    <w:rsid w:val="001B1827"/>
    <w:rsid w:val="001B2B24"/>
    <w:rsid w:val="001B43F6"/>
    <w:rsid w:val="001B4490"/>
    <w:rsid w:val="001B7AB5"/>
    <w:rsid w:val="001C16F0"/>
    <w:rsid w:val="001C1B62"/>
    <w:rsid w:val="001C3A8F"/>
    <w:rsid w:val="001C5618"/>
    <w:rsid w:val="001C641B"/>
    <w:rsid w:val="001C6C46"/>
    <w:rsid w:val="001C6C60"/>
    <w:rsid w:val="001D2298"/>
    <w:rsid w:val="001D2E0E"/>
    <w:rsid w:val="001D40E0"/>
    <w:rsid w:val="001D7662"/>
    <w:rsid w:val="001D7A23"/>
    <w:rsid w:val="001E066D"/>
    <w:rsid w:val="001E07EE"/>
    <w:rsid w:val="001E0B3F"/>
    <w:rsid w:val="001E123A"/>
    <w:rsid w:val="001E16D9"/>
    <w:rsid w:val="001E1A40"/>
    <w:rsid w:val="001E1AE2"/>
    <w:rsid w:val="001E2F12"/>
    <w:rsid w:val="001E4CE6"/>
    <w:rsid w:val="001E52F3"/>
    <w:rsid w:val="001E5BE3"/>
    <w:rsid w:val="001E67BD"/>
    <w:rsid w:val="001F0DA5"/>
    <w:rsid w:val="001F1132"/>
    <w:rsid w:val="001F4067"/>
    <w:rsid w:val="001F5B15"/>
    <w:rsid w:val="001F5D65"/>
    <w:rsid w:val="0020011A"/>
    <w:rsid w:val="002004A2"/>
    <w:rsid w:val="00200885"/>
    <w:rsid w:val="00200D03"/>
    <w:rsid w:val="00200E5F"/>
    <w:rsid w:val="00202A0F"/>
    <w:rsid w:val="00204965"/>
    <w:rsid w:val="00204B8E"/>
    <w:rsid w:val="00205B29"/>
    <w:rsid w:val="00205F28"/>
    <w:rsid w:val="0020665D"/>
    <w:rsid w:val="00207987"/>
    <w:rsid w:val="00207DF8"/>
    <w:rsid w:val="00210714"/>
    <w:rsid w:val="00210C0B"/>
    <w:rsid w:val="00211381"/>
    <w:rsid w:val="00213622"/>
    <w:rsid w:val="00217002"/>
    <w:rsid w:val="00217686"/>
    <w:rsid w:val="0022044E"/>
    <w:rsid w:val="00221314"/>
    <w:rsid w:val="00221B51"/>
    <w:rsid w:val="00221DE7"/>
    <w:rsid w:val="0022201A"/>
    <w:rsid w:val="0022277C"/>
    <w:rsid w:val="00222E1D"/>
    <w:rsid w:val="00222F29"/>
    <w:rsid w:val="00223032"/>
    <w:rsid w:val="0022312B"/>
    <w:rsid w:val="002231B4"/>
    <w:rsid w:val="00223256"/>
    <w:rsid w:val="002232B8"/>
    <w:rsid w:val="002233A2"/>
    <w:rsid w:val="00223C13"/>
    <w:rsid w:val="0022510A"/>
    <w:rsid w:val="00225C75"/>
    <w:rsid w:val="00225CC1"/>
    <w:rsid w:val="0022664E"/>
    <w:rsid w:val="00226C69"/>
    <w:rsid w:val="002305D1"/>
    <w:rsid w:val="002309B4"/>
    <w:rsid w:val="00233D84"/>
    <w:rsid w:val="002353BA"/>
    <w:rsid w:val="00235E61"/>
    <w:rsid w:val="0023640E"/>
    <w:rsid w:val="002414D6"/>
    <w:rsid w:val="00242866"/>
    <w:rsid w:val="00246279"/>
    <w:rsid w:val="0024633A"/>
    <w:rsid w:val="002478F0"/>
    <w:rsid w:val="00247917"/>
    <w:rsid w:val="00247F5A"/>
    <w:rsid w:val="00250B7D"/>
    <w:rsid w:val="00252C7C"/>
    <w:rsid w:val="00253835"/>
    <w:rsid w:val="00255613"/>
    <w:rsid w:val="00257E84"/>
    <w:rsid w:val="00263AC7"/>
    <w:rsid w:val="00263C0E"/>
    <w:rsid w:val="00264A78"/>
    <w:rsid w:val="00264A7B"/>
    <w:rsid w:val="00264C38"/>
    <w:rsid w:val="00264C50"/>
    <w:rsid w:val="00264EE9"/>
    <w:rsid w:val="00266AFD"/>
    <w:rsid w:val="0026710E"/>
    <w:rsid w:val="00271301"/>
    <w:rsid w:val="00271776"/>
    <w:rsid w:val="00273733"/>
    <w:rsid w:val="00274317"/>
    <w:rsid w:val="002747BA"/>
    <w:rsid w:val="002749FE"/>
    <w:rsid w:val="00274C1E"/>
    <w:rsid w:val="00274C3F"/>
    <w:rsid w:val="0028026A"/>
    <w:rsid w:val="00281D65"/>
    <w:rsid w:val="002821C7"/>
    <w:rsid w:val="00282A1B"/>
    <w:rsid w:val="00283771"/>
    <w:rsid w:val="002862DC"/>
    <w:rsid w:val="002864DB"/>
    <w:rsid w:val="002866CE"/>
    <w:rsid w:val="0028784F"/>
    <w:rsid w:val="00292DA7"/>
    <w:rsid w:val="00295B80"/>
    <w:rsid w:val="00296167"/>
    <w:rsid w:val="00297D87"/>
    <w:rsid w:val="002A0D17"/>
    <w:rsid w:val="002A3356"/>
    <w:rsid w:val="002A5332"/>
    <w:rsid w:val="002A5DA4"/>
    <w:rsid w:val="002A73BF"/>
    <w:rsid w:val="002A7BDA"/>
    <w:rsid w:val="002B06FB"/>
    <w:rsid w:val="002B13E9"/>
    <w:rsid w:val="002B1ABC"/>
    <w:rsid w:val="002B218E"/>
    <w:rsid w:val="002B338E"/>
    <w:rsid w:val="002B49F1"/>
    <w:rsid w:val="002B65C6"/>
    <w:rsid w:val="002C1222"/>
    <w:rsid w:val="002C223F"/>
    <w:rsid w:val="002C28EB"/>
    <w:rsid w:val="002C3C44"/>
    <w:rsid w:val="002C576B"/>
    <w:rsid w:val="002C7343"/>
    <w:rsid w:val="002D04A4"/>
    <w:rsid w:val="002D1A63"/>
    <w:rsid w:val="002D20E1"/>
    <w:rsid w:val="002D336F"/>
    <w:rsid w:val="002D3D8F"/>
    <w:rsid w:val="002D45E5"/>
    <w:rsid w:val="002D7C91"/>
    <w:rsid w:val="002E0514"/>
    <w:rsid w:val="002E0A9A"/>
    <w:rsid w:val="002E184A"/>
    <w:rsid w:val="002E2476"/>
    <w:rsid w:val="002E3887"/>
    <w:rsid w:val="002E42C2"/>
    <w:rsid w:val="002E49D4"/>
    <w:rsid w:val="002E4BC5"/>
    <w:rsid w:val="002E5DAE"/>
    <w:rsid w:val="002E6172"/>
    <w:rsid w:val="002E7B8E"/>
    <w:rsid w:val="002F1A6A"/>
    <w:rsid w:val="002F1EA7"/>
    <w:rsid w:val="002F60E5"/>
    <w:rsid w:val="002F689D"/>
    <w:rsid w:val="00301559"/>
    <w:rsid w:val="00301BDA"/>
    <w:rsid w:val="00302149"/>
    <w:rsid w:val="0030244D"/>
    <w:rsid w:val="003109FB"/>
    <w:rsid w:val="00314291"/>
    <w:rsid w:val="0031592E"/>
    <w:rsid w:val="00315C4F"/>
    <w:rsid w:val="00316B23"/>
    <w:rsid w:val="00317224"/>
    <w:rsid w:val="00323A1A"/>
    <w:rsid w:val="00323DD7"/>
    <w:rsid w:val="00323F3A"/>
    <w:rsid w:val="00335F18"/>
    <w:rsid w:val="00337772"/>
    <w:rsid w:val="00337833"/>
    <w:rsid w:val="00341862"/>
    <w:rsid w:val="00342865"/>
    <w:rsid w:val="0034313E"/>
    <w:rsid w:val="00343394"/>
    <w:rsid w:val="0034426C"/>
    <w:rsid w:val="003449F5"/>
    <w:rsid w:val="0035219C"/>
    <w:rsid w:val="00353019"/>
    <w:rsid w:val="00353270"/>
    <w:rsid w:val="00353273"/>
    <w:rsid w:val="003547D0"/>
    <w:rsid w:val="00355744"/>
    <w:rsid w:val="0035628E"/>
    <w:rsid w:val="003574E1"/>
    <w:rsid w:val="00360525"/>
    <w:rsid w:val="00360AC2"/>
    <w:rsid w:val="003611D0"/>
    <w:rsid w:val="003612A6"/>
    <w:rsid w:val="00362685"/>
    <w:rsid w:val="00362E20"/>
    <w:rsid w:val="00363317"/>
    <w:rsid w:val="00363977"/>
    <w:rsid w:val="003643DA"/>
    <w:rsid w:val="0036484E"/>
    <w:rsid w:val="003670F9"/>
    <w:rsid w:val="00367114"/>
    <w:rsid w:val="0036791C"/>
    <w:rsid w:val="003729EF"/>
    <w:rsid w:val="00372BA1"/>
    <w:rsid w:val="003734D7"/>
    <w:rsid w:val="003744D2"/>
    <w:rsid w:val="00377399"/>
    <w:rsid w:val="003826CD"/>
    <w:rsid w:val="0038313D"/>
    <w:rsid w:val="00383B95"/>
    <w:rsid w:val="00390F22"/>
    <w:rsid w:val="003922B0"/>
    <w:rsid w:val="0039299B"/>
    <w:rsid w:val="00396103"/>
    <w:rsid w:val="00397DB8"/>
    <w:rsid w:val="003A1347"/>
    <w:rsid w:val="003A1511"/>
    <w:rsid w:val="003A382F"/>
    <w:rsid w:val="003A4A6D"/>
    <w:rsid w:val="003A4F2B"/>
    <w:rsid w:val="003A5810"/>
    <w:rsid w:val="003A6741"/>
    <w:rsid w:val="003A6C9D"/>
    <w:rsid w:val="003A7F3F"/>
    <w:rsid w:val="003B1B58"/>
    <w:rsid w:val="003B1D04"/>
    <w:rsid w:val="003B30F4"/>
    <w:rsid w:val="003B684A"/>
    <w:rsid w:val="003B7B17"/>
    <w:rsid w:val="003C1F36"/>
    <w:rsid w:val="003C20CC"/>
    <w:rsid w:val="003C2AAE"/>
    <w:rsid w:val="003C3B40"/>
    <w:rsid w:val="003C430B"/>
    <w:rsid w:val="003C533D"/>
    <w:rsid w:val="003C5A9A"/>
    <w:rsid w:val="003C630B"/>
    <w:rsid w:val="003C7B36"/>
    <w:rsid w:val="003D0AB2"/>
    <w:rsid w:val="003D4571"/>
    <w:rsid w:val="003D485A"/>
    <w:rsid w:val="003D4E92"/>
    <w:rsid w:val="003D5417"/>
    <w:rsid w:val="003D61C0"/>
    <w:rsid w:val="003D6F07"/>
    <w:rsid w:val="003D7191"/>
    <w:rsid w:val="003E09EE"/>
    <w:rsid w:val="003E1267"/>
    <w:rsid w:val="003E12AE"/>
    <w:rsid w:val="003E13D2"/>
    <w:rsid w:val="003E2738"/>
    <w:rsid w:val="003E4848"/>
    <w:rsid w:val="003E504E"/>
    <w:rsid w:val="003F14B1"/>
    <w:rsid w:val="003F2AE2"/>
    <w:rsid w:val="003F2F92"/>
    <w:rsid w:val="003F320A"/>
    <w:rsid w:val="003F363D"/>
    <w:rsid w:val="004007A7"/>
    <w:rsid w:val="00401398"/>
    <w:rsid w:val="00402381"/>
    <w:rsid w:val="0040260F"/>
    <w:rsid w:val="00402CE0"/>
    <w:rsid w:val="00403A57"/>
    <w:rsid w:val="00405063"/>
    <w:rsid w:val="00405C01"/>
    <w:rsid w:val="004068D0"/>
    <w:rsid w:val="00407594"/>
    <w:rsid w:val="00407BD2"/>
    <w:rsid w:val="004115EE"/>
    <w:rsid w:val="004126EF"/>
    <w:rsid w:val="00412A9B"/>
    <w:rsid w:val="00413037"/>
    <w:rsid w:val="004135C5"/>
    <w:rsid w:val="00415044"/>
    <w:rsid w:val="004154C3"/>
    <w:rsid w:val="0041557C"/>
    <w:rsid w:val="00415A1F"/>
    <w:rsid w:val="004200E7"/>
    <w:rsid w:val="004207B8"/>
    <w:rsid w:val="004216FA"/>
    <w:rsid w:val="00421CDD"/>
    <w:rsid w:val="00422148"/>
    <w:rsid w:val="00424A82"/>
    <w:rsid w:val="004251FE"/>
    <w:rsid w:val="0042546C"/>
    <w:rsid w:val="00425F05"/>
    <w:rsid w:val="00427637"/>
    <w:rsid w:val="00427B43"/>
    <w:rsid w:val="00431874"/>
    <w:rsid w:val="00431CAE"/>
    <w:rsid w:val="00434C9E"/>
    <w:rsid w:val="00435C33"/>
    <w:rsid w:val="00437DB2"/>
    <w:rsid w:val="0044196D"/>
    <w:rsid w:val="004422F9"/>
    <w:rsid w:val="004430CC"/>
    <w:rsid w:val="004438AB"/>
    <w:rsid w:val="00444645"/>
    <w:rsid w:val="00444F1D"/>
    <w:rsid w:val="00445D3D"/>
    <w:rsid w:val="00446678"/>
    <w:rsid w:val="004466D5"/>
    <w:rsid w:val="0044687B"/>
    <w:rsid w:val="00447FBF"/>
    <w:rsid w:val="004507EE"/>
    <w:rsid w:val="00450FAB"/>
    <w:rsid w:val="00451F9A"/>
    <w:rsid w:val="00452B0C"/>
    <w:rsid w:val="00452E2F"/>
    <w:rsid w:val="00453F6B"/>
    <w:rsid w:val="00455CA8"/>
    <w:rsid w:val="00456064"/>
    <w:rsid w:val="0045655D"/>
    <w:rsid w:val="00456D4D"/>
    <w:rsid w:val="0045734D"/>
    <w:rsid w:val="0046040B"/>
    <w:rsid w:val="00460C52"/>
    <w:rsid w:val="00464B99"/>
    <w:rsid w:val="00466CCE"/>
    <w:rsid w:val="0046775B"/>
    <w:rsid w:val="00467BE8"/>
    <w:rsid w:val="00467ED1"/>
    <w:rsid w:val="0047359A"/>
    <w:rsid w:val="004749AA"/>
    <w:rsid w:val="00475B7F"/>
    <w:rsid w:val="00480396"/>
    <w:rsid w:val="00480690"/>
    <w:rsid w:val="00480D43"/>
    <w:rsid w:val="00481245"/>
    <w:rsid w:val="004839CA"/>
    <w:rsid w:val="00484905"/>
    <w:rsid w:val="0048600D"/>
    <w:rsid w:val="00487461"/>
    <w:rsid w:val="00490B30"/>
    <w:rsid w:val="00492730"/>
    <w:rsid w:val="004938F1"/>
    <w:rsid w:val="00493D15"/>
    <w:rsid w:val="0049474D"/>
    <w:rsid w:val="00494B0C"/>
    <w:rsid w:val="004959C7"/>
    <w:rsid w:val="00495D7A"/>
    <w:rsid w:val="00496655"/>
    <w:rsid w:val="004A1270"/>
    <w:rsid w:val="004A1B08"/>
    <w:rsid w:val="004A1B69"/>
    <w:rsid w:val="004A3518"/>
    <w:rsid w:val="004A4024"/>
    <w:rsid w:val="004A4800"/>
    <w:rsid w:val="004A5D5F"/>
    <w:rsid w:val="004A7909"/>
    <w:rsid w:val="004B2336"/>
    <w:rsid w:val="004B62C4"/>
    <w:rsid w:val="004B655B"/>
    <w:rsid w:val="004B66A9"/>
    <w:rsid w:val="004B6FFB"/>
    <w:rsid w:val="004C040C"/>
    <w:rsid w:val="004C107D"/>
    <w:rsid w:val="004C15F6"/>
    <w:rsid w:val="004C2E69"/>
    <w:rsid w:val="004C4906"/>
    <w:rsid w:val="004C6146"/>
    <w:rsid w:val="004C642C"/>
    <w:rsid w:val="004D0802"/>
    <w:rsid w:val="004D2163"/>
    <w:rsid w:val="004D69D1"/>
    <w:rsid w:val="004E0064"/>
    <w:rsid w:val="004E0068"/>
    <w:rsid w:val="004E060D"/>
    <w:rsid w:val="004E1355"/>
    <w:rsid w:val="004E14EA"/>
    <w:rsid w:val="004E1F5B"/>
    <w:rsid w:val="004E30B9"/>
    <w:rsid w:val="004E30C1"/>
    <w:rsid w:val="004E629A"/>
    <w:rsid w:val="004E67DA"/>
    <w:rsid w:val="004E7462"/>
    <w:rsid w:val="004F02A1"/>
    <w:rsid w:val="004F1D67"/>
    <w:rsid w:val="004F2F79"/>
    <w:rsid w:val="004F3DB8"/>
    <w:rsid w:val="004F4697"/>
    <w:rsid w:val="004F512F"/>
    <w:rsid w:val="004F5577"/>
    <w:rsid w:val="004F6026"/>
    <w:rsid w:val="004F7034"/>
    <w:rsid w:val="004F70DC"/>
    <w:rsid w:val="00500FC6"/>
    <w:rsid w:val="00500FD8"/>
    <w:rsid w:val="0050141D"/>
    <w:rsid w:val="00503086"/>
    <w:rsid w:val="005035F2"/>
    <w:rsid w:val="00506A0E"/>
    <w:rsid w:val="0050756B"/>
    <w:rsid w:val="00507E74"/>
    <w:rsid w:val="00510364"/>
    <w:rsid w:val="0051058F"/>
    <w:rsid w:val="00510785"/>
    <w:rsid w:val="00513476"/>
    <w:rsid w:val="0051367C"/>
    <w:rsid w:val="00515CC7"/>
    <w:rsid w:val="00516418"/>
    <w:rsid w:val="00517EC3"/>
    <w:rsid w:val="00521E16"/>
    <w:rsid w:val="00522D31"/>
    <w:rsid w:val="0052341D"/>
    <w:rsid w:val="00523549"/>
    <w:rsid w:val="0052370B"/>
    <w:rsid w:val="00523828"/>
    <w:rsid w:val="00523B72"/>
    <w:rsid w:val="00526EB9"/>
    <w:rsid w:val="005273B1"/>
    <w:rsid w:val="005304D4"/>
    <w:rsid w:val="0053276C"/>
    <w:rsid w:val="0053330C"/>
    <w:rsid w:val="00533790"/>
    <w:rsid w:val="00533A45"/>
    <w:rsid w:val="005361C2"/>
    <w:rsid w:val="00537704"/>
    <w:rsid w:val="00537C38"/>
    <w:rsid w:val="00537FA8"/>
    <w:rsid w:val="00541D46"/>
    <w:rsid w:val="00542B9B"/>
    <w:rsid w:val="00543CE1"/>
    <w:rsid w:val="00544CFB"/>
    <w:rsid w:val="00546A62"/>
    <w:rsid w:val="00546B58"/>
    <w:rsid w:val="00546B97"/>
    <w:rsid w:val="00547B7E"/>
    <w:rsid w:val="005519D3"/>
    <w:rsid w:val="00552025"/>
    <w:rsid w:val="00553BD2"/>
    <w:rsid w:val="0055410F"/>
    <w:rsid w:val="0055432A"/>
    <w:rsid w:val="0055625A"/>
    <w:rsid w:val="005562C6"/>
    <w:rsid w:val="00560872"/>
    <w:rsid w:val="00561973"/>
    <w:rsid w:val="005632E4"/>
    <w:rsid w:val="005651BE"/>
    <w:rsid w:val="005668F2"/>
    <w:rsid w:val="00567ADC"/>
    <w:rsid w:val="005705A4"/>
    <w:rsid w:val="00570F95"/>
    <w:rsid w:val="005712D5"/>
    <w:rsid w:val="0057148D"/>
    <w:rsid w:val="00572397"/>
    <w:rsid w:val="005745E1"/>
    <w:rsid w:val="00577C5A"/>
    <w:rsid w:val="00581240"/>
    <w:rsid w:val="00581930"/>
    <w:rsid w:val="00581D9C"/>
    <w:rsid w:val="00582450"/>
    <w:rsid w:val="005824FC"/>
    <w:rsid w:val="00582F68"/>
    <w:rsid w:val="005838C4"/>
    <w:rsid w:val="00592430"/>
    <w:rsid w:val="00592FAB"/>
    <w:rsid w:val="005932AD"/>
    <w:rsid w:val="00593D66"/>
    <w:rsid w:val="00595AC7"/>
    <w:rsid w:val="005A036F"/>
    <w:rsid w:val="005A0530"/>
    <w:rsid w:val="005A13F8"/>
    <w:rsid w:val="005A1513"/>
    <w:rsid w:val="005A1976"/>
    <w:rsid w:val="005A212A"/>
    <w:rsid w:val="005A2DED"/>
    <w:rsid w:val="005A2EC8"/>
    <w:rsid w:val="005A6368"/>
    <w:rsid w:val="005A6DC4"/>
    <w:rsid w:val="005A7E76"/>
    <w:rsid w:val="005B03D3"/>
    <w:rsid w:val="005B0B3E"/>
    <w:rsid w:val="005B1BF9"/>
    <w:rsid w:val="005B2AAC"/>
    <w:rsid w:val="005B34E8"/>
    <w:rsid w:val="005B3C78"/>
    <w:rsid w:val="005B60CD"/>
    <w:rsid w:val="005B6365"/>
    <w:rsid w:val="005B65EA"/>
    <w:rsid w:val="005B6C87"/>
    <w:rsid w:val="005B6DA6"/>
    <w:rsid w:val="005B6E80"/>
    <w:rsid w:val="005C05B3"/>
    <w:rsid w:val="005C07F7"/>
    <w:rsid w:val="005C0AE0"/>
    <w:rsid w:val="005C15BE"/>
    <w:rsid w:val="005C1892"/>
    <w:rsid w:val="005C1B45"/>
    <w:rsid w:val="005C2F5F"/>
    <w:rsid w:val="005C3AC1"/>
    <w:rsid w:val="005C76EC"/>
    <w:rsid w:val="005D3140"/>
    <w:rsid w:val="005D3E8B"/>
    <w:rsid w:val="005D4E33"/>
    <w:rsid w:val="005D5053"/>
    <w:rsid w:val="005D763C"/>
    <w:rsid w:val="005E13B0"/>
    <w:rsid w:val="005E19C9"/>
    <w:rsid w:val="005E3880"/>
    <w:rsid w:val="005E53DB"/>
    <w:rsid w:val="005E6C5F"/>
    <w:rsid w:val="005E6CCA"/>
    <w:rsid w:val="005E6F55"/>
    <w:rsid w:val="005E70C4"/>
    <w:rsid w:val="005F02DB"/>
    <w:rsid w:val="005F0BFA"/>
    <w:rsid w:val="005F5060"/>
    <w:rsid w:val="005F57DF"/>
    <w:rsid w:val="005F7FB0"/>
    <w:rsid w:val="006004FC"/>
    <w:rsid w:val="00600519"/>
    <w:rsid w:val="006008A9"/>
    <w:rsid w:val="00602A60"/>
    <w:rsid w:val="00603292"/>
    <w:rsid w:val="00604B1D"/>
    <w:rsid w:val="00604F30"/>
    <w:rsid w:val="00605211"/>
    <w:rsid w:val="00605652"/>
    <w:rsid w:val="00606620"/>
    <w:rsid w:val="006070E2"/>
    <w:rsid w:val="00610C38"/>
    <w:rsid w:val="00611E3E"/>
    <w:rsid w:val="00612986"/>
    <w:rsid w:val="00612B06"/>
    <w:rsid w:val="006141F0"/>
    <w:rsid w:val="006148AF"/>
    <w:rsid w:val="006151DA"/>
    <w:rsid w:val="0061620B"/>
    <w:rsid w:val="0061647F"/>
    <w:rsid w:val="0062008D"/>
    <w:rsid w:val="00621743"/>
    <w:rsid w:val="00621778"/>
    <w:rsid w:val="0062344D"/>
    <w:rsid w:val="00623B82"/>
    <w:rsid w:val="00626FD8"/>
    <w:rsid w:val="0063034F"/>
    <w:rsid w:val="0063128F"/>
    <w:rsid w:val="00632928"/>
    <w:rsid w:val="006348BC"/>
    <w:rsid w:val="00634C44"/>
    <w:rsid w:val="00635575"/>
    <w:rsid w:val="006355A1"/>
    <w:rsid w:val="0063665F"/>
    <w:rsid w:val="006369EA"/>
    <w:rsid w:val="00637412"/>
    <w:rsid w:val="00637EF4"/>
    <w:rsid w:val="00640B21"/>
    <w:rsid w:val="0064199F"/>
    <w:rsid w:val="00642A41"/>
    <w:rsid w:val="00642DDC"/>
    <w:rsid w:val="00643B3B"/>
    <w:rsid w:val="00652862"/>
    <w:rsid w:val="00653345"/>
    <w:rsid w:val="00653B41"/>
    <w:rsid w:val="00653B90"/>
    <w:rsid w:val="00653C52"/>
    <w:rsid w:val="00654467"/>
    <w:rsid w:val="00654668"/>
    <w:rsid w:val="00655521"/>
    <w:rsid w:val="00655EA5"/>
    <w:rsid w:val="00656384"/>
    <w:rsid w:val="00660869"/>
    <w:rsid w:val="0066189F"/>
    <w:rsid w:val="006633CC"/>
    <w:rsid w:val="00664AA6"/>
    <w:rsid w:val="00664E7E"/>
    <w:rsid w:val="006668EE"/>
    <w:rsid w:val="0067077B"/>
    <w:rsid w:val="006718CD"/>
    <w:rsid w:val="006761C3"/>
    <w:rsid w:val="00677DDD"/>
    <w:rsid w:val="00677E91"/>
    <w:rsid w:val="00680492"/>
    <w:rsid w:val="0068061B"/>
    <w:rsid w:val="00682035"/>
    <w:rsid w:val="00683376"/>
    <w:rsid w:val="00686D94"/>
    <w:rsid w:val="0069046C"/>
    <w:rsid w:val="00691F8B"/>
    <w:rsid w:val="00692043"/>
    <w:rsid w:val="00692D2C"/>
    <w:rsid w:val="006931A2"/>
    <w:rsid w:val="006941F2"/>
    <w:rsid w:val="006948C7"/>
    <w:rsid w:val="00694F01"/>
    <w:rsid w:val="00696363"/>
    <w:rsid w:val="006A0695"/>
    <w:rsid w:val="006A0CC9"/>
    <w:rsid w:val="006A2C48"/>
    <w:rsid w:val="006A3316"/>
    <w:rsid w:val="006A41A1"/>
    <w:rsid w:val="006A4A63"/>
    <w:rsid w:val="006A4E05"/>
    <w:rsid w:val="006A524C"/>
    <w:rsid w:val="006A53EA"/>
    <w:rsid w:val="006A7A3B"/>
    <w:rsid w:val="006B1662"/>
    <w:rsid w:val="006B1E05"/>
    <w:rsid w:val="006B2695"/>
    <w:rsid w:val="006B77D8"/>
    <w:rsid w:val="006B7860"/>
    <w:rsid w:val="006C1AF6"/>
    <w:rsid w:val="006C2A85"/>
    <w:rsid w:val="006C43E9"/>
    <w:rsid w:val="006C49A9"/>
    <w:rsid w:val="006C588D"/>
    <w:rsid w:val="006C5AB8"/>
    <w:rsid w:val="006C66C6"/>
    <w:rsid w:val="006C6C4F"/>
    <w:rsid w:val="006C6FD2"/>
    <w:rsid w:val="006D0CE8"/>
    <w:rsid w:val="006D108A"/>
    <w:rsid w:val="006D1441"/>
    <w:rsid w:val="006D22BE"/>
    <w:rsid w:val="006D2442"/>
    <w:rsid w:val="006D27F6"/>
    <w:rsid w:val="006D2FBF"/>
    <w:rsid w:val="006D3665"/>
    <w:rsid w:val="006D3AE3"/>
    <w:rsid w:val="006D3E95"/>
    <w:rsid w:val="006D4189"/>
    <w:rsid w:val="006D42A8"/>
    <w:rsid w:val="006D4381"/>
    <w:rsid w:val="006D4C49"/>
    <w:rsid w:val="006D4E7D"/>
    <w:rsid w:val="006D5DFA"/>
    <w:rsid w:val="006D60DE"/>
    <w:rsid w:val="006D71AC"/>
    <w:rsid w:val="006D77DA"/>
    <w:rsid w:val="006D7CC6"/>
    <w:rsid w:val="006E0CAA"/>
    <w:rsid w:val="006E27FF"/>
    <w:rsid w:val="006E2D35"/>
    <w:rsid w:val="006E37A1"/>
    <w:rsid w:val="006E3FB8"/>
    <w:rsid w:val="006E4ABB"/>
    <w:rsid w:val="006E5F68"/>
    <w:rsid w:val="006E67CC"/>
    <w:rsid w:val="006E7C1E"/>
    <w:rsid w:val="006F0038"/>
    <w:rsid w:val="006F1896"/>
    <w:rsid w:val="006F20C6"/>
    <w:rsid w:val="006F21D9"/>
    <w:rsid w:val="006F40F7"/>
    <w:rsid w:val="006F50B5"/>
    <w:rsid w:val="006F64F6"/>
    <w:rsid w:val="006F7052"/>
    <w:rsid w:val="006F768B"/>
    <w:rsid w:val="006F7EF3"/>
    <w:rsid w:val="00700FC2"/>
    <w:rsid w:val="007018DA"/>
    <w:rsid w:val="00703E97"/>
    <w:rsid w:val="00704072"/>
    <w:rsid w:val="0070561D"/>
    <w:rsid w:val="00705C8F"/>
    <w:rsid w:val="00706ABF"/>
    <w:rsid w:val="00706ED4"/>
    <w:rsid w:val="00710964"/>
    <w:rsid w:val="007115A0"/>
    <w:rsid w:val="0071314C"/>
    <w:rsid w:val="0071607A"/>
    <w:rsid w:val="0071630D"/>
    <w:rsid w:val="007164E4"/>
    <w:rsid w:val="00716A4F"/>
    <w:rsid w:val="00717CF2"/>
    <w:rsid w:val="007205C4"/>
    <w:rsid w:val="00721658"/>
    <w:rsid w:val="00721D56"/>
    <w:rsid w:val="00722647"/>
    <w:rsid w:val="00722863"/>
    <w:rsid w:val="00723A24"/>
    <w:rsid w:val="00723D6F"/>
    <w:rsid w:val="00725278"/>
    <w:rsid w:val="00725E80"/>
    <w:rsid w:val="00726922"/>
    <w:rsid w:val="00727381"/>
    <w:rsid w:val="0073152E"/>
    <w:rsid w:val="00733F9F"/>
    <w:rsid w:val="00734833"/>
    <w:rsid w:val="0073593B"/>
    <w:rsid w:val="007364BB"/>
    <w:rsid w:val="00740F53"/>
    <w:rsid w:val="00741C77"/>
    <w:rsid w:val="00741F25"/>
    <w:rsid w:val="00742A0F"/>
    <w:rsid w:val="007443EF"/>
    <w:rsid w:val="007456E0"/>
    <w:rsid w:val="00750CE7"/>
    <w:rsid w:val="0075279D"/>
    <w:rsid w:val="007553D9"/>
    <w:rsid w:val="00756220"/>
    <w:rsid w:val="00760832"/>
    <w:rsid w:val="00760C81"/>
    <w:rsid w:val="0076170E"/>
    <w:rsid w:val="0076281A"/>
    <w:rsid w:val="00763936"/>
    <w:rsid w:val="007661B1"/>
    <w:rsid w:val="00766D25"/>
    <w:rsid w:val="00767C49"/>
    <w:rsid w:val="007702DC"/>
    <w:rsid w:val="00774F19"/>
    <w:rsid w:val="007754DB"/>
    <w:rsid w:val="00775663"/>
    <w:rsid w:val="00776D62"/>
    <w:rsid w:val="00780F29"/>
    <w:rsid w:val="007819E5"/>
    <w:rsid w:val="0078417E"/>
    <w:rsid w:val="007844BD"/>
    <w:rsid w:val="0078639F"/>
    <w:rsid w:val="007876DF"/>
    <w:rsid w:val="007919B5"/>
    <w:rsid w:val="00794B7B"/>
    <w:rsid w:val="00797D1F"/>
    <w:rsid w:val="007A08BB"/>
    <w:rsid w:val="007A2059"/>
    <w:rsid w:val="007A2538"/>
    <w:rsid w:val="007A3936"/>
    <w:rsid w:val="007A3E5A"/>
    <w:rsid w:val="007A429B"/>
    <w:rsid w:val="007A4AB9"/>
    <w:rsid w:val="007A4FD0"/>
    <w:rsid w:val="007A62B3"/>
    <w:rsid w:val="007B0988"/>
    <w:rsid w:val="007B1742"/>
    <w:rsid w:val="007B1EEE"/>
    <w:rsid w:val="007B2C0D"/>
    <w:rsid w:val="007B2C67"/>
    <w:rsid w:val="007B2EBE"/>
    <w:rsid w:val="007B4215"/>
    <w:rsid w:val="007B451D"/>
    <w:rsid w:val="007B4C6C"/>
    <w:rsid w:val="007B542B"/>
    <w:rsid w:val="007B63BB"/>
    <w:rsid w:val="007B69D1"/>
    <w:rsid w:val="007C0C4D"/>
    <w:rsid w:val="007C278C"/>
    <w:rsid w:val="007C27DE"/>
    <w:rsid w:val="007C4814"/>
    <w:rsid w:val="007C483C"/>
    <w:rsid w:val="007C527B"/>
    <w:rsid w:val="007C602D"/>
    <w:rsid w:val="007C6892"/>
    <w:rsid w:val="007C751B"/>
    <w:rsid w:val="007C7B8B"/>
    <w:rsid w:val="007D1726"/>
    <w:rsid w:val="007D17F8"/>
    <w:rsid w:val="007D288A"/>
    <w:rsid w:val="007D2A10"/>
    <w:rsid w:val="007D425A"/>
    <w:rsid w:val="007D52B2"/>
    <w:rsid w:val="007D66F7"/>
    <w:rsid w:val="007D6707"/>
    <w:rsid w:val="007D6CC3"/>
    <w:rsid w:val="007D6E93"/>
    <w:rsid w:val="007D7A37"/>
    <w:rsid w:val="007E060E"/>
    <w:rsid w:val="007E0AC1"/>
    <w:rsid w:val="007E1B30"/>
    <w:rsid w:val="007E2099"/>
    <w:rsid w:val="007E4608"/>
    <w:rsid w:val="007E5B84"/>
    <w:rsid w:val="007E6241"/>
    <w:rsid w:val="007F018F"/>
    <w:rsid w:val="007F28A7"/>
    <w:rsid w:val="007F3199"/>
    <w:rsid w:val="007F4A97"/>
    <w:rsid w:val="007F4ABB"/>
    <w:rsid w:val="007F4BD7"/>
    <w:rsid w:val="007F74D0"/>
    <w:rsid w:val="008018DE"/>
    <w:rsid w:val="0080514F"/>
    <w:rsid w:val="008055FD"/>
    <w:rsid w:val="00805ECA"/>
    <w:rsid w:val="0080620F"/>
    <w:rsid w:val="00807916"/>
    <w:rsid w:val="008141CE"/>
    <w:rsid w:val="0081470C"/>
    <w:rsid w:val="008166DC"/>
    <w:rsid w:val="00816BC8"/>
    <w:rsid w:val="00820864"/>
    <w:rsid w:val="00820EC3"/>
    <w:rsid w:val="00821A86"/>
    <w:rsid w:val="008244E3"/>
    <w:rsid w:val="008248C0"/>
    <w:rsid w:val="00824ACC"/>
    <w:rsid w:val="00827125"/>
    <w:rsid w:val="008315E0"/>
    <w:rsid w:val="00831C46"/>
    <w:rsid w:val="00832FB6"/>
    <w:rsid w:val="00833693"/>
    <w:rsid w:val="00834C9F"/>
    <w:rsid w:val="00835474"/>
    <w:rsid w:val="008366B5"/>
    <w:rsid w:val="00836AFE"/>
    <w:rsid w:val="00836BFE"/>
    <w:rsid w:val="00836F2A"/>
    <w:rsid w:val="00840CDC"/>
    <w:rsid w:val="00841655"/>
    <w:rsid w:val="00841736"/>
    <w:rsid w:val="00842E3D"/>
    <w:rsid w:val="00843725"/>
    <w:rsid w:val="00843B23"/>
    <w:rsid w:val="00844170"/>
    <w:rsid w:val="0084570E"/>
    <w:rsid w:val="00846A29"/>
    <w:rsid w:val="00846C04"/>
    <w:rsid w:val="0085003F"/>
    <w:rsid w:val="00850435"/>
    <w:rsid w:val="00851A1A"/>
    <w:rsid w:val="00851F4C"/>
    <w:rsid w:val="00853912"/>
    <w:rsid w:val="00853B22"/>
    <w:rsid w:val="00853EA2"/>
    <w:rsid w:val="008577D0"/>
    <w:rsid w:val="00861319"/>
    <w:rsid w:val="00863515"/>
    <w:rsid w:val="00863C70"/>
    <w:rsid w:val="00863F28"/>
    <w:rsid w:val="00864DF1"/>
    <w:rsid w:val="008673B3"/>
    <w:rsid w:val="00871F71"/>
    <w:rsid w:val="00872820"/>
    <w:rsid w:val="0087293C"/>
    <w:rsid w:val="008776A0"/>
    <w:rsid w:val="008778D4"/>
    <w:rsid w:val="00882E4F"/>
    <w:rsid w:val="00883259"/>
    <w:rsid w:val="0088387E"/>
    <w:rsid w:val="008845CE"/>
    <w:rsid w:val="00884F75"/>
    <w:rsid w:val="008875F1"/>
    <w:rsid w:val="0089014A"/>
    <w:rsid w:val="00890798"/>
    <w:rsid w:val="00893042"/>
    <w:rsid w:val="008958C4"/>
    <w:rsid w:val="008A34BF"/>
    <w:rsid w:val="008A351B"/>
    <w:rsid w:val="008A3F1B"/>
    <w:rsid w:val="008A4499"/>
    <w:rsid w:val="008A4524"/>
    <w:rsid w:val="008A56E8"/>
    <w:rsid w:val="008A6762"/>
    <w:rsid w:val="008A7966"/>
    <w:rsid w:val="008A7AD4"/>
    <w:rsid w:val="008B0E48"/>
    <w:rsid w:val="008B163B"/>
    <w:rsid w:val="008B3478"/>
    <w:rsid w:val="008B3FCF"/>
    <w:rsid w:val="008B453D"/>
    <w:rsid w:val="008B4551"/>
    <w:rsid w:val="008B5390"/>
    <w:rsid w:val="008B57BE"/>
    <w:rsid w:val="008B605A"/>
    <w:rsid w:val="008C00D5"/>
    <w:rsid w:val="008C20E7"/>
    <w:rsid w:val="008C492B"/>
    <w:rsid w:val="008C57C4"/>
    <w:rsid w:val="008D1DC1"/>
    <w:rsid w:val="008D208A"/>
    <w:rsid w:val="008D3E0D"/>
    <w:rsid w:val="008D4AF7"/>
    <w:rsid w:val="008D5632"/>
    <w:rsid w:val="008D7528"/>
    <w:rsid w:val="008E069F"/>
    <w:rsid w:val="008E1910"/>
    <w:rsid w:val="008E25D4"/>
    <w:rsid w:val="008E349D"/>
    <w:rsid w:val="008E3532"/>
    <w:rsid w:val="008E6833"/>
    <w:rsid w:val="008F1842"/>
    <w:rsid w:val="008F34E4"/>
    <w:rsid w:val="008F4758"/>
    <w:rsid w:val="008F5619"/>
    <w:rsid w:val="0090484B"/>
    <w:rsid w:val="00905AFB"/>
    <w:rsid w:val="00905F10"/>
    <w:rsid w:val="009074CC"/>
    <w:rsid w:val="00910FD6"/>
    <w:rsid w:val="00912CD5"/>
    <w:rsid w:val="00913083"/>
    <w:rsid w:val="0091512F"/>
    <w:rsid w:val="0091595E"/>
    <w:rsid w:val="00915FCB"/>
    <w:rsid w:val="00917A8E"/>
    <w:rsid w:val="00917B73"/>
    <w:rsid w:val="00920AAC"/>
    <w:rsid w:val="00924950"/>
    <w:rsid w:val="00925B21"/>
    <w:rsid w:val="00926358"/>
    <w:rsid w:val="00931E27"/>
    <w:rsid w:val="0093213E"/>
    <w:rsid w:val="009329AC"/>
    <w:rsid w:val="00935AF2"/>
    <w:rsid w:val="009377E4"/>
    <w:rsid w:val="00941D5B"/>
    <w:rsid w:val="00944F1D"/>
    <w:rsid w:val="00946749"/>
    <w:rsid w:val="0094697F"/>
    <w:rsid w:val="00946FDD"/>
    <w:rsid w:val="00947671"/>
    <w:rsid w:val="00952492"/>
    <w:rsid w:val="00952D11"/>
    <w:rsid w:val="00954CDF"/>
    <w:rsid w:val="00955E8B"/>
    <w:rsid w:val="00957018"/>
    <w:rsid w:val="00957122"/>
    <w:rsid w:val="00957B9B"/>
    <w:rsid w:val="00957F52"/>
    <w:rsid w:val="00961530"/>
    <w:rsid w:val="00961C1C"/>
    <w:rsid w:val="00962BCD"/>
    <w:rsid w:val="009646AD"/>
    <w:rsid w:val="009711FF"/>
    <w:rsid w:val="00973E8B"/>
    <w:rsid w:val="00973F71"/>
    <w:rsid w:val="00974250"/>
    <w:rsid w:val="0097494E"/>
    <w:rsid w:val="00976CAE"/>
    <w:rsid w:val="00980280"/>
    <w:rsid w:val="0098049B"/>
    <w:rsid w:val="0098148E"/>
    <w:rsid w:val="00981F40"/>
    <w:rsid w:val="0098311A"/>
    <w:rsid w:val="009833C1"/>
    <w:rsid w:val="009843D1"/>
    <w:rsid w:val="0098557F"/>
    <w:rsid w:val="00986E89"/>
    <w:rsid w:val="00987BA2"/>
    <w:rsid w:val="009903C8"/>
    <w:rsid w:val="0099200A"/>
    <w:rsid w:val="00994A13"/>
    <w:rsid w:val="00994A92"/>
    <w:rsid w:val="00995782"/>
    <w:rsid w:val="0099586D"/>
    <w:rsid w:val="00995997"/>
    <w:rsid w:val="009964FE"/>
    <w:rsid w:val="00996694"/>
    <w:rsid w:val="00997117"/>
    <w:rsid w:val="00997C1F"/>
    <w:rsid w:val="009A03CE"/>
    <w:rsid w:val="009A0695"/>
    <w:rsid w:val="009A1739"/>
    <w:rsid w:val="009A1825"/>
    <w:rsid w:val="009A3989"/>
    <w:rsid w:val="009A3AA3"/>
    <w:rsid w:val="009A3D21"/>
    <w:rsid w:val="009A5088"/>
    <w:rsid w:val="009A5182"/>
    <w:rsid w:val="009A6D8B"/>
    <w:rsid w:val="009A73FA"/>
    <w:rsid w:val="009A783B"/>
    <w:rsid w:val="009B0026"/>
    <w:rsid w:val="009B0285"/>
    <w:rsid w:val="009B035A"/>
    <w:rsid w:val="009B0FED"/>
    <w:rsid w:val="009B2084"/>
    <w:rsid w:val="009B3745"/>
    <w:rsid w:val="009B39F1"/>
    <w:rsid w:val="009B64B4"/>
    <w:rsid w:val="009B785F"/>
    <w:rsid w:val="009B7EF2"/>
    <w:rsid w:val="009C2D07"/>
    <w:rsid w:val="009C2F6C"/>
    <w:rsid w:val="009C34BC"/>
    <w:rsid w:val="009C4A99"/>
    <w:rsid w:val="009C4DB7"/>
    <w:rsid w:val="009C78E8"/>
    <w:rsid w:val="009C7F3E"/>
    <w:rsid w:val="009D13D8"/>
    <w:rsid w:val="009D3412"/>
    <w:rsid w:val="009D4325"/>
    <w:rsid w:val="009D529E"/>
    <w:rsid w:val="009D552A"/>
    <w:rsid w:val="009D6D93"/>
    <w:rsid w:val="009D73C2"/>
    <w:rsid w:val="009E0284"/>
    <w:rsid w:val="009E0C66"/>
    <w:rsid w:val="009E0DE2"/>
    <w:rsid w:val="009E3A31"/>
    <w:rsid w:val="009E6485"/>
    <w:rsid w:val="009E748F"/>
    <w:rsid w:val="009E7EDF"/>
    <w:rsid w:val="009F0557"/>
    <w:rsid w:val="009F0927"/>
    <w:rsid w:val="009F164B"/>
    <w:rsid w:val="009F18C1"/>
    <w:rsid w:val="009F562D"/>
    <w:rsid w:val="009F582F"/>
    <w:rsid w:val="009F63A6"/>
    <w:rsid w:val="009F6BA4"/>
    <w:rsid w:val="00A010DB"/>
    <w:rsid w:val="00A06B19"/>
    <w:rsid w:val="00A10885"/>
    <w:rsid w:val="00A12128"/>
    <w:rsid w:val="00A13479"/>
    <w:rsid w:val="00A13D01"/>
    <w:rsid w:val="00A14550"/>
    <w:rsid w:val="00A14C83"/>
    <w:rsid w:val="00A15408"/>
    <w:rsid w:val="00A15655"/>
    <w:rsid w:val="00A20C7A"/>
    <w:rsid w:val="00A20CF7"/>
    <w:rsid w:val="00A219A9"/>
    <w:rsid w:val="00A21B17"/>
    <w:rsid w:val="00A22D34"/>
    <w:rsid w:val="00A26406"/>
    <w:rsid w:val="00A26BE9"/>
    <w:rsid w:val="00A27324"/>
    <w:rsid w:val="00A304B6"/>
    <w:rsid w:val="00A317C1"/>
    <w:rsid w:val="00A31B7C"/>
    <w:rsid w:val="00A32252"/>
    <w:rsid w:val="00A32840"/>
    <w:rsid w:val="00A345F5"/>
    <w:rsid w:val="00A34631"/>
    <w:rsid w:val="00A35B81"/>
    <w:rsid w:val="00A405D9"/>
    <w:rsid w:val="00A42633"/>
    <w:rsid w:val="00A427B3"/>
    <w:rsid w:val="00A42A6C"/>
    <w:rsid w:val="00A42FD8"/>
    <w:rsid w:val="00A4457D"/>
    <w:rsid w:val="00A45518"/>
    <w:rsid w:val="00A45A7D"/>
    <w:rsid w:val="00A462C7"/>
    <w:rsid w:val="00A4646C"/>
    <w:rsid w:val="00A50A53"/>
    <w:rsid w:val="00A50F2C"/>
    <w:rsid w:val="00A51FAF"/>
    <w:rsid w:val="00A54C83"/>
    <w:rsid w:val="00A5614E"/>
    <w:rsid w:val="00A56596"/>
    <w:rsid w:val="00A61050"/>
    <w:rsid w:val="00A62896"/>
    <w:rsid w:val="00A655FF"/>
    <w:rsid w:val="00A66BF1"/>
    <w:rsid w:val="00A6702A"/>
    <w:rsid w:val="00A72AD8"/>
    <w:rsid w:val="00A74EAE"/>
    <w:rsid w:val="00A75FD8"/>
    <w:rsid w:val="00A76433"/>
    <w:rsid w:val="00A76F78"/>
    <w:rsid w:val="00A770FD"/>
    <w:rsid w:val="00A80DD7"/>
    <w:rsid w:val="00A8302F"/>
    <w:rsid w:val="00A83047"/>
    <w:rsid w:val="00A8397F"/>
    <w:rsid w:val="00A849F9"/>
    <w:rsid w:val="00A84AF1"/>
    <w:rsid w:val="00A86371"/>
    <w:rsid w:val="00A8732F"/>
    <w:rsid w:val="00A87AC6"/>
    <w:rsid w:val="00A905B9"/>
    <w:rsid w:val="00A9231F"/>
    <w:rsid w:val="00A9363A"/>
    <w:rsid w:val="00A93BF2"/>
    <w:rsid w:val="00A9479E"/>
    <w:rsid w:val="00A97A58"/>
    <w:rsid w:val="00A97FF4"/>
    <w:rsid w:val="00AA2002"/>
    <w:rsid w:val="00AA260A"/>
    <w:rsid w:val="00AA3B82"/>
    <w:rsid w:val="00AA4F42"/>
    <w:rsid w:val="00AA5825"/>
    <w:rsid w:val="00AA7221"/>
    <w:rsid w:val="00AB08B2"/>
    <w:rsid w:val="00AB330E"/>
    <w:rsid w:val="00AB37E0"/>
    <w:rsid w:val="00AB489D"/>
    <w:rsid w:val="00AB500D"/>
    <w:rsid w:val="00AB6139"/>
    <w:rsid w:val="00AB7FDF"/>
    <w:rsid w:val="00AC0728"/>
    <w:rsid w:val="00AC080C"/>
    <w:rsid w:val="00AC4017"/>
    <w:rsid w:val="00AC62B1"/>
    <w:rsid w:val="00AC6C7B"/>
    <w:rsid w:val="00AC6E6E"/>
    <w:rsid w:val="00AD1072"/>
    <w:rsid w:val="00AD1C7A"/>
    <w:rsid w:val="00AD29A8"/>
    <w:rsid w:val="00AD638E"/>
    <w:rsid w:val="00AE01FE"/>
    <w:rsid w:val="00AE0D9E"/>
    <w:rsid w:val="00AE272A"/>
    <w:rsid w:val="00AE2E5F"/>
    <w:rsid w:val="00AE4D56"/>
    <w:rsid w:val="00AE627D"/>
    <w:rsid w:val="00AE6311"/>
    <w:rsid w:val="00AE6A4F"/>
    <w:rsid w:val="00AE767A"/>
    <w:rsid w:val="00AF0887"/>
    <w:rsid w:val="00AF0C3C"/>
    <w:rsid w:val="00AF24CC"/>
    <w:rsid w:val="00AF5967"/>
    <w:rsid w:val="00AF6213"/>
    <w:rsid w:val="00AF6A12"/>
    <w:rsid w:val="00AF7511"/>
    <w:rsid w:val="00AF7927"/>
    <w:rsid w:val="00B00665"/>
    <w:rsid w:val="00B0406B"/>
    <w:rsid w:val="00B06895"/>
    <w:rsid w:val="00B06A17"/>
    <w:rsid w:val="00B07B17"/>
    <w:rsid w:val="00B107C9"/>
    <w:rsid w:val="00B119DF"/>
    <w:rsid w:val="00B12BF1"/>
    <w:rsid w:val="00B149B4"/>
    <w:rsid w:val="00B16DCE"/>
    <w:rsid w:val="00B17696"/>
    <w:rsid w:val="00B20202"/>
    <w:rsid w:val="00B20312"/>
    <w:rsid w:val="00B23E5E"/>
    <w:rsid w:val="00B24FB4"/>
    <w:rsid w:val="00B27DBF"/>
    <w:rsid w:val="00B27FD5"/>
    <w:rsid w:val="00B3038C"/>
    <w:rsid w:val="00B30648"/>
    <w:rsid w:val="00B3133B"/>
    <w:rsid w:val="00B314AF"/>
    <w:rsid w:val="00B31D6D"/>
    <w:rsid w:val="00B3273C"/>
    <w:rsid w:val="00B32E67"/>
    <w:rsid w:val="00B345CE"/>
    <w:rsid w:val="00B34ED4"/>
    <w:rsid w:val="00B37E41"/>
    <w:rsid w:val="00B400EB"/>
    <w:rsid w:val="00B40344"/>
    <w:rsid w:val="00B41096"/>
    <w:rsid w:val="00B4139C"/>
    <w:rsid w:val="00B4274B"/>
    <w:rsid w:val="00B44EE6"/>
    <w:rsid w:val="00B45119"/>
    <w:rsid w:val="00B45E80"/>
    <w:rsid w:val="00B478E2"/>
    <w:rsid w:val="00B502A7"/>
    <w:rsid w:val="00B51281"/>
    <w:rsid w:val="00B516FB"/>
    <w:rsid w:val="00B51D1E"/>
    <w:rsid w:val="00B5251B"/>
    <w:rsid w:val="00B525CD"/>
    <w:rsid w:val="00B558D6"/>
    <w:rsid w:val="00B55E95"/>
    <w:rsid w:val="00B56EBD"/>
    <w:rsid w:val="00B5748D"/>
    <w:rsid w:val="00B57EF1"/>
    <w:rsid w:val="00B607E5"/>
    <w:rsid w:val="00B60D74"/>
    <w:rsid w:val="00B6315A"/>
    <w:rsid w:val="00B63702"/>
    <w:rsid w:val="00B65FD4"/>
    <w:rsid w:val="00B663E0"/>
    <w:rsid w:val="00B70468"/>
    <w:rsid w:val="00B70FFF"/>
    <w:rsid w:val="00B714EF"/>
    <w:rsid w:val="00B71B0B"/>
    <w:rsid w:val="00B72424"/>
    <w:rsid w:val="00B72669"/>
    <w:rsid w:val="00B72948"/>
    <w:rsid w:val="00B72B24"/>
    <w:rsid w:val="00B74322"/>
    <w:rsid w:val="00B77B3C"/>
    <w:rsid w:val="00B77BCF"/>
    <w:rsid w:val="00B77FB1"/>
    <w:rsid w:val="00B81194"/>
    <w:rsid w:val="00B82DE4"/>
    <w:rsid w:val="00B82F97"/>
    <w:rsid w:val="00B83D2E"/>
    <w:rsid w:val="00B85339"/>
    <w:rsid w:val="00B85E59"/>
    <w:rsid w:val="00B8698D"/>
    <w:rsid w:val="00B86BE5"/>
    <w:rsid w:val="00B903AC"/>
    <w:rsid w:val="00B905FA"/>
    <w:rsid w:val="00B90632"/>
    <w:rsid w:val="00B92725"/>
    <w:rsid w:val="00B92E02"/>
    <w:rsid w:val="00B930E1"/>
    <w:rsid w:val="00B93139"/>
    <w:rsid w:val="00B94327"/>
    <w:rsid w:val="00B94423"/>
    <w:rsid w:val="00B96CB0"/>
    <w:rsid w:val="00B96D9B"/>
    <w:rsid w:val="00B9760A"/>
    <w:rsid w:val="00BA021D"/>
    <w:rsid w:val="00BA0823"/>
    <w:rsid w:val="00BA099F"/>
    <w:rsid w:val="00BA0C62"/>
    <w:rsid w:val="00BA0D6B"/>
    <w:rsid w:val="00BA338B"/>
    <w:rsid w:val="00BA4E2A"/>
    <w:rsid w:val="00BA5048"/>
    <w:rsid w:val="00BA53D5"/>
    <w:rsid w:val="00BB006A"/>
    <w:rsid w:val="00BB06D2"/>
    <w:rsid w:val="00BB23F6"/>
    <w:rsid w:val="00BB30F0"/>
    <w:rsid w:val="00BB51F0"/>
    <w:rsid w:val="00BB69F5"/>
    <w:rsid w:val="00BC1985"/>
    <w:rsid w:val="00BC1E67"/>
    <w:rsid w:val="00BC217B"/>
    <w:rsid w:val="00BC2191"/>
    <w:rsid w:val="00BC2DAB"/>
    <w:rsid w:val="00BC4402"/>
    <w:rsid w:val="00BD02FD"/>
    <w:rsid w:val="00BD19DA"/>
    <w:rsid w:val="00BD20C1"/>
    <w:rsid w:val="00BD240C"/>
    <w:rsid w:val="00BD4A3E"/>
    <w:rsid w:val="00BD4C46"/>
    <w:rsid w:val="00BD4EE5"/>
    <w:rsid w:val="00BD61E1"/>
    <w:rsid w:val="00BE11D8"/>
    <w:rsid w:val="00BE1B24"/>
    <w:rsid w:val="00BE3435"/>
    <w:rsid w:val="00BE6593"/>
    <w:rsid w:val="00BE746A"/>
    <w:rsid w:val="00BF0D0C"/>
    <w:rsid w:val="00BF0D9C"/>
    <w:rsid w:val="00BF1B7A"/>
    <w:rsid w:val="00BF2ED2"/>
    <w:rsid w:val="00BF4379"/>
    <w:rsid w:val="00BF4E98"/>
    <w:rsid w:val="00BF5658"/>
    <w:rsid w:val="00BF5FCC"/>
    <w:rsid w:val="00BF6176"/>
    <w:rsid w:val="00C004F5"/>
    <w:rsid w:val="00C00F78"/>
    <w:rsid w:val="00C0310F"/>
    <w:rsid w:val="00C04B2A"/>
    <w:rsid w:val="00C05CCA"/>
    <w:rsid w:val="00C070B0"/>
    <w:rsid w:val="00C07B3F"/>
    <w:rsid w:val="00C10E5E"/>
    <w:rsid w:val="00C14400"/>
    <w:rsid w:val="00C14977"/>
    <w:rsid w:val="00C15E41"/>
    <w:rsid w:val="00C15E54"/>
    <w:rsid w:val="00C1619C"/>
    <w:rsid w:val="00C1760B"/>
    <w:rsid w:val="00C17997"/>
    <w:rsid w:val="00C200A6"/>
    <w:rsid w:val="00C20945"/>
    <w:rsid w:val="00C223DC"/>
    <w:rsid w:val="00C23A49"/>
    <w:rsid w:val="00C2542A"/>
    <w:rsid w:val="00C26840"/>
    <w:rsid w:val="00C26A82"/>
    <w:rsid w:val="00C2722A"/>
    <w:rsid w:val="00C27282"/>
    <w:rsid w:val="00C27436"/>
    <w:rsid w:val="00C30A8A"/>
    <w:rsid w:val="00C30FBE"/>
    <w:rsid w:val="00C31345"/>
    <w:rsid w:val="00C32512"/>
    <w:rsid w:val="00C33C99"/>
    <w:rsid w:val="00C34B32"/>
    <w:rsid w:val="00C3614C"/>
    <w:rsid w:val="00C36151"/>
    <w:rsid w:val="00C36D6D"/>
    <w:rsid w:val="00C3757E"/>
    <w:rsid w:val="00C37E45"/>
    <w:rsid w:val="00C41CFD"/>
    <w:rsid w:val="00C423B9"/>
    <w:rsid w:val="00C45EB9"/>
    <w:rsid w:val="00C460CA"/>
    <w:rsid w:val="00C4663E"/>
    <w:rsid w:val="00C514A6"/>
    <w:rsid w:val="00C51674"/>
    <w:rsid w:val="00C53303"/>
    <w:rsid w:val="00C54594"/>
    <w:rsid w:val="00C54B3F"/>
    <w:rsid w:val="00C54FE1"/>
    <w:rsid w:val="00C56403"/>
    <w:rsid w:val="00C5688D"/>
    <w:rsid w:val="00C572A4"/>
    <w:rsid w:val="00C6101E"/>
    <w:rsid w:val="00C614D6"/>
    <w:rsid w:val="00C628AC"/>
    <w:rsid w:val="00C6297A"/>
    <w:rsid w:val="00C63722"/>
    <w:rsid w:val="00C64189"/>
    <w:rsid w:val="00C642B6"/>
    <w:rsid w:val="00C709CA"/>
    <w:rsid w:val="00C713A7"/>
    <w:rsid w:val="00C725BB"/>
    <w:rsid w:val="00C72EE1"/>
    <w:rsid w:val="00C752D3"/>
    <w:rsid w:val="00C7557F"/>
    <w:rsid w:val="00C757FB"/>
    <w:rsid w:val="00C764A7"/>
    <w:rsid w:val="00C76F39"/>
    <w:rsid w:val="00C77385"/>
    <w:rsid w:val="00C80991"/>
    <w:rsid w:val="00C81EEC"/>
    <w:rsid w:val="00C836DE"/>
    <w:rsid w:val="00C83E42"/>
    <w:rsid w:val="00C85FD1"/>
    <w:rsid w:val="00C863F8"/>
    <w:rsid w:val="00C90DB5"/>
    <w:rsid w:val="00C915D8"/>
    <w:rsid w:val="00C9182A"/>
    <w:rsid w:val="00C9248C"/>
    <w:rsid w:val="00C937DC"/>
    <w:rsid w:val="00C94E0D"/>
    <w:rsid w:val="00C95D06"/>
    <w:rsid w:val="00C978FA"/>
    <w:rsid w:val="00C97DDF"/>
    <w:rsid w:val="00CA2960"/>
    <w:rsid w:val="00CA409F"/>
    <w:rsid w:val="00CA66FB"/>
    <w:rsid w:val="00CA706A"/>
    <w:rsid w:val="00CB2075"/>
    <w:rsid w:val="00CB2151"/>
    <w:rsid w:val="00CB4B06"/>
    <w:rsid w:val="00CB60B0"/>
    <w:rsid w:val="00CB61CE"/>
    <w:rsid w:val="00CB6BC2"/>
    <w:rsid w:val="00CC0F97"/>
    <w:rsid w:val="00CC1EB6"/>
    <w:rsid w:val="00CC3CB0"/>
    <w:rsid w:val="00CC3D28"/>
    <w:rsid w:val="00CC3D61"/>
    <w:rsid w:val="00CC498B"/>
    <w:rsid w:val="00CC5B57"/>
    <w:rsid w:val="00CC669D"/>
    <w:rsid w:val="00CC6796"/>
    <w:rsid w:val="00CC798E"/>
    <w:rsid w:val="00CC7C58"/>
    <w:rsid w:val="00CD00B3"/>
    <w:rsid w:val="00CD0969"/>
    <w:rsid w:val="00CD1307"/>
    <w:rsid w:val="00CD1346"/>
    <w:rsid w:val="00CD207A"/>
    <w:rsid w:val="00CD30A1"/>
    <w:rsid w:val="00CD403A"/>
    <w:rsid w:val="00CD4516"/>
    <w:rsid w:val="00CD4A6A"/>
    <w:rsid w:val="00CD601F"/>
    <w:rsid w:val="00CD7913"/>
    <w:rsid w:val="00CD7AE9"/>
    <w:rsid w:val="00CE0AC7"/>
    <w:rsid w:val="00CE0CC6"/>
    <w:rsid w:val="00CE13A1"/>
    <w:rsid w:val="00CE258E"/>
    <w:rsid w:val="00CE3DEE"/>
    <w:rsid w:val="00CE4F10"/>
    <w:rsid w:val="00CE71CC"/>
    <w:rsid w:val="00CF06BB"/>
    <w:rsid w:val="00CF2171"/>
    <w:rsid w:val="00CF2760"/>
    <w:rsid w:val="00CF4037"/>
    <w:rsid w:val="00CF41EF"/>
    <w:rsid w:val="00CF4419"/>
    <w:rsid w:val="00CF489E"/>
    <w:rsid w:val="00CF5388"/>
    <w:rsid w:val="00CF7D58"/>
    <w:rsid w:val="00D00546"/>
    <w:rsid w:val="00D01108"/>
    <w:rsid w:val="00D01397"/>
    <w:rsid w:val="00D01A70"/>
    <w:rsid w:val="00D0698A"/>
    <w:rsid w:val="00D0785F"/>
    <w:rsid w:val="00D1069E"/>
    <w:rsid w:val="00D10D82"/>
    <w:rsid w:val="00D10F01"/>
    <w:rsid w:val="00D11D6F"/>
    <w:rsid w:val="00D11FBE"/>
    <w:rsid w:val="00D12F97"/>
    <w:rsid w:val="00D13A6B"/>
    <w:rsid w:val="00D153C6"/>
    <w:rsid w:val="00D15BCF"/>
    <w:rsid w:val="00D15E41"/>
    <w:rsid w:val="00D16357"/>
    <w:rsid w:val="00D21ABE"/>
    <w:rsid w:val="00D21BA9"/>
    <w:rsid w:val="00D2220B"/>
    <w:rsid w:val="00D2445C"/>
    <w:rsid w:val="00D2449E"/>
    <w:rsid w:val="00D2474A"/>
    <w:rsid w:val="00D24F05"/>
    <w:rsid w:val="00D26211"/>
    <w:rsid w:val="00D26FB8"/>
    <w:rsid w:val="00D27281"/>
    <w:rsid w:val="00D304D0"/>
    <w:rsid w:val="00D31AAF"/>
    <w:rsid w:val="00D32BB2"/>
    <w:rsid w:val="00D346D7"/>
    <w:rsid w:val="00D34BCE"/>
    <w:rsid w:val="00D370AE"/>
    <w:rsid w:val="00D37269"/>
    <w:rsid w:val="00D40E35"/>
    <w:rsid w:val="00D453EB"/>
    <w:rsid w:val="00D513CA"/>
    <w:rsid w:val="00D53D9F"/>
    <w:rsid w:val="00D54167"/>
    <w:rsid w:val="00D55146"/>
    <w:rsid w:val="00D569CE"/>
    <w:rsid w:val="00D602E7"/>
    <w:rsid w:val="00D61E9F"/>
    <w:rsid w:val="00D62D64"/>
    <w:rsid w:val="00D6315E"/>
    <w:rsid w:val="00D64AD4"/>
    <w:rsid w:val="00D65528"/>
    <w:rsid w:val="00D65F45"/>
    <w:rsid w:val="00D7451F"/>
    <w:rsid w:val="00D7662B"/>
    <w:rsid w:val="00D778E4"/>
    <w:rsid w:val="00D80E09"/>
    <w:rsid w:val="00D85E69"/>
    <w:rsid w:val="00D8634E"/>
    <w:rsid w:val="00D86394"/>
    <w:rsid w:val="00D86B36"/>
    <w:rsid w:val="00D9032A"/>
    <w:rsid w:val="00D914BA"/>
    <w:rsid w:val="00D93282"/>
    <w:rsid w:val="00D94A21"/>
    <w:rsid w:val="00D96899"/>
    <w:rsid w:val="00D96AA9"/>
    <w:rsid w:val="00D978BF"/>
    <w:rsid w:val="00DA0441"/>
    <w:rsid w:val="00DA06E7"/>
    <w:rsid w:val="00DA2381"/>
    <w:rsid w:val="00DA298D"/>
    <w:rsid w:val="00DA391C"/>
    <w:rsid w:val="00DA4CFA"/>
    <w:rsid w:val="00DA525B"/>
    <w:rsid w:val="00DB3886"/>
    <w:rsid w:val="00DB3FE0"/>
    <w:rsid w:val="00DB5B4B"/>
    <w:rsid w:val="00DB7097"/>
    <w:rsid w:val="00DB7636"/>
    <w:rsid w:val="00DC19EA"/>
    <w:rsid w:val="00DC3D08"/>
    <w:rsid w:val="00DC42BB"/>
    <w:rsid w:val="00DC555D"/>
    <w:rsid w:val="00DD00BB"/>
    <w:rsid w:val="00DD0644"/>
    <w:rsid w:val="00DD4B97"/>
    <w:rsid w:val="00DD5915"/>
    <w:rsid w:val="00DD5936"/>
    <w:rsid w:val="00DD6EA3"/>
    <w:rsid w:val="00DD7688"/>
    <w:rsid w:val="00DD7AB2"/>
    <w:rsid w:val="00DE017B"/>
    <w:rsid w:val="00DE02AB"/>
    <w:rsid w:val="00DE07D6"/>
    <w:rsid w:val="00DE0F47"/>
    <w:rsid w:val="00DE1B22"/>
    <w:rsid w:val="00DE2A2E"/>
    <w:rsid w:val="00DE3CF5"/>
    <w:rsid w:val="00DE46BD"/>
    <w:rsid w:val="00DE47D2"/>
    <w:rsid w:val="00DE4AA7"/>
    <w:rsid w:val="00DE5053"/>
    <w:rsid w:val="00DE581A"/>
    <w:rsid w:val="00DF09A3"/>
    <w:rsid w:val="00DF1BE5"/>
    <w:rsid w:val="00DF2174"/>
    <w:rsid w:val="00DF3473"/>
    <w:rsid w:val="00DF6930"/>
    <w:rsid w:val="00DF758A"/>
    <w:rsid w:val="00DF7FF5"/>
    <w:rsid w:val="00E01385"/>
    <w:rsid w:val="00E03DAD"/>
    <w:rsid w:val="00E05CC8"/>
    <w:rsid w:val="00E073EE"/>
    <w:rsid w:val="00E11889"/>
    <w:rsid w:val="00E13C31"/>
    <w:rsid w:val="00E15850"/>
    <w:rsid w:val="00E17B3C"/>
    <w:rsid w:val="00E17D1F"/>
    <w:rsid w:val="00E239B1"/>
    <w:rsid w:val="00E24AEC"/>
    <w:rsid w:val="00E24BC7"/>
    <w:rsid w:val="00E251A2"/>
    <w:rsid w:val="00E2538E"/>
    <w:rsid w:val="00E25EA7"/>
    <w:rsid w:val="00E26B25"/>
    <w:rsid w:val="00E303E5"/>
    <w:rsid w:val="00E32C2C"/>
    <w:rsid w:val="00E3402D"/>
    <w:rsid w:val="00E368DA"/>
    <w:rsid w:val="00E36A87"/>
    <w:rsid w:val="00E36E27"/>
    <w:rsid w:val="00E37901"/>
    <w:rsid w:val="00E37BE4"/>
    <w:rsid w:val="00E408AA"/>
    <w:rsid w:val="00E40F01"/>
    <w:rsid w:val="00E4189D"/>
    <w:rsid w:val="00E4284B"/>
    <w:rsid w:val="00E43892"/>
    <w:rsid w:val="00E443C8"/>
    <w:rsid w:val="00E462B0"/>
    <w:rsid w:val="00E46D2F"/>
    <w:rsid w:val="00E477D9"/>
    <w:rsid w:val="00E51457"/>
    <w:rsid w:val="00E527E9"/>
    <w:rsid w:val="00E52EF7"/>
    <w:rsid w:val="00E53280"/>
    <w:rsid w:val="00E543A1"/>
    <w:rsid w:val="00E55E70"/>
    <w:rsid w:val="00E577EC"/>
    <w:rsid w:val="00E57B9A"/>
    <w:rsid w:val="00E62A98"/>
    <w:rsid w:val="00E62D02"/>
    <w:rsid w:val="00E63689"/>
    <w:rsid w:val="00E651B2"/>
    <w:rsid w:val="00E703D8"/>
    <w:rsid w:val="00E710AD"/>
    <w:rsid w:val="00E71BA2"/>
    <w:rsid w:val="00E724E6"/>
    <w:rsid w:val="00E727F0"/>
    <w:rsid w:val="00E734BE"/>
    <w:rsid w:val="00E74CE9"/>
    <w:rsid w:val="00E74F52"/>
    <w:rsid w:val="00E76A8B"/>
    <w:rsid w:val="00E81133"/>
    <w:rsid w:val="00E8144F"/>
    <w:rsid w:val="00E82165"/>
    <w:rsid w:val="00E82173"/>
    <w:rsid w:val="00E82AD1"/>
    <w:rsid w:val="00E838A4"/>
    <w:rsid w:val="00E86E5D"/>
    <w:rsid w:val="00E8793A"/>
    <w:rsid w:val="00E9165A"/>
    <w:rsid w:val="00E92104"/>
    <w:rsid w:val="00E9256A"/>
    <w:rsid w:val="00E92E3C"/>
    <w:rsid w:val="00E94E9B"/>
    <w:rsid w:val="00E961BC"/>
    <w:rsid w:val="00E97212"/>
    <w:rsid w:val="00E9742B"/>
    <w:rsid w:val="00E97AC6"/>
    <w:rsid w:val="00EA10BE"/>
    <w:rsid w:val="00EA2D4A"/>
    <w:rsid w:val="00EA35E7"/>
    <w:rsid w:val="00EA5083"/>
    <w:rsid w:val="00EA613F"/>
    <w:rsid w:val="00EA7DFA"/>
    <w:rsid w:val="00EB080C"/>
    <w:rsid w:val="00EB1772"/>
    <w:rsid w:val="00EB1CA3"/>
    <w:rsid w:val="00EB25B4"/>
    <w:rsid w:val="00EB6FD4"/>
    <w:rsid w:val="00EC0CED"/>
    <w:rsid w:val="00EC0F19"/>
    <w:rsid w:val="00EC0F5B"/>
    <w:rsid w:val="00EC20B4"/>
    <w:rsid w:val="00EC32C8"/>
    <w:rsid w:val="00EC4769"/>
    <w:rsid w:val="00EC526F"/>
    <w:rsid w:val="00EC591D"/>
    <w:rsid w:val="00EC636A"/>
    <w:rsid w:val="00EC6AE1"/>
    <w:rsid w:val="00ED2DC7"/>
    <w:rsid w:val="00ED33B6"/>
    <w:rsid w:val="00ED37DC"/>
    <w:rsid w:val="00ED565C"/>
    <w:rsid w:val="00ED762C"/>
    <w:rsid w:val="00EE145A"/>
    <w:rsid w:val="00EE2444"/>
    <w:rsid w:val="00EE2CC1"/>
    <w:rsid w:val="00EE3064"/>
    <w:rsid w:val="00EE5622"/>
    <w:rsid w:val="00EE6647"/>
    <w:rsid w:val="00EE6E19"/>
    <w:rsid w:val="00EF17FE"/>
    <w:rsid w:val="00EF3F68"/>
    <w:rsid w:val="00EF4300"/>
    <w:rsid w:val="00EF493C"/>
    <w:rsid w:val="00F00197"/>
    <w:rsid w:val="00F00D7E"/>
    <w:rsid w:val="00F012F5"/>
    <w:rsid w:val="00F016AC"/>
    <w:rsid w:val="00F02407"/>
    <w:rsid w:val="00F0352C"/>
    <w:rsid w:val="00F038C9"/>
    <w:rsid w:val="00F0498E"/>
    <w:rsid w:val="00F04E2E"/>
    <w:rsid w:val="00F05D00"/>
    <w:rsid w:val="00F07047"/>
    <w:rsid w:val="00F12BC2"/>
    <w:rsid w:val="00F13265"/>
    <w:rsid w:val="00F13414"/>
    <w:rsid w:val="00F13565"/>
    <w:rsid w:val="00F138EA"/>
    <w:rsid w:val="00F1409B"/>
    <w:rsid w:val="00F14334"/>
    <w:rsid w:val="00F14A1A"/>
    <w:rsid w:val="00F159F5"/>
    <w:rsid w:val="00F2048A"/>
    <w:rsid w:val="00F22272"/>
    <w:rsid w:val="00F24610"/>
    <w:rsid w:val="00F2535F"/>
    <w:rsid w:val="00F25954"/>
    <w:rsid w:val="00F25AE1"/>
    <w:rsid w:val="00F25F2C"/>
    <w:rsid w:val="00F27C3D"/>
    <w:rsid w:val="00F30436"/>
    <w:rsid w:val="00F31378"/>
    <w:rsid w:val="00F31651"/>
    <w:rsid w:val="00F31F2E"/>
    <w:rsid w:val="00F32202"/>
    <w:rsid w:val="00F3220E"/>
    <w:rsid w:val="00F32482"/>
    <w:rsid w:val="00F32869"/>
    <w:rsid w:val="00F344B2"/>
    <w:rsid w:val="00F35B21"/>
    <w:rsid w:val="00F36C0F"/>
    <w:rsid w:val="00F402E3"/>
    <w:rsid w:val="00F40313"/>
    <w:rsid w:val="00F40413"/>
    <w:rsid w:val="00F40825"/>
    <w:rsid w:val="00F4586D"/>
    <w:rsid w:val="00F46871"/>
    <w:rsid w:val="00F47121"/>
    <w:rsid w:val="00F50B2D"/>
    <w:rsid w:val="00F51FAA"/>
    <w:rsid w:val="00F538E3"/>
    <w:rsid w:val="00F54D9C"/>
    <w:rsid w:val="00F60466"/>
    <w:rsid w:val="00F604A4"/>
    <w:rsid w:val="00F617EC"/>
    <w:rsid w:val="00F6219D"/>
    <w:rsid w:val="00F62754"/>
    <w:rsid w:val="00F62CB3"/>
    <w:rsid w:val="00F63A7A"/>
    <w:rsid w:val="00F63D13"/>
    <w:rsid w:val="00F64A52"/>
    <w:rsid w:val="00F6644E"/>
    <w:rsid w:val="00F6668D"/>
    <w:rsid w:val="00F66E32"/>
    <w:rsid w:val="00F70518"/>
    <w:rsid w:val="00F71821"/>
    <w:rsid w:val="00F7199F"/>
    <w:rsid w:val="00F74967"/>
    <w:rsid w:val="00F74FB6"/>
    <w:rsid w:val="00F75ACB"/>
    <w:rsid w:val="00F76AC3"/>
    <w:rsid w:val="00F76F04"/>
    <w:rsid w:val="00F805FB"/>
    <w:rsid w:val="00F82E71"/>
    <w:rsid w:val="00F84264"/>
    <w:rsid w:val="00F84DE1"/>
    <w:rsid w:val="00F861AD"/>
    <w:rsid w:val="00F8795B"/>
    <w:rsid w:val="00F902D5"/>
    <w:rsid w:val="00F90577"/>
    <w:rsid w:val="00F91B68"/>
    <w:rsid w:val="00F91E35"/>
    <w:rsid w:val="00F925E7"/>
    <w:rsid w:val="00F92C00"/>
    <w:rsid w:val="00F93055"/>
    <w:rsid w:val="00F933E8"/>
    <w:rsid w:val="00F93A0C"/>
    <w:rsid w:val="00F93D9E"/>
    <w:rsid w:val="00F943D4"/>
    <w:rsid w:val="00F971A9"/>
    <w:rsid w:val="00FA1823"/>
    <w:rsid w:val="00FA2ABA"/>
    <w:rsid w:val="00FA30FA"/>
    <w:rsid w:val="00FA31EC"/>
    <w:rsid w:val="00FA392F"/>
    <w:rsid w:val="00FA3A7D"/>
    <w:rsid w:val="00FA42E1"/>
    <w:rsid w:val="00FA4F0A"/>
    <w:rsid w:val="00FA540D"/>
    <w:rsid w:val="00FA637B"/>
    <w:rsid w:val="00FA755A"/>
    <w:rsid w:val="00FA76E4"/>
    <w:rsid w:val="00FA777E"/>
    <w:rsid w:val="00FA7928"/>
    <w:rsid w:val="00FA7996"/>
    <w:rsid w:val="00FB18BA"/>
    <w:rsid w:val="00FB1C31"/>
    <w:rsid w:val="00FB3C19"/>
    <w:rsid w:val="00FB45EC"/>
    <w:rsid w:val="00FB521B"/>
    <w:rsid w:val="00FB60C2"/>
    <w:rsid w:val="00FB6B0C"/>
    <w:rsid w:val="00FB7B46"/>
    <w:rsid w:val="00FC1D12"/>
    <w:rsid w:val="00FC2517"/>
    <w:rsid w:val="00FC2744"/>
    <w:rsid w:val="00FC2969"/>
    <w:rsid w:val="00FC2FB1"/>
    <w:rsid w:val="00FC3031"/>
    <w:rsid w:val="00FC3B77"/>
    <w:rsid w:val="00FC3E9D"/>
    <w:rsid w:val="00FC42E3"/>
    <w:rsid w:val="00FC4FF7"/>
    <w:rsid w:val="00FC6957"/>
    <w:rsid w:val="00FD08C4"/>
    <w:rsid w:val="00FD0E5F"/>
    <w:rsid w:val="00FD0ED0"/>
    <w:rsid w:val="00FD7328"/>
    <w:rsid w:val="00FD74B8"/>
    <w:rsid w:val="00FE1848"/>
    <w:rsid w:val="00FE26FD"/>
    <w:rsid w:val="00FE52D2"/>
    <w:rsid w:val="00FE6B0A"/>
    <w:rsid w:val="00FE7F93"/>
    <w:rsid w:val="00FF0210"/>
    <w:rsid w:val="00FF133A"/>
    <w:rsid w:val="00FF4203"/>
    <w:rsid w:val="00FF495C"/>
    <w:rsid w:val="00FF51AD"/>
    <w:rsid w:val="00FF5419"/>
    <w:rsid w:val="00FF5B26"/>
    <w:rsid w:val="00FF689D"/>
    <w:rsid w:val="00FF7069"/>
    <w:rsid w:val="00FF7C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A79A17"/>
  <w15:docId w15:val="{D195D64F-972E-47C4-8EF1-3F292D9E7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035A"/>
    <w:rPr>
      <w:rFonts w:ascii="Times New Roman" w:hAnsi="Times New Roman"/>
    </w:rPr>
  </w:style>
  <w:style w:type="paragraph" w:styleId="Heading2">
    <w:name w:val="heading 2"/>
    <w:basedOn w:val="Normal"/>
    <w:next w:val="Normal"/>
    <w:link w:val="Heading2Char"/>
    <w:uiPriority w:val="9"/>
    <w:unhideWhenUsed/>
    <w:qFormat/>
    <w:rsid w:val="00181F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1F3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821"/>
    <w:pPr>
      <w:ind w:left="720"/>
      <w:contextualSpacing/>
    </w:pPr>
    <w:rPr>
      <w:i/>
      <w:sz w:val="24"/>
    </w:rPr>
  </w:style>
  <w:style w:type="paragraph" w:styleId="BalloonText">
    <w:name w:val="Balloon Text"/>
    <w:basedOn w:val="Normal"/>
    <w:link w:val="BalloonTextChar"/>
    <w:uiPriority w:val="99"/>
    <w:semiHidden/>
    <w:unhideWhenUsed/>
    <w:rsid w:val="00761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70E"/>
    <w:rPr>
      <w:rFonts w:ascii="Tahoma" w:hAnsi="Tahoma" w:cs="Tahoma"/>
      <w:sz w:val="16"/>
      <w:szCs w:val="16"/>
    </w:rPr>
  </w:style>
  <w:style w:type="character" w:styleId="Hyperlink">
    <w:name w:val="Hyperlink"/>
    <w:basedOn w:val="DefaultParagraphFont"/>
    <w:uiPriority w:val="99"/>
    <w:unhideWhenUsed/>
    <w:rsid w:val="0076170E"/>
    <w:rPr>
      <w:color w:val="0000FF" w:themeColor="hyperlink"/>
      <w:u w:val="single"/>
    </w:rPr>
  </w:style>
  <w:style w:type="character" w:styleId="Emphasis">
    <w:name w:val="Emphasis"/>
    <w:basedOn w:val="SubtleEmphasis"/>
    <w:uiPriority w:val="20"/>
    <w:qFormat/>
    <w:rsid w:val="00F0498E"/>
    <w:rPr>
      <w:i w:val="0"/>
      <w:iCs w:val="0"/>
      <w:color w:val="808080" w:themeColor="text1" w:themeTint="7F"/>
    </w:rPr>
  </w:style>
  <w:style w:type="character" w:styleId="SubtleEmphasis">
    <w:name w:val="Subtle Emphasis"/>
    <w:basedOn w:val="DefaultParagraphFont"/>
    <w:uiPriority w:val="19"/>
    <w:qFormat/>
    <w:rsid w:val="00F0498E"/>
    <w:rPr>
      <w:i/>
      <w:iCs/>
      <w:color w:val="808080" w:themeColor="text1" w:themeTint="7F"/>
    </w:rPr>
  </w:style>
  <w:style w:type="character" w:styleId="PlaceholderText">
    <w:name w:val="Placeholder Text"/>
    <w:basedOn w:val="DefaultParagraphFont"/>
    <w:uiPriority w:val="99"/>
    <w:semiHidden/>
    <w:rsid w:val="00C15E54"/>
    <w:rPr>
      <w:color w:val="808080"/>
    </w:rPr>
  </w:style>
  <w:style w:type="table" w:styleId="TableGrid">
    <w:name w:val="Table Grid"/>
    <w:basedOn w:val="TableNormal"/>
    <w:uiPriority w:val="59"/>
    <w:rsid w:val="00D91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1F39"/>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181F39"/>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B4274B"/>
    <w:rPr>
      <w:sz w:val="18"/>
      <w:szCs w:val="18"/>
    </w:rPr>
  </w:style>
  <w:style w:type="paragraph" w:styleId="CommentText">
    <w:name w:val="annotation text"/>
    <w:basedOn w:val="Normal"/>
    <w:link w:val="CommentTextChar"/>
    <w:uiPriority w:val="99"/>
    <w:semiHidden/>
    <w:unhideWhenUsed/>
    <w:rsid w:val="00B4274B"/>
    <w:pPr>
      <w:spacing w:line="240" w:lineRule="auto"/>
    </w:pPr>
    <w:rPr>
      <w:sz w:val="24"/>
      <w:szCs w:val="24"/>
    </w:rPr>
  </w:style>
  <w:style w:type="character" w:customStyle="1" w:styleId="CommentTextChar">
    <w:name w:val="Comment Text Char"/>
    <w:basedOn w:val="DefaultParagraphFont"/>
    <w:link w:val="CommentText"/>
    <w:uiPriority w:val="99"/>
    <w:semiHidden/>
    <w:rsid w:val="00B4274B"/>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B4274B"/>
    <w:rPr>
      <w:b/>
      <w:bCs/>
      <w:sz w:val="20"/>
      <w:szCs w:val="20"/>
    </w:rPr>
  </w:style>
  <w:style w:type="character" w:customStyle="1" w:styleId="CommentSubjectChar">
    <w:name w:val="Comment Subject Char"/>
    <w:basedOn w:val="CommentTextChar"/>
    <w:link w:val="CommentSubject"/>
    <w:uiPriority w:val="99"/>
    <w:semiHidden/>
    <w:rsid w:val="00B4274B"/>
    <w:rPr>
      <w:rFonts w:ascii="Times New Roman" w:hAnsi="Times New Roman"/>
      <w:b/>
      <w:bCs/>
      <w:sz w:val="20"/>
      <w:szCs w:val="20"/>
    </w:rPr>
  </w:style>
  <w:style w:type="character" w:styleId="UnresolvedMention">
    <w:name w:val="Unresolved Mention"/>
    <w:basedOn w:val="DefaultParagraphFont"/>
    <w:uiPriority w:val="99"/>
    <w:semiHidden/>
    <w:unhideWhenUsed/>
    <w:rsid w:val="00427637"/>
    <w:rPr>
      <w:color w:val="605E5C"/>
      <w:shd w:val="clear" w:color="auto" w:fill="E1DFDD"/>
    </w:rPr>
  </w:style>
  <w:style w:type="paragraph" w:styleId="Caption">
    <w:name w:val="caption"/>
    <w:basedOn w:val="Normal"/>
    <w:next w:val="Normal"/>
    <w:uiPriority w:val="35"/>
    <w:unhideWhenUsed/>
    <w:qFormat/>
    <w:rsid w:val="00C7557F"/>
    <w:pPr>
      <w:spacing w:line="240" w:lineRule="auto"/>
    </w:pPr>
    <w:rPr>
      <w:i/>
      <w:iCs/>
      <w:color w:val="1F497D" w:themeColor="text2"/>
      <w:sz w:val="18"/>
      <w:szCs w:val="18"/>
    </w:rPr>
  </w:style>
  <w:style w:type="paragraph" w:customStyle="1" w:styleId="supplementcaptions">
    <w:name w:val="supplement captions"/>
    <w:basedOn w:val="Normal"/>
    <w:link w:val="supplementcaptionsChar"/>
    <w:qFormat/>
    <w:rsid w:val="0091512F"/>
    <w:rPr>
      <w:b/>
    </w:rPr>
  </w:style>
  <w:style w:type="character" w:customStyle="1" w:styleId="supplementcaptionsChar">
    <w:name w:val="supplement captions Char"/>
    <w:basedOn w:val="DefaultParagraphFont"/>
    <w:link w:val="supplementcaptions"/>
    <w:rsid w:val="0091512F"/>
    <w:rPr>
      <w:rFonts w:ascii="Times New Roman" w:hAnsi="Times New Roman"/>
      <w:b/>
    </w:rPr>
  </w:style>
  <w:style w:type="paragraph" w:customStyle="1" w:styleId="dx-doi">
    <w:name w:val="dx-doi"/>
    <w:basedOn w:val="Normal"/>
    <w:rsid w:val="00A345F5"/>
    <w:pPr>
      <w:spacing w:before="100" w:beforeAutospacing="1" w:after="100" w:afterAutospacing="1" w:line="240" w:lineRule="auto"/>
    </w:pPr>
    <w:rPr>
      <w:rFonts w:eastAsia="Times New Roman" w:cs="Times New Roman"/>
      <w:sz w:val="24"/>
      <w:szCs w:val="24"/>
      <w:lang w:val="en-CA"/>
    </w:rPr>
  </w:style>
  <w:style w:type="character" w:styleId="FollowedHyperlink">
    <w:name w:val="FollowedHyperlink"/>
    <w:basedOn w:val="DefaultParagraphFont"/>
    <w:uiPriority w:val="99"/>
    <w:semiHidden/>
    <w:unhideWhenUsed/>
    <w:rsid w:val="00A345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04426">
      <w:bodyDiv w:val="1"/>
      <w:marLeft w:val="0"/>
      <w:marRight w:val="0"/>
      <w:marTop w:val="0"/>
      <w:marBottom w:val="0"/>
      <w:divBdr>
        <w:top w:val="none" w:sz="0" w:space="0" w:color="auto"/>
        <w:left w:val="none" w:sz="0" w:space="0" w:color="auto"/>
        <w:bottom w:val="none" w:sz="0" w:space="0" w:color="auto"/>
        <w:right w:val="none" w:sz="0" w:space="0" w:color="auto"/>
      </w:divBdr>
    </w:div>
    <w:div w:id="531040204">
      <w:bodyDiv w:val="1"/>
      <w:marLeft w:val="0"/>
      <w:marRight w:val="0"/>
      <w:marTop w:val="0"/>
      <w:marBottom w:val="0"/>
      <w:divBdr>
        <w:top w:val="none" w:sz="0" w:space="0" w:color="auto"/>
        <w:left w:val="none" w:sz="0" w:space="0" w:color="auto"/>
        <w:bottom w:val="none" w:sz="0" w:space="0" w:color="auto"/>
        <w:right w:val="none" w:sz="0" w:space="0" w:color="auto"/>
      </w:divBdr>
    </w:div>
    <w:div w:id="1058748511">
      <w:bodyDiv w:val="1"/>
      <w:marLeft w:val="0"/>
      <w:marRight w:val="0"/>
      <w:marTop w:val="0"/>
      <w:marBottom w:val="0"/>
      <w:divBdr>
        <w:top w:val="none" w:sz="0" w:space="0" w:color="auto"/>
        <w:left w:val="none" w:sz="0" w:space="0" w:color="auto"/>
        <w:bottom w:val="none" w:sz="0" w:space="0" w:color="auto"/>
        <w:right w:val="none" w:sz="0" w:space="0" w:color="auto"/>
      </w:divBdr>
    </w:div>
    <w:div w:id="1060330419">
      <w:bodyDiv w:val="1"/>
      <w:marLeft w:val="0"/>
      <w:marRight w:val="0"/>
      <w:marTop w:val="0"/>
      <w:marBottom w:val="0"/>
      <w:divBdr>
        <w:top w:val="none" w:sz="0" w:space="0" w:color="auto"/>
        <w:left w:val="none" w:sz="0" w:space="0" w:color="auto"/>
        <w:bottom w:val="none" w:sz="0" w:space="0" w:color="auto"/>
        <w:right w:val="none" w:sz="0" w:space="0" w:color="auto"/>
      </w:divBdr>
    </w:div>
    <w:div w:id="1463303370">
      <w:bodyDiv w:val="1"/>
      <w:marLeft w:val="0"/>
      <w:marRight w:val="0"/>
      <w:marTop w:val="0"/>
      <w:marBottom w:val="0"/>
      <w:divBdr>
        <w:top w:val="none" w:sz="0" w:space="0" w:color="auto"/>
        <w:left w:val="none" w:sz="0" w:space="0" w:color="auto"/>
        <w:bottom w:val="none" w:sz="0" w:space="0" w:color="auto"/>
        <w:right w:val="none" w:sz="0" w:space="0" w:color="auto"/>
      </w:divBdr>
    </w:div>
    <w:div w:id="1540555199">
      <w:bodyDiv w:val="1"/>
      <w:marLeft w:val="0"/>
      <w:marRight w:val="0"/>
      <w:marTop w:val="0"/>
      <w:marBottom w:val="0"/>
      <w:divBdr>
        <w:top w:val="none" w:sz="0" w:space="0" w:color="auto"/>
        <w:left w:val="none" w:sz="0" w:space="0" w:color="auto"/>
        <w:bottom w:val="none" w:sz="0" w:space="0" w:color="auto"/>
        <w:right w:val="none" w:sz="0" w:space="0" w:color="auto"/>
      </w:divBdr>
    </w:div>
    <w:div w:id="1615016011">
      <w:bodyDiv w:val="1"/>
      <w:marLeft w:val="0"/>
      <w:marRight w:val="0"/>
      <w:marTop w:val="0"/>
      <w:marBottom w:val="0"/>
      <w:divBdr>
        <w:top w:val="none" w:sz="0" w:space="0" w:color="auto"/>
        <w:left w:val="none" w:sz="0" w:space="0" w:color="auto"/>
        <w:bottom w:val="none" w:sz="0" w:space="0" w:color="auto"/>
        <w:right w:val="none" w:sz="0" w:space="0" w:color="auto"/>
      </w:divBdr>
    </w:div>
    <w:div w:id="1676493060">
      <w:bodyDiv w:val="1"/>
      <w:marLeft w:val="0"/>
      <w:marRight w:val="0"/>
      <w:marTop w:val="0"/>
      <w:marBottom w:val="0"/>
      <w:divBdr>
        <w:top w:val="none" w:sz="0" w:space="0" w:color="auto"/>
        <w:left w:val="none" w:sz="0" w:space="0" w:color="auto"/>
        <w:bottom w:val="none" w:sz="0" w:space="0" w:color="auto"/>
        <w:right w:val="none" w:sz="0" w:space="0" w:color="auto"/>
      </w:divBdr>
    </w:div>
    <w:div w:id="1712268506">
      <w:bodyDiv w:val="1"/>
      <w:marLeft w:val="0"/>
      <w:marRight w:val="0"/>
      <w:marTop w:val="0"/>
      <w:marBottom w:val="0"/>
      <w:divBdr>
        <w:top w:val="none" w:sz="0" w:space="0" w:color="auto"/>
        <w:left w:val="none" w:sz="0" w:space="0" w:color="auto"/>
        <w:bottom w:val="none" w:sz="0" w:space="0" w:color="auto"/>
        <w:right w:val="none" w:sz="0" w:space="0" w:color="auto"/>
      </w:divBdr>
    </w:div>
    <w:div w:id="178723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atmos-chem-phys.net/7/2371/2007/" TargetMode="External"/><Relationship Id="rId3" Type="http://schemas.openxmlformats.org/officeDocument/2006/relationships/settings" Target="settings.xml"/><Relationship Id="rId21" Type="http://schemas.openxmlformats.org/officeDocument/2006/relationships/hyperlink" Target="https://doi.org/10.1021/es0201810" TargetMode="Externa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hyperlink" Target="https://doi.org/10.1080/02786820802157823"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doi.org/10.1080/02786828508959055"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doi.org/10.1080/02786826.2018.1547358"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atmos-chem-phys.net/6/795/2006/" TargetMode="External"/><Relationship Id="rId28" Type="http://schemas.openxmlformats.org/officeDocument/2006/relationships/hyperlink" Target="https://www.sciencedirect.com/science/article/pii/0095852256900216" TargetMode="External"/><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hyperlink" Target="https://dx.doi.org/10.6028%2Fjres.110.005" TargetMode="External"/><Relationship Id="rId27" Type="http://schemas.openxmlformats.org/officeDocument/2006/relationships/hyperlink" Target="https://www.sciencedirect.com/science/article/pii/0021850288902789"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11110</Words>
  <Characters>63327</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Oxford</dc:creator>
  <cp:lastModifiedBy>Luba Slabyj</cp:lastModifiedBy>
  <cp:revision>2</cp:revision>
  <dcterms:created xsi:type="dcterms:W3CDTF">2019-12-21T21:16:00Z</dcterms:created>
  <dcterms:modified xsi:type="dcterms:W3CDTF">2019-12-21T21:16:00Z</dcterms:modified>
</cp:coreProperties>
</file>