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89D" w:rsidRDefault="00C8089D" w:rsidP="00666B91">
      <w:pPr>
        <w:tabs>
          <w:tab w:val="left" w:pos="2977"/>
        </w:tabs>
        <w:spacing w:line="600" w:lineRule="auto"/>
        <w:rPr>
          <w:b/>
        </w:rPr>
      </w:pPr>
      <w:bookmarkStart w:id="0" w:name="_GoBack"/>
      <w:r w:rsidRPr="00C8089D">
        <w:rPr>
          <w:b/>
        </w:rPr>
        <w:t>BBTN-2019-0138 R1</w:t>
      </w:r>
    </w:p>
    <w:bookmarkEnd w:id="0"/>
    <w:p w:rsidR="00666B91" w:rsidRDefault="00666B91" w:rsidP="00666B91">
      <w:pPr>
        <w:tabs>
          <w:tab w:val="left" w:pos="2977"/>
        </w:tabs>
        <w:spacing w:line="600" w:lineRule="auto"/>
        <w:rPr>
          <w:b/>
        </w:rPr>
      </w:pPr>
      <w:r w:rsidRPr="003B7498">
        <w:rPr>
          <w:b/>
        </w:rPr>
        <w:t>Supplementary material</w:t>
      </w:r>
    </w:p>
    <w:p w:rsidR="00666B91" w:rsidRPr="003B7498" w:rsidRDefault="00666B91" w:rsidP="00666B91">
      <w:pPr>
        <w:spacing w:line="600" w:lineRule="auto"/>
        <w:jc w:val="both"/>
        <w:rPr>
          <w:rFonts w:cs="Arial"/>
          <w:b/>
          <w:bCs/>
          <w:iCs/>
          <w:szCs w:val="28"/>
        </w:rPr>
      </w:pPr>
      <w:r w:rsidRPr="003B7498">
        <w:rPr>
          <w:rFonts w:cs="Arial"/>
          <w:b/>
          <w:bCs/>
          <w:iCs/>
          <w:szCs w:val="28"/>
        </w:rPr>
        <w:t xml:space="preserve"> Experimental determination of lipid A-ligand interactions</w:t>
      </w:r>
    </w:p>
    <w:p w:rsidR="00666B91" w:rsidRPr="00DA4E3E" w:rsidRDefault="00666B91" w:rsidP="00666B91">
      <w:pPr>
        <w:spacing w:line="600" w:lineRule="auto"/>
        <w:jc w:val="both"/>
      </w:pPr>
      <w:r w:rsidRPr="00DA4E3E">
        <w:t xml:space="preserve">Lipid A, one of the most potent stimulators of the innate system, induces a wide spectrum of biological effects, which may be harmful for the hosts. Thus, theoretical, experimental and combined studies have been developed to analyze the interaction between the lipid A and different binding molecules. These approaches contribute to clarify the binding mechanism and make progress on advanced therapies for sepsis control. In this context, some authors focused their investigation on the kinetics and reaction mechanisms as they play an important role in the design and optimization of the analytical or treatment devices. Kinetic studies, whose main objective is the determination of the equilibrium constant from the kinetic parameters of </w:t>
      </w:r>
      <w:r w:rsidR="009808EA">
        <w:t>both</w:t>
      </w:r>
      <w:r w:rsidR="009808EA" w:rsidRPr="00DA4E3E">
        <w:t xml:space="preserve"> </w:t>
      </w:r>
      <w:r w:rsidRPr="00DA4E3E">
        <w:t>direct and reverse binding reactions, employ either surface plasmon resonance (SPR), micro calorimetry (ITC), or fluorescence resonance energy transfer (FRET).</w:t>
      </w:r>
    </w:p>
    <w:p w:rsidR="00666B91" w:rsidRPr="003B7498" w:rsidRDefault="00666B91" w:rsidP="00666B91">
      <w:pPr>
        <w:spacing w:line="600" w:lineRule="auto"/>
        <w:jc w:val="both"/>
        <w:rPr>
          <w:rFonts w:cs="Arial"/>
          <w:b/>
          <w:bCs/>
          <w:i/>
          <w:szCs w:val="26"/>
        </w:rPr>
      </w:pPr>
      <w:r w:rsidRPr="003B7498">
        <w:rPr>
          <w:rFonts w:cs="Arial"/>
          <w:b/>
          <w:bCs/>
          <w:i/>
          <w:szCs w:val="26"/>
        </w:rPr>
        <w:t xml:space="preserve">Surface Plasmon </w:t>
      </w:r>
      <w:r w:rsidR="009808EA">
        <w:rPr>
          <w:rFonts w:cs="Arial"/>
          <w:b/>
          <w:bCs/>
          <w:i/>
          <w:szCs w:val="26"/>
        </w:rPr>
        <w:t>R</w:t>
      </w:r>
      <w:r w:rsidR="009808EA" w:rsidRPr="003B7498">
        <w:rPr>
          <w:rFonts w:cs="Arial"/>
          <w:b/>
          <w:bCs/>
          <w:i/>
          <w:szCs w:val="26"/>
        </w:rPr>
        <w:t xml:space="preserve">esonance </w:t>
      </w:r>
      <w:r w:rsidRPr="003B7498">
        <w:rPr>
          <w:rFonts w:cs="Arial"/>
          <w:b/>
          <w:bCs/>
          <w:i/>
          <w:szCs w:val="26"/>
        </w:rPr>
        <w:t>(SPR)</w:t>
      </w:r>
    </w:p>
    <w:p w:rsidR="00666B91" w:rsidRDefault="00666B91" w:rsidP="00666B91">
      <w:pPr>
        <w:spacing w:line="600" w:lineRule="auto"/>
        <w:jc w:val="both"/>
      </w:pPr>
      <w:r w:rsidRPr="00DA4E3E">
        <w:t xml:space="preserve">Surface Plasmon Resonance is a mass-sensitive transductor procedure that monitors in real-time the association and dissociation events between a binding molecule immobilized on a surface and a partner injected on the surface. The sensor surface is composed of a thin gold film on a transparent material illuminated by polarized light as depicted in figure 3.  Once the wavelength, angle and refractive indices are adjusted, </w:t>
      </w:r>
      <w:r w:rsidRPr="00DA4E3E">
        <w:lastRenderedPageBreak/>
        <w:t xml:space="preserve">resonance takes place between the light and the free electrons clouds (plasmon wave). Binding and dissociation between the immobilized compound and its partner change the refractive index and allows real-time tracking of the resonance conditions </w:t>
      </w:r>
      <w:r w:rsidR="000E2348" w:rsidRPr="00DA4E3E">
        <w:fldChar w:fldCharType="begin" w:fldLock="1"/>
      </w:r>
      <w:r>
        <w:instrText>ADDIN CSL_CITATION {"citationItems":[{"id":"ITEM-1","itemData":{"DOI":"10.1002/adma.200400271","ISSN":"09359648","abstract":"Recent advances in the exploitation of localized surface plasmons (charge density oscillations confined to metallic nanoparticles and nanostructures) in nanoscale optics and photonics, as well as in the construction of sensors and biosensors, are reviewed here. In particular, subsequent to brief surveys of the most-commonly used methods of preparation and arraying of materials with localized surface plasmon resonance (LSPR), and of the optical manifestations of LSPR, attention will be focused on the exploitation of metallic nanostructures as waveguides; as optical transmission, information storage, and nanophotonic devices; as switches; as resonant light scatterers (employed in the different near-field scanning optical microscopies); and finally as sensors and biosensors.","author":[{"dropping-particle":"","family":"Hutter","given":"Eliza","non-dropping-particle":"","parse-names":false,"suffix":""},{"dropping-particle":"","family":"Fendler","given":"Janos H.","non-dropping-particle":"","parse-names":false,"suffix":""}],"container-title":"Advanced Materials","id":"ITEM-1","issue":"19","issued":{"date-parts":[["2004"]]},"page":"1685-1706","title":"Exploitation of localized surface plasmon resonance","type":"article-journal","volume":"16"},"uris":["http://www.mendeley.com/documents/?uuid=63d5c06b-d78d-4361-9460-17a5b2d82314"]},{"id":"ITEM-2","itemData":{"DOI":"10.1021/nl061286u","ISSN":"15306984","abstract":"The plasmonic properties of single silver triangular nanoprisms are investigated using dark-field optical microscopy and spectroscopy. Two distinct localized surface plasmon resonances (LSPR) are observed. These are assigned as in-plane dipolar and quadrupolar plasmon excitations using electrodynamic modeling based on the discrete dipole approximation (DDA). The dipole resonance is found to be very intense, and its peak wavelength is extremely sensitive to the height, edge length, and tip sharpness of the triangular nanoprism. In contrast, the intensity of the quadrupole resonance is much weaker relative to the dipole resonance in the single particle spectra than in the ensemble averaged spectrum. Several parameters relevant to the chemical sensing properties of these nanoprisms have been measured. The dependence of the dipole plasmon resonance on the refractive index of the external medium is found to be as high as 205 nm RIU(-1) and the plasmon line width as narrow as approximately 0.17 eV. These data lead to a sensing figure of merit (FOM), the slope of refractive index sensitivity in eV RIU(-1)/line width (eV), as high as 3.3. In addition, the LSPR shift response to alkanethiol chain length was found to be linear with a slope of 4.4 nm per CH2 unit. This is the highest short-range refractive index sensitivity yet measured for a nanoparticle.","author":[{"dropping-particle":"","family":"Sherry","given":"Leif J.","non-dropping-particle":"","parse-names":false,"suffix":""},{"dropping-particle":"","family":"Jin","given":"Rongchao","non-dropping-particle":"","parse-names":false,"suffix":""},{"dropping-particle":"","family":"Mirkin","given":"Chad A.","non-dropping-particle":"","parse-names":false,"suffix":""},{"dropping-particle":"","family":"Schatz","given":"George C.","non-dropping-particle":"","parse-names":false,"suffix":""},{"dropping-particle":"","family":"Duyne","given":"Richard P.","non-dropping-particle":"Van","parse-names":false,"suffix":""}],"container-title":"Nano Letters","id":"ITEM-2","issue":"9","issued":{"date-parts":[["2006"]]},"page":"2060-2065","title":"Localized surface plasmon resonance spectroscopy of single silver triangular nanoprisms","type":"article-journal","volume":"6"},"uris":["http://www.mendeley.com/documents/?uuid=fc5a92d0-ea97-4b42-81ca-67703fc72d6c"]}],"mendeley":{"formattedCitation":"[139,140]","plainTextFormattedCitation":"[139,140]","previouslyFormattedCitation":"[139,140]"},"properties":{"noteIndex":0},"schema":"https://github.com/citation-style-language/schema/raw/master/csl-citation.json"}</w:instrText>
      </w:r>
      <w:r w:rsidR="000E2348" w:rsidRPr="00DA4E3E">
        <w:fldChar w:fldCharType="separate"/>
      </w:r>
      <w:r w:rsidRPr="00D32084">
        <w:rPr>
          <w:noProof/>
        </w:rPr>
        <w:t>[139,140]</w:t>
      </w:r>
      <w:r w:rsidR="000E2348" w:rsidRPr="00DA4E3E">
        <w:fldChar w:fldCharType="end"/>
      </w:r>
      <w:r w:rsidRPr="00DA4E3E">
        <w:t>.</w:t>
      </w:r>
    </w:p>
    <w:p w:rsidR="00666B91" w:rsidRDefault="00666B91" w:rsidP="00666B91">
      <w:pPr>
        <w:keepNext/>
      </w:pPr>
      <w:r w:rsidRPr="0081000F">
        <w:rPr>
          <w:noProof/>
          <w:lang w:val="en-GB"/>
        </w:rPr>
        <w:drawing>
          <wp:inline distT="0" distB="0" distL="0" distR="0">
            <wp:extent cx="4243715" cy="3098042"/>
            <wp:effectExtent l="0" t="0" r="4445" b="7620"/>
            <wp:docPr id="7" name="Imagen 7" descr="C:\Users\UsuarioUC\Desktop\Dibus review\Diapositiv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UC\Desktop\Dibus review\Diapositiva4.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042" t="25658" r="27646" b="11621"/>
                    <a:stretch/>
                  </pic:blipFill>
                  <pic:spPr bwMode="auto">
                    <a:xfrm>
                      <a:off x="0" y="0"/>
                      <a:ext cx="4262012" cy="3111399"/>
                    </a:xfrm>
                    <a:prstGeom prst="rect">
                      <a:avLst/>
                    </a:prstGeom>
                    <a:noFill/>
                    <a:ln>
                      <a:noFill/>
                    </a:ln>
                    <a:extLst>
                      <a:ext uri="{53640926-AAD7-44D8-BBD7-CCE9431645EC}">
                        <a14:shadowObscured xmlns:a14="http://schemas.microsoft.com/office/drawing/2010/main"/>
                      </a:ext>
                    </a:extLst>
                  </pic:spPr>
                </pic:pic>
              </a:graphicData>
            </a:graphic>
          </wp:inline>
        </w:drawing>
      </w:r>
    </w:p>
    <w:p w:rsidR="00666B91" w:rsidRPr="003B7498" w:rsidRDefault="00666B91" w:rsidP="00666B91">
      <w:pPr>
        <w:pStyle w:val="Caption"/>
        <w:rPr>
          <w:color w:val="000000" w:themeColor="text1"/>
        </w:rPr>
      </w:pPr>
      <w:r w:rsidRPr="003B7498">
        <w:rPr>
          <w:color w:val="000000" w:themeColor="text1"/>
        </w:rPr>
        <w:t xml:space="preserve">Figure </w:t>
      </w:r>
      <w:r w:rsidR="000E2348" w:rsidRPr="003B7498">
        <w:rPr>
          <w:color w:val="000000" w:themeColor="text1"/>
        </w:rPr>
        <w:fldChar w:fldCharType="begin"/>
      </w:r>
      <w:r w:rsidRPr="003B7498">
        <w:rPr>
          <w:color w:val="000000" w:themeColor="text1"/>
        </w:rPr>
        <w:instrText xml:space="preserve"> SEQ Figure \* ARABIC </w:instrText>
      </w:r>
      <w:r w:rsidR="000E2348" w:rsidRPr="003B7498">
        <w:rPr>
          <w:color w:val="000000" w:themeColor="text1"/>
        </w:rPr>
        <w:fldChar w:fldCharType="separate"/>
      </w:r>
      <w:r w:rsidR="009A1867">
        <w:rPr>
          <w:noProof/>
          <w:color w:val="000000" w:themeColor="text1"/>
        </w:rPr>
        <w:t>1</w:t>
      </w:r>
      <w:r w:rsidR="000E2348" w:rsidRPr="003B7498">
        <w:rPr>
          <w:color w:val="000000" w:themeColor="text1"/>
        </w:rPr>
        <w:fldChar w:fldCharType="end"/>
      </w:r>
      <w:r w:rsidRPr="003B7498">
        <w:rPr>
          <w:color w:val="000000" w:themeColor="text1"/>
        </w:rPr>
        <w:t>. Surface Plasmon Resonance detection system</w:t>
      </w:r>
    </w:p>
    <w:p w:rsidR="00666B91" w:rsidRDefault="00666B91" w:rsidP="00666B91"/>
    <w:p w:rsidR="00666B91" w:rsidRPr="00DA4E3E" w:rsidRDefault="00666B91" w:rsidP="00666B91">
      <w:pPr>
        <w:spacing w:line="600" w:lineRule="auto"/>
        <w:jc w:val="both"/>
        <w:rPr>
          <w:rFonts w:eastAsiaTheme="minorEastAsia"/>
        </w:rPr>
      </w:pPr>
      <w:r w:rsidRPr="00DA4E3E">
        <w:rPr>
          <w:rFonts w:eastAsiaTheme="minorEastAsia"/>
        </w:rPr>
        <w:t xml:space="preserve">SPR screening offers detailed binding characteristics such as kinetic measurements, thermodynamic parameters and binding stoichiometry </w:t>
      </w:r>
      <w:r w:rsidR="000E2348" w:rsidRPr="00DA4E3E">
        <w:rPr>
          <w:rFonts w:eastAsiaTheme="minorEastAsia"/>
        </w:rPr>
        <w:fldChar w:fldCharType="begin" w:fldLock="1"/>
      </w:r>
      <w:r>
        <w:rPr>
          <w:rFonts w:eastAsiaTheme="minorEastAsia"/>
        </w:rPr>
        <w:instrText>ADDIN CSL_CITATION {"citationItems":[{"id":"ITEM-1","itemData":{"DOI":"10.1016/S0925-4005(98)00321-9","ISBN":"0925-4005","ISSN":"09254005","PMID":"2810022023804237888","author":[{"dropping-particle":"","family":"Homola","given":"Jiri","non-dropping-particle":"","parse-names":false,"suffix":""},{"dropping-particle":"","family":"Yee","given":"Sinclair S","non-dropping-particle":"","parse-names":false,"suffix":""},{"dropping-particle":"","family":"Gauglitz","given":"Günter","non-dropping-particle":"","parse-names":false,"suffix":""}],"id":"ITEM-1","issued":{"date-parts":[["1999"]]},"page":"3-15","title":"Surface plasmon resonance sensors:review","type":"article-journal","volume":"54"},"uris":["http://www.mendeley.com/documents/?uuid=2d0f7ccc-60f2-402b-94a4-d09cc8b6ce6d"]}],"mendeley":{"formattedCitation":"[141]","plainTextFormattedCitation":"[141]","previouslyFormattedCitation":"[141]"},"properties":{"noteIndex":0},"schema":"https://github.com/citation-style-language/schema/raw/master/csl-citation.json"}</w:instrText>
      </w:r>
      <w:r w:rsidR="000E2348" w:rsidRPr="00DA4E3E">
        <w:rPr>
          <w:rFonts w:eastAsiaTheme="minorEastAsia"/>
        </w:rPr>
        <w:fldChar w:fldCharType="separate"/>
      </w:r>
      <w:r w:rsidRPr="00D32084">
        <w:rPr>
          <w:rFonts w:eastAsiaTheme="minorEastAsia"/>
          <w:noProof/>
        </w:rPr>
        <w:t>[141]</w:t>
      </w:r>
      <w:r w:rsidR="000E2348" w:rsidRPr="00DA4E3E">
        <w:rPr>
          <w:rFonts w:eastAsiaTheme="minorEastAsia"/>
        </w:rPr>
        <w:fldChar w:fldCharType="end"/>
      </w:r>
      <w:r w:rsidRPr="00DA4E3E">
        <w:rPr>
          <w:rFonts w:eastAsiaTheme="minorEastAsia"/>
        </w:rPr>
        <w:t xml:space="preserve">. </w:t>
      </w:r>
      <w:r w:rsidRPr="00DA4E3E">
        <w:t>The kinetics measurement procedure implies the injection of different samples of analyte with already known concentrations on a surface with low ligand level</w:t>
      </w:r>
      <w:r w:rsidR="009808EA">
        <w:t>s</w:t>
      </w:r>
      <w:r w:rsidRPr="00DA4E3E">
        <w:t xml:space="preserve"> in order to favor kinetic conditions. The main instrument of SPR is the </w:t>
      </w:r>
      <w:proofErr w:type="spellStart"/>
      <w:r w:rsidRPr="00DA4E3E">
        <w:t>Biacore</w:t>
      </w:r>
      <w:r w:rsidRPr="00DA4E3E">
        <w:rPr>
          <w:vertAlign w:val="superscript"/>
        </w:rPr>
        <w:t>TM</w:t>
      </w:r>
      <w:proofErr w:type="spellEnd"/>
      <w:r w:rsidRPr="00DA4E3E">
        <w:t xml:space="preserve"> biosensor, where k</w:t>
      </w:r>
      <w:r w:rsidRPr="00DA4E3E">
        <w:rPr>
          <w:vertAlign w:val="subscript"/>
        </w:rPr>
        <w:t>1 (</w:t>
      </w:r>
      <w:r w:rsidRPr="00DA4E3E">
        <w:rPr>
          <w:rFonts w:eastAsiaTheme="minorEastAsia"/>
        </w:rPr>
        <w:t>M</w:t>
      </w:r>
      <w:r w:rsidRPr="00DA4E3E">
        <w:rPr>
          <w:rFonts w:eastAsiaTheme="minorEastAsia"/>
          <w:vertAlign w:val="superscript"/>
        </w:rPr>
        <w:t>-1</w:t>
      </w:r>
      <w:r w:rsidRPr="00DA4E3E">
        <w:rPr>
          <w:rFonts w:eastAsiaTheme="minorEastAsia"/>
        </w:rPr>
        <w:t xml:space="preserve"> s</w:t>
      </w:r>
      <w:r w:rsidRPr="00DA4E3E">
        <w:rPr>
          <w:rFonts w:eastAsiaTheme="minorEastAsia"/>
          <w:vertAlign w:val="superscript"/>
        </w:rPr>
        <w:t>-1</w:t>
      </w:r>
      <w:r w:rsidRPr="00DA4E3E">
        <w:rPr>
          <w:rFonts w:eastAsiaTheme="minorEastAsia"/>
        </w:rPr>
        <w:t xml:space="preserve">) </w:t>
      </w:r>
      <w:r w:rsidRPr="00DA4E3E">
        <w:t>is the rate of analyte-surface binding and the K</w:t>
      </w:r>
      <w:r w:rsidRPr="00DA4E3E">
        <w:rPr>
          <w:vertAlign w:val="subscript"/>
        </w:rPr>
        <w:t>-1</w:t>
      </w:r>
      <w:r w:rsidRPr="00DA4E3E">
        <w:t xml:space="preserve"> (</w:t>
      </w:r>
      <w:r w:rsidRPr="00DA4E3E">
        <w:rPr>
          <w:rFonts w:eastAsiaTheme="minorEastAsia"/>
        </w:rPr>
        <w:t>s</w:t>
      </w:r>
      <w:r w:rsidRPr="00DA4E3E">
        <w:rPr>
          <w:rFonts w:eastAsiaTheme="minorEastAsia"/>
          <w:vertAlign w:val="superscript"/>
        </w:rPr>
        <w:t>-1</w:t>
      </w:r>
      <w:r w:rsidRPr="00DA4E3E">
        <w:rPr>
          <w:rFonts w:eastAsiaTheme="minorEastAsia"/>
        </w:rPr>
        <w:t>) i</w:t>
      </w:r>
      <w:r w:rsidRPr="00DA4E3E">
        <w:t xml:space="preserve">s the analyte removed from the surface. As result, it is generated a primary </w:t>
      </w:r>
      <w:proofErr w:type="spellStart"/>
      <w:r w:rsidRPr="00DA4E3E">
        <w:t>sensogram</w:t>
      </w:r>
      <w:proofErr w:type="spellEnd"/>
      <w:r w:rsidRPr="00DA4E3E">
        <w:t xml:space="preserve"> that</w:t>
      </w:r>
      <w:r w:rsidRPr="00DA4E3E">
        <w:rPr>
          <w:rFonts w:eastAsiaTheme="minorEastAsia"/>
        </w:rPr>
        <w:t xml:space="preserve"> allows calculating interaction parameters </w:t>
      </w:r>
      <w:r w:rsidRPr="00DA4E3E">
        <w:rPr>
          <w:rFonts w:eastAsiaTheme="minorEastAsia"/>
        </w:rPr>
        <w:lastRenderedPageBreak/>
        <w:t>like association (K</w:t>
      </w:r>
      <w:r w:rsidRPr="00DA4E3E">
        <w:rPr>
          <w:rFonts w:eastAsiaTheme="minorEastAsia"/>
          <w:vertAlign w:val="subscript"/>
        </w:rPr>
        <w:t>A</w:t>
      </w:r>
      <w:r w:rsidRPr="00DA4E3E">
        <w:rPr>
          <w:rFonts w:eastAsiaTheme="minorEastAsia"/>
        </w:rPr>
        <w:t>) or dissociation (K</w:t>
      </w:r>
      <w:r w:rsidRPr="00DA4E3E">
        <w:rPr>
          <w:rFonts w:eastAsiaTheme="minorEastAsia"/>
          <w:vertAlign w:val="subscript"/>
        </w:rPr>
        <w:t>D</w:t>
      </w:r>
      <w:r w:rsidRPr="00DA4E3E">
        <w:rPr>
          <w:rFonts w:eastAsiaTheme="minorEastAsia"/>
        </w:rPr>
        <w:t>) constants as well as the maximal binding capacity of the surface (</w:t>
      </w:r>
      <w:proofErr w:type="spellStart"/>
      <w:r w:rsidRPr="00DA4E3E">
        <w:rPr>
          <w:rFonts w:eastAsiaTheme="minorEastAsia"/>
        </w:rPr>
        <w:t>R</w:t>
      </w:r>
      <w:r w:rsidRPr="00DA4E3E">
        <w:rPr>
          <w:rFonts w:eastAsiaTheme="minorEastAsia"/>
          <w:vertAlign w:val="subscript"/>
        </w:rPr>
        <w:t>max</w:t>
      </w:r>
      <w:proofErr w:type="spellEnd"/>
      <w:r w:rsidRPr="00DA4E3E">
        <w:rPr>
          <w:rFonts w:eastAsiaTheme="minorEastAsia"/>
        </w:rPr>
        <w:t xml:space="preserve">) </w:t>
      </w:r>
      <w:r w:rsidR="000E2348" w:rsidRPr="00DA4E3E">
        <w:rPr>
          <w:rFonts w:eastAsiaTheme="minorEastAsia"/>
        </w:rPr>
        <w:fldChar w:fldCharType="begin" w:fldLock="1"/>
      </w:r>
      <w:r>
        <w:rPr>
          <w:rFonts w:eastAsiaTheme="minorEastAsia"/>
        </w:rPr>
        <w:instrText>ADDIN CSL_CITATION {"citationItems":[{"id":"ITEM-1","itemData":{"DOI":"10.1016/0250-6874(83)85036-7","ISSN":"0250-6874","abstract":"Surface plasmon resonance is a new optical technique in the field of chemical sensing. Under proper conditions the reflectivity of a thin metal film is extremely sensitive to optical variations in the medium on one side of it. This is due to the fact that surface plasmons are sensitive probes of the boundary conditions. The effect can be utilized in many ways. A description of how it can be used for gas detection is given, together with results from exploratory experiments with relevance to biosensing.","author":[{"dropping-particle":"","family":"Bo","given":"Liedberg","non-dropping-particle":"","parse-names":false,"suffix":""},{"dropping-particle":"","family":"Claes","given":"Nylander","non-dropping-particle":"","parse-names":false,"suffix":""},{"dropping-particle":"","family":"Ingemar","given":"Lunström","non-dropping-particle":"","parse-names":false,"suffix":""}],"container-title":"Sensors and Actuators","id":"ITEM-1","issued":{"date-parts":[["1983"]]},"page":"299-304","title":"Surface plasmon resonance for gas detection and biosensing","type":"article-journal","volume":"4"},"uris":["http://www.mendeley.com/documents/?uuid=5aa0da62-0301-4c33-83af-4e4a9e236b15"]},{"id":"ITEM-2","itemData":{"DOI":"10.1103/PhysRevLett.21.1530","ISSN":"00319007","abstract":"Anomalies found in the intensity of p-polarized light from concave diffraction gratings have been analyzed in terms of an interaction between the incoming photon and a surface-plasmon resonance in the grating surface. There is clear evidence for zone gaps in the dispersion curves which we have constructed for surface plasmons in Al and Au. The phenomena reported here may be regarded as manifestations of second-and possibly higher-order plasmon-grating interactions. Anomalies in the intensity of light diffracted from a grating were first observed by Wood' in 1902. These anomalies, which are most impor-tant for light polarized with its electric vector perpendicular to the grating rulings, have been studied both experimentally and theoretically by many workers. Recent treatments have been given by Hessel and Oliner' and Hagglund and Sellberg. ' A classical theoretical analysis was given some time ago by Fano. 4 We have studied the polarization of light by concave diffraction gratings in the wavelength re-gion 3000 to 16 000 A and present an explanation in terms of a surface-plasmon resonance. Measurements were made of the intensity of the diffracted light for polarization with the elec-tric vector parallel and perpendicular to the plane of incidence which, in turn, was perpendic-ular to the grating rulings. These measurements were made on a Bausch and Lomb replica grating ruled with 600 lines jmm and having a blaze angle of 2'35'. The grating was coated with a vacuum-evaporated layer of aluminum. For the other measurements an additional layer of gold was evaporated over the aluminum. Measurements were made using a Polaroid HN-22 sheet polariz-er and a tungsten lamp. The angle between the source and detector (i.e. , between the incident and diffracted beam) was varied from 80' to 2'. Data taken in the wavelength region 5000 to 15 000 A using a PbS detector are shown in Fig. 1. The angle (9 shown is half the angle between the incident and diffracted beam. The intensity of P-polarized light (electric vector in the plane of incidence) exhibits peaks that shift in wave-length as the angle 8 is varied. The s component varies smoothly with wavelength for all angles of incidence. These data, along with data taken in the region 3000 to 8000 A using an EMI 9558 BQ photomultiplier, were used to plot Fig. 2 for both the Al and Au coatings. The photon energy at which the peaks occurred is plotted as a function of the angle 6. 14,000 12000 I 10000 8/00 WAVELENGTH (A) 6/…","author":[{"dropping-particle":"","family":"Ritchie","given":"R. H.","non-dropping-particle":"","parse-names":false,"suffix":""},{"dropping-particle":"","family":"Arakawa","given":"E. T.","non-dropping-particle":"","parse-names":false,"suffix":""},{"dropping-particle":"","family":"Cowan","given":"J. J.","non-dropping-particle":"","parse-names":false,"suffix":""},{"dropping-particle":"","family":"Hamm","given":"R. N.","non-dropping-particle":"","parse-names":false,"suffix":""}],"container-title":"Physical Review Letters","id":"ITEM-2","issue":"22","issued":{"date-parts":[["1968"]]},"page":"1530-1533","title":"Surface-plasmon resonance effect in grating diffraction","type":"article-journal","volume":"21"},"uris":["http://www.mendeley.com/documents/?uuid=7fc2e910-633d-44f0-8d73-3c00a0531d8a"]}],"mendeley":{"formattedCitation":"[142,143]","plainTextFormattedCitation":"[142,143]","previouslyFormattedCitation":"[142,143]"},"properties":{"noteIndex":0},"schema":"https://github.com/citation-style-language/schema/raw/master/csl-citation.json"}</w:instrText>
      </w:r>
      <w:r w:rsidR="000E2348" w:rsidRPr="00DA4E3E">
        <w:rPr>
          <w:rFonts w:eastAsiaTheme="minorEastAsia"/>
        </w:rPr>
        <w:fldChar w:fldCharType="separate"/>
      </w:r>
      <w:r w:rsidRPr="00D32084">
        <w:rPr>
          <w:rFonts w:eastAsiaTheme="minorEastAsia"/>
          <w:noProof/>
        </w:rPr>
        <w:t>[142,143]</w:t>
      </w:r>
      <w:r w:rsidR="000E2348" w:rsidRPr="00DA4E3E">
        <w:rPr>
          <w:rFonts w:eastAsiaTheme="minorEastAsia"/>
        </w:rPr>
        <w:fldChar w:fldCharType="end"/>
      </w:r>
      <w:r w:rsidRPr="00DA4E3E">
        <w:rPr>
          <w:rFonts w:eastAsiaTheme="minorEastAsia"/>
        </w:rPr>
        <w:t xml:space="preserve">.  </w:t>
      </w:r>
    </w:p>
    <w:p w:rsidR="00666B91" w:rsidRPr="00E27BE7" w:rsidRDefault="00666B91" w:rsidP="00666B91">
      <w:pPr>
        <w:spacing w:line="600" w:lineRule="auto"/>
        <w:jc w:val="both"/>
        <w:rPr>
          <w:rFonts w:cs="Arial"/>
          <w:bCs/>
          <w:i/>
          <w:szCs w:val="26"/>
        </w:rPr>
      </w:pPr>
      <w:r w:rsidRPr="00E27BE7">
        <w:rPr>
          <w:rFonts w:cs="Arial"/>
          <w:bCs/>
          <w:i/>
          <w:szCs w:val="26"/>
        </w:rPr>
        <w:t>3.1.2 Isothermal titration calorimetry.</w:t>
      </w:r>
    </w:p>
    <w:p w:rsidR="00666B91" w:rsidRDefault="00666B91" w:rsidP="00666B91">
      <w:pPr>
        <w:spacing w:line="600" w:lineRule="auto"/>
        <w:jc w:val="both"/>
        <w:rPr>
          <w:rFonts w:eastAsiaTheme="minorEastAsia"/>
        </w:rPr>
      </w:pPr>
      <w:r w:rsidRPr="00DA4E3E">
        <w:rPr>
          <w:rFonts w:eastAsiaTheme="minorEastAsia"/>
        </w:rPr>
        <w:t>Isothermal titration calorimetry (ITC) is playing a key role in the exhaustive study of protein-ligand interactions. Measuring protocol involves two different cells: a cell with around 1mL of the reactant and a second cell for temperature reference. A syringe that also serves as stirrer injects the ligand to the sample cell. Initially, both cells are equilibrated at the desired temperature but, when the experiment is started, a constant power is supplied to the reference cell and a compensating one is also supplied to the other cell in order to equilibrate temperatures. Based on pre-set intervals, the ligand is added and the associated absorbed or released heat is compensated thanks to the power supplied to the initial cell as depicted in figure 4. The feedback-supplied power is directly proportional to the heat-flow (</w:t>
      </w:r>
      <w:proofErr w:type="spellStart"/>
      <w:r w:rsidRPr="00DA4E3E">
        <w:rPr>
          <w:rFonts w:eastAsiaTheme="minorEastAsia"/>
        </w:rPr>
        <w:t>dQ</w:t>
      </w:r>
      <w:proofErr w:type="spellEnd"/>
      <w:r w:rsidRPr="00DA4E3E">
        <w:rPr>
          <w:rFonts w:eastAsiaTheme="minorEastAsia"/>
        </w:rPr>
        <w:t xml:space="preserve">/dt) </w:t>
      </w:r>
      <w:r w:rsidR="000E2348" w:rsidRPr="00DA4E3E">
        <w:rPr>
          <w:rFonts w:eastAsiaTheme="minorEastAsia"/>
        </w:rPr>
        <w:fldChar w:fldCharType="begin" w:fldLock="1"/>
      </w:r>
      <w:r>
        <w:rPr>
          <w:rFonts w:eastAsiaTheme="minorEastAsia"/>
        </w:rPr>
        <w:instrText>ADDIN CSL_CITATION {"citationItems":[{"id":"ITEM-1","itemData":{"DOI":"10.3791/2796","abstract":"Isothermal titration calorimetry (ITC) is a useful tool for understanding the complete thermodynamic picture of a binding reaction. In biological sciences, macromolecular interactions are essential in understanding the machinery of the cell. Experimental conditions, such as buffer and temperature, can be tailored to the particular binding system being studied. However, careful planning is needed since certain ligand and macromolecule concentration ranges are necessary to obtain useful data. Concentrations of the macromolecule and ligand need to be accurately determined for reliable results. Care also needs to be taken when preparing the samples as impurities can significantly affect the experiment. When ITC experiments, along with controls, are performed properly, useful binding information, such as the stoichiometry, affinity and enthalpy, are obtained. By running additional experiments under different buffer or temperature conditions, more detailed information can be obtained about the system. A protocol for the basic setup of an ITC experiment is given.","author":[{"dropping-particle":"","family":"Duff, Jr.","given":"Michael R.","non-dropping-particle":"","parse-names":false,"suffix":""},{"dropping-particle":"","family":"Grubbs","given":"Jordan","non-dropping-particle":"","parse-names":false,"suffix":""},{"dropping-particle":"","family":"Howell","given":"Elizabeth E.","non-dropping-particle":"","parse-names":false,"suffix":""}],"container-title":"Journal of Visualized Experiments","id":"ITEM-1","issue":"55","issued":{"date-parts":[["2011"]]},"page":"2-5","title":"Isothermal Titration Calorimetry for Measuring Macromolecule-Ligand Affinity","type":"article-journal"},"uris":["http://www.mendeley.com/documents/?uuid=3c115edd-403a-43ae-8bed-635409cc9356"]},{"id":"ITEM-2","itemData":{"DOI":"10.1016/B978-0-12-373600-0.00003-2","ISBN":"9780123736000","abstract":"Glycosaminoglycans (GAGs) are a family of highly sulfated, complex, polydisperse linear polysaccharides that display a variety of important biological roles. Based on the difference of repeating disaccharide units comprising GAGs, they can be categorized into four main groups: heparin/heparan sulfate, chondroitin sulfate/dermatan sulfate, keratan sulfate, and hyaluronan. This chapter provides the structure analysis of GAGs based on highly efficient isolation/purification techniques, and high-sensitivity, information-rich analytical instruments. GAGs perform a variety of biological functions and play an important role in a number of different diseases. Their activities are mainly triggered by interactions with a wide range of proteins. The structure analysis of GAGs improves the understanding of their biological functions and helps in the development of structure-activity relationships for these important biopolymers. With modern mass spectrometry (MS) techniques, structural information, such as molecular weight, monosaccharide composition, number and position of sulfo groups, composition of disaccharide blocks, and sequence of highly charged sulfated carbohydrates can be obtained. High sensitivity of MS is available for the microanalysis of carbohydrates derived from biological samples. Tandem MS has the potential to become a robust method to completely sequence complex oligosaccharides. Mechanistic studies of oligosaccharide behavior in MS and tandem MS provide the basis for future methods development. © 2010 Elsevier Inc. All rights reserved.","author":[{"dropping-particle":"","family":"Amit K","given":"Dutta","non-dropping-particle":"","parse-names":false,"suffix":""},{"dropping-particle":"","family":"Rösgen","given":"Jörg","non-dropping-particle":"","parse-names":false,"suffix":""},{"dropping-particle":"","family":"Rajarathnam","given":"Krishna","non-dropping-particle":"","parse-names":false,"suffix":""}],"container-title":"Handbook of Glycomics","id":"ITEM-2","issued":{"date-parts":[["2010"]]},"page":"59-80","title":"Using isothermal titration calorimetry to determine thermodynamic parameters of protein-Glycosaminoglycans interactions","type":"article-journal"},"uris":["http://www.mendeley.com/documents/?uuid=487b2a04-8a6a-49a7-b875-59999b351696"]}],"mendeley":{"formattedCitation":"[144,145]","plainTextFormattedCitation":"[144,145]","previouslyFormattedCitation":"[144,145]"},"properties":{"noteIndex":0},"schema":"https://github.com/citation-style-language/schema/raw/master/csl-citation.json"}</w:instrText>
      </w:r>
      <w:r w:rsidR="000E2348" w:rsidRPr="00DA4E3E">
        <w:rPr>
          <w:rFonts w:eastAsiaTheme="minorEastAsia"/>
        </w:rPr>
        <w:fldChar w:fldCharType="separate"/>
      </w:r>
      <w:r w:rsidRPr="00D32084">
        <w:rPr>
          <w:rFonts w:eastAsiaTheme="minorEastAsia"/>
          <w:noProof/>
        </w:rPr>
        <w:t>[144,145]</w:t>
      </w:r>
      <w:r w:rsidR="000E2348" w:rsidRPr="00DA4E3E">
        <w:rPr>
          <w:rFonts w:eastAsiaTheme="minorEastAsia"/>
        </w:rPr>
        <w:fldChar w:fldCharType="end"/>
      </w:r>
      <w:r w:rsidRPr="00DA4E3E">
        <w:rPr>
          <w:rFonts w:eastAsiaTheme="minorEastAsia"/>
        </w:rPr>
        <w:t xml:space="preserve"> . As a result of this procedure, different panels show relevant information about the interaction as the association constant (K</w:t>
      </w:r>
      <w:r w:rsidRPr="002B7AE5">
        <w:rPr>
          <w:rFonts w:eastAsiaTheme="minorEastAsia"/>
          <w:vertAlign w:val="subscript"/>
        </w:rPr>
        <w:t>A</w:t>
      </w:r>
      <w:r w:rsidRPr="00DA4E3E">
        <w:rPr>
          <w:rFonts w:eastAsiaTheme="minorEastAsia"/>
        </w:rPr>
        <w:t xml:space="preserve">), the enthalpy change (AH) and the stoichiometry (n) for the reaction.  </w:t>
      </w:r>
    </w:p>
    <w:p w:rsidR="00666B91" w:rsidRDefault="00666B91" w:rsidP="00666B91">
      <w:pPr>
        <w:spacing w:line="600" w:lineRule="auto"/>
        <w:jc w:val="both"/>
        <w:rPr>
          <w:rFonts w:eastAsiaTheme="minorEastAsia"/>
        </w:rPr>
      </w:pPr>
    </w:p>
    <w:p w:rsidR="00666B91" w:rsidRDefault="00666B91" w:rsidP="00666B91">
      <w:pPr>
        <w:keepNext/>
        <w:spacing w:line="600" w:lineRule="auto"/>
        <w:jc w:val="both"/>
      </w:pPr>
      <w:r w:rsidRPr="0081000F">
        <w:rPr>
          <w:rFonts w:eastAsiaTheme="minorEastAsia"/>
          <w:noProof/>
          <w:lang w:val="en-GB"/>
        </w:rPr>
        <w:lastRenderedPageBreak/>
        <w:drawing>
          <wp:inline distT="0" distB="0" distL="0" distR="0">
            <wp:extent cx="3276600" cy="3276628"/>
            <wp:effectExtent l="0" t="0" r="0" b="0"/>
            <wp:docPr id="4" name="Imagen 4" descr="C:\Users\UsuarioUC\Desktop\Dibus review\Diapositiv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UC\Desktop\Dibus review\Diapositiva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1140" t="13436" r="35658" b="27518"/>
                    <a:stretch/>
                  </pic:blipFill>
                  <pic:spPr bwMode="auto">
                    <a:xfrm>
                      <a:off x="0" y="0"/>
                      <a:ext cx="3296654" cy="3296682"/>
                    </a:xfrm>
                    <a:prstGeom prst="rect">
                      <a:avLst/>
                    </a:prstGeom>
                    <a:noFill/>
                    <a:ln>
                      <a:noFill/>
                    </a:ln>
                    <a:extLst>
                      <a:ext uri="{53640926-AAD7-44D8-BBD7-CCE9431645EC}">
                        <a14:shadowObscured xmlns:a14="http://schemas.microsoft.com/office/drawing/2010/main"/>
                      </a:ext>
                    </a:extLst>
                  </pic:spPr>
                </pic:pic>
              </a:graphicData>
            </a:graphic>
          </wp:inline>
        </w:drawing>
      </w:r>
    </w:p>
    <w:p w:rsidR="00666B91" w:rsidRPr="003B7498" w:rsidRDefault="00666B91" w:rsidP="00666B91">
      <w:pPr>
        <w:pStyle w:val="Caption"/>
        <w:jc w:val="both"/>
        <w:rPr>
          <w:color w:val="000000" w:themeColor="text1"/>
        </w:rPr>
      </w:pPr>
      <w:r w:rsidRPr="003B7498">
        <w:rPr>
          <w:color w:val="000000" w:themeColor="text1"/>
        </w:rPr>
        <w:t xml:space="preserve">Figure </w:t>
      </w:r>
      <w:r w:rsidR="000E2348" w:rsidRPr="003B7498">
        <w:rPr>
          <w:color w:val="000000" w:themeColor="text1"/>
        </w:rPr>
        <w:fldChar w:fldCharType="begin"/>
      </w:r>
      <w:r w:rsidRPr="003B7498">
        <w:rPr>
          <w:color w:val="000000" w:themeColor="text1"/>
        </w:rPr>
        <w:instrText xml:space="preserve"> SEQ Figure \* ARABIC </w:instrText>
      </w:r>
      <w:r w:rsidR="000E2348" w:rsidRPr="003B7498">
        <w:rPr>
          <w:color w:val="000000" w:themeColor="text1"/>
        </w:rPr>
        <w:fldChar w:fldCharType="separate"/>
      </w:r>
      <w:r w:rsidR="009A1867">
        <w:rPr>
          <w:noProof/>
          <w:color w:val="000000" w:themeColor="text1"/>
        </w:rPr>
        <w:t>2</w:t>
      </w:r>
      <w:r w:rsidR="000E2348" w:rsidRPr="003B7498">
        <w:rPr>
          <w:color w:val="000000" w:themeColor="text1"/>
        </w:rPr>
        <w:fldChar w:fldCharType="end"/>
      </w:r>
      <w:r w:rsidRPr="003B7498">
        <w:rPr>
          <w:color w:val="000000" w:themeColor="text1"/>
        </w:rPr>
        <w:t>. Isothermal Titration Calorimetry measurement system</w:t>
      </w:r>
    </w:p>
    <w:p w:rsidR="00666B91" w:rsidRPr="00CD3087" w:rsidRDefault="00666B91" w:rsidP="00666B91">
      <w:pPr>
        <w:rPr>
          <w:rFonts w:eastAsiaTheme="minorEastAsia"/>
        </w:rPr>
      </w:pPr>
    </w:p>
    <w:p w:rsidR="00666B91" w:rsidRPr="00E27BE7" w:rsidRDefault="00666B91" w:rsidP="00666B91">
      <w:pPr>
        <w:spacing w:line="360" w:lineRule="auto"/>
        <w:jc w:val="both"/>
        <w:rPr>
          <w:rFonts w:cs="Arial"/>
          <w:bCs/>
          <w:i/>
          <w:szCs w:val="26"/>
        </w:rPr>
      </w:pPr>
      <w:r w:rsidRPr="00E27BE7">
        <w:rPr>
          <w:rFonts w:cs="Arial"/>
          <w:bCs/>
          <w:i/>
          <w:szCs w:val="26"/>
        </w:rPr>
        <w:t>3.1.3 Fluorescence resonance energy transfer</w:t>
      </w:r>
    </w:p>
    <w:p w:rsidR="00666B91" w:rsidRPr="00DA4E3E" w:rsidRDefault="00666B91" w:rsidP="00666B91">
      <w:pPr>
        <w:spacing w:line="600" w:lineRule="auto"/>
        <w:jc w:val="both"/>
        <w:rPr>
          <w:rFonts w:eastAsiaTheme="minorEastAsia"/>
        </w:rPr>
      </w:pPr>
      <w:r w:rsidRPr="00DA4E3E">
        <w:t xml:space="preserve">Fluorescence resonance energy transfer (FRET) is a useful technique based on the distance dependent transfer of energy between a donor fluorophore (D) and an acceptor fluorophore (A) whose absorption spectrum must </w:t>
      </w:r>
      <w:r w:rsidR="009808EA" w:rsidRPr="00DA4E3E">
        <w:t xml:space="preserve">partially </w:t>
      </w:r>
      <w:r w:rsidRPr="00DA4E3E">
        <w:t xml:space="preserve">overlap with the emission spectrum of D </w:t>
      </w:r>
      <w:r w:rsidR="000E2348" w:rsidRPr="00DA4E3E">
        <w:fldChar w:fldCharType="begin" w:fldLock="1"/>
      </w:r>
      <w:r>
        <w:instrText>ADDIN CSL_CITATION {"citationItems":[{"id":"ITEM-1","itemData":{"DOI":"10.1038/srep33257","ISSN":"20452322","abstract":"Advanced microscopy methods allow obtaining information on (dynamic) conformational changes in biomolecules via measuring a single molecular distance in the structure. It is, however, extremely challenging to capture the full depth of a three-dimensional biochemical state, binding-related structural changes or conformational cross-talk in multi-protein complexes using one-dimensional assays. In this paper we address this fundamental problem by extending the standard molecular ruler based on Foerster resonance energy transfer (FRET) into a two-dimensional assay via its combination with protein-induced fluorescence enhancement (PIFE). We show that donor brightness (via PIFE) and energy transfer efficiency (via FRET) can simultaneously report on e.g., the conformational state of dsDNA following its interaction with unlabelled proteins (BamHI, EcoRV, T7 DNA polymerase gp5/trx). The PIFE-FRET assay uses established labelling protocols and single molecule fluorescence detection schemes (alternating-laser excitation, ALEX). Besides quantitative studies of PIFE and FRET ruler characteristics, we outline possible applications of ALEX-based PIFE-FRET for single-molecule studies with diffusing and immobilized molecules. Finally, we study transcription initiation and scrunching of E. Coli RNA-polymerase with PIFE-FRET and provide direct evidence for the physical presence and vicinity of the polymerase that causes structural changes and scrunching of the transcriptional DNA bubble.","author":[{"dropping-particle":"","family":"Ploetz","given":"Evelyn","non-dropping-particle":"","parse-names":false,"suffix":""},{"dropping-particle":"","family":"Lerner","given":"Eitan","non-dropping-particle":"","parse-names":false,"suffix":""},{"dropping-particle":"","family":"Husada","given":"Florence","non-dropping-particle":"","parse-names":false,"suffix":""},{"dropping-particle":"","family":"Roelfs","given":"Martin","non-dropping-particle":"","parse-names":false,"suffix":""},{"dropping-particle":"","family":"Chung","given":"Sangyoon","non-dropping-particle":"","parse-names":false,"suffix":""},{"dropping-particle":"","family":"Hohlbein","given":"Johannes","non-dropping-particle":"","parse-names":false,"suffix":""},{"dropping-particle":"","family":"Weiss","given":"Shimon","non-dropping-particle":"","parse-names":false,"suffix":""},{"dropping-particle":"","family":"Cordes","given":"Thorben","non-dropping-particle":"","parse-names":false,"suffix":""}],"container-title":"Scientific Reports","id":"ITEM-1","issue":"September","issued":{"date-parts":[["2016"]]},"page":"1-18","publisher":"Nature Publishing Group","title":"Förster resonance energy transfer and protein-induced fluorescence enhancement as synergetic multi-scale molecular rulers","type":"article-journal","volume":"6"},"uris":["http://www.mendeley.com/documents/?uuid=83452970-82e5-4751-81a8-8a5f0041be5f"]},{"id":"ITEM-2","itemData":{"DOI":"10.7237/sjp/268","ISSN":"2276-6367","abstract":"Recent advances in Fluorescence Resonance Energy Transfer (FRET) provides a way to measure and understand different biological systems and molecular interactions in nanometer order. In this report the introduction and principle of the FRET process have been explained.","author":[{"dropping-particle":"","family":"Hussain","given":"S.A","non-dropping-particle":"","parse-names":false,"suffix":""}],"id":"ITEM-2","issued":{"date-parts":[["2009"]]},"page":"1-4","title":"An Introduction to Fluorescence Resonance Energy Transfer (FRET)","type":"article-journal"},"uris":["http://www.mendeley.com/documents/?uuid=c40cd983-9339-4558-9cec-032db84aab84"]}],"mendeley":{"formattedCitation":"[146,147]","plainTextFormattedCitation":"[146,147]","previouslyFormattedCitation":"[146,147]"},"properties":{"noteIndex":0},"schema":"https://github.com/citation-style-language/schema/raw/master/csl-citation.json"}</w:instrText>
      </w:r>
      <w:r w:rsidR="000E2348" w:rsidRPr="00DA4E3E">
        <w:fldChar w:fldCharType="separate"/>
      </w:r>
      <w:r w:rsidRPr="00D32084">
        <w:rPr>
          <w:noProof/>
        </w:rPr>
        <w:t>[146,147]</w:t>
      </w:r>
      <w:r w:rsidR="000E2348" w:rsidRPr="00DA4E3E">
        <w:fldChar w:fldCharType="end"/>
      </w:r>
      <w:r w:rsidRPr="00DA4E3E">
        <w:t>. When both fluorophores are approached, the donor excited-stage energy is transferred through a dipole-dipole coupling. As a result of FRET, the fluorescence of the donor decreases and the fluorescence of A increases by means of the rate of energy transfer, K</w:t>
      </w:r>
      <w:r w:rsidRPr="00DA4E3E">
        <w:rPr>
          <w:vertAlign w:val="subscript"/>
        </w:rPr>
        <w:t>T</w:t>
      </w:r>
      <w:r w:rsidRPr="00DA4E3E">
        <w:t>, from D to A</w:t>
      </w:r>
      <w:r>
        <w:t>.</w:t>
      </w:r>
    </w:p>
    <w:p w:rsidR="00666B91" w:rsidRPr="00DA4E3E" w:rsidRDefault="00666B91" w:rsidP="00666B91">
      <w:pPr>
        <w:autoSpaceDE w:val="0"/>
        <w:autoSpaceDN w:val="0"/>
        <w:adjustRightInd w:val="0"/>
        <w:spacing w:line="600" w:lineRule="auto"/>
        <w:jc w:val="both"/>
        <w:rPr>
          <w:rFonts w:eastAsiaTheme="minorEastAsia"/>
        </w:rPr>
      </w:pPr>
      <w:r w:rsidRPr="00DA4E3E">
        <w:rPr>
          <w:rFonts w:eastAsiaTheme="minorEastAsia"/>
        </w:rPr>
        <w:t xml:space="preserve">Fluorescence techniques allow determining kinetic rate constants under stopped-flow techniques of fast reactions. Stopped flow is a type of flow injection analysis where reactants are rapidly driven from syringes into a high efficiency mixer as shown in </w:t>
      </w:r>
      <w:r w:rsidRPr="00DA4E3E">
        <w:rPr>
          <w:rFonts w:eastAsiaTheme="minorEastAsia"/>
        </w:rPr>
        <w:lastRenderedPageBreak/>
        <w:t xml:space="preserve">figure </w:t>
      </w:r>
      <w:r w:rsidR="009808EA">
        <w:rPr>
          <w:rFonts w:eastAsiaTheme="minorEastAsia"/>
        </w:rPr>
        <w:t>3</w:t>
      </w:r>
      <w:r w:rsidRPr="00DA4E3E">
        <w:rPr>
          <w:rFonts w:eastAsiaTheme="minorEastAsia"/>
        </w:rPr>
        <w:t xml:space="preserve">. To perform a run, two syringes are filled with the reagent, the content is expelled into the flow circuit, and a small volume of each reagent is displaced through the mixer observation cell. When the flow is stopped, the reaction initiated by mixing proceeds in the observation cell and the change in absorbance is monitored by the spectrophotometer following the absorbance change in the millisecond time range. The flow is stopped with the reactant stream in the flow cell photometric detector that usually is </w:t>
      </w:r>
      <w:r w:rsidR="009808EA" w:rsidRPr="00DA4E3E">
        <w:rPr>
          <w:rFonts w:eastAsiaTheme="minorEastAsia"/>
        </w:rPr>
        <w:t xml:space="preserve">the </w:t>
      </w:r>
      <w:r w:rsidRPr="00DA4E3E">
        <w:rPr>
          <w:rFonts w:eastAsiaTheme="minorEastAsia"/>
        </w:rPr>
        <w:t xml:space="preserve">fluorescence detector as it is more sensitive. The sensitivity of fluorescence detection is very useful to limit the amount of material needed by </w:t>
      </w:r>
      <w:r w:rsidR="009808EA" w:rsidRPr="00DA4E3E">
        <w:rPr>
          <w:rFonts w:eastAsiaTheme="minorEastAsia"/>
        </w:rPr>
        <w:t>th</w:t>
      </w:r>
      <w:r w:rsidR="009808EA">
        <w:rPr>
          <w:rFonts w:eastAsiaTheme="minorEastAsia"/>
        </w:rPr>
        <w:t>is</w:t>
      </w:r>
      <w:r w:rsidR="009808EA" w:rsidRPr="00DA4E3E">
        <w:rPr>
          <w:rFonts w:eastAsiaTheme="minorEastAsia"/>
        </w:rPr>
        <w:t xml:space="preserve"> </w:t>
      </w:r>
      <w:r w:rsidRPr="00DA4E3E">
        <w:rPr>
          <w:rFonts w:eastAsiaTheme="minorEastAsia"/>
        </w:rPr>
        <w:t xml:space="preserve">technique. Kinetic determination is obtained by </w:t>
      </w:r>
      <w:r w:rsidRPr="00DA4E3E">
        <w:rPr>
          <w:rFonts w:eastAsiaTheme="minorEastAsia"/>
          <w:bCs/>
        </w:rPr>
        <w:t xml:space="preserve">monitoring the concentration of the reactants over time using absorption or fluorescence spectroscopy </w:t>
      </w:r>
      <w:r w:rsidR="000E2348" w:rsidRPr="00DA4E3E">
        <w:rPr>
          <w:rFonts w:eastAsiaTheme="minorEastAsia"/>
          <w:bCs/>
        </w:rPr>
        <w:fldChar w:fldCharType="begin" w:fldLock="1"/>
      </w:r>
      <w:r>
        <w:rPr>
          <w:rFonts w:eastAsiaTheme="minorEastAsia"/>
          <w:bCs/>
        </w:rPr>
        <w:instrText>ADDIN CSL_CITATION {"citationItems":[{"id":"ITEM-1","itemData":{"DOI":"10.1016/j.bpj.2013.11.4500","ISSN":"00063495","abstract":"Detailed studies of the mechanisms of macromolecular conformational transitions such as protein folding are enhanced by analysis of changes of distributions for intramolecular distances during the transitions. Time-resolved Förster resonance energy transfer (FRET) measurements yield such data, but the more readily available kinetics of mean FRET efficiency changes cannot be analyzed in terms of changes in distances because of the sixth-power dependence on the mean distance. To enhance the information obtained from mean FRET efficiency kinetics, we combined the analyses of FRET efficiency kinetics and equilibrium trFRET experiments. The joint analysis enabled determination of transient distance distributions along the folding reaction both in cases where a two-state transition is valid and in some cases consisting of a three-state scenario. The procedure and its limits were tested by simulations. Experimental data obtained from stopped-flow measurements of the refolding of Escherichia coli adenylate kinase were analyzed. The distance distributions between three double-labeled mutants, in the collapsed transient state, were determined and compared to those obtained experimentally using the double-kinetics technique. The proposed method effectively provides information on distance distributions of kinetically accessed intermediates of fast conformational transitions induced by common relaxation methods. © 2014 Biophysical Society.","author":[{"dropping-particle":"","family":"Lerner","given":"E.","non-dropping-particle":"","parse-names":false,"suffix":""},{"dropping-particle":"","family":"Orevi","given":"T.","non-dropping-particle":"","parse-names":false,"suffix":""},{"dropping-particle":"","family":"Ishay","given":"E.","non-dropping-particle":"Ben","parse-names":false,"suffix":""},{"dropping-particle":"","family":"Amir","given":"D.","non-dropping-particle":"","parse-names":false,"suffix":""},{"dropping-particle":"","family":"Haas","given":"E.","non-dropping-particle":"","parse-names":false,"suffix":""}],"container-title":"Biophysical Journal","id":"ITEM-1","issue":"3","issued":{"date-parts":[["2014"]]},"page":"667-676","publisher":"Biophysical Society","title":"Kinetics of fast changing intramolecular distance distributions obtained by combined analysis of FRET efficiency kinetics and time-resolved FRET equilibrium measurements","type":"article-journal","volume":"106"},"uris":["http://www.mendeley.com/documents/?uuid=b4c73f5b-c16a-4d31-b738-394986484181"]},{"id":"ITEM-2","itemData":{"DOI":"10.1074/jbc.M808075200","ISSN":"00219258","abstract":"Cardiac thin filament deactivation is initiated by Ca2+ dissociation from troponin C (cTnC), followed by multiple structural changes of thin filament proteins. These structural transitions are the molecular basis underlying the thin filament regulation of cardiac relaxation, but the detailed mechanism remains elusive. In this study Forster resonance energy transfer (FRET) was used to investigate the dynamics and kinetics of the Ca2+-induced conformational changes of the cardiac thin filaments, specifically the closing of the cTnC N-domain, the cTnC-cTnI (troponin I) interaction, and the cTnI-actin interaction. The cTnC N-domain conformational change was examined by monitoring FRET between a donor (AEDANS) attached to one cysteine residue and an acceptor (DDPM) attached the other cysteine of the mutant cTnC(L13C/N51C). The cTnC-cTnI interaction was investigated by monitoring the distance changes from residue 89 of cTnC to residues 151 and 167 of cTnI, respectively. The cTnI-actin interaction was investigated by monitoring the distance changes from residues 151 and 167 of cTnI to residue 374 of actin. FRET Ca2+ titrations and stopped-flow kinetic measurements show that different thin filament structural transitions have different Ca2+ sensitivities and Ca2+ dissociation-induced kinetics. The observed structural transitions involving the regulatory region and the mobile domain of cTnI occurred at fast kinetic rates, whereas the kinetics of the structural transitions involving the cTnI inhibitory region was slow. Our results suggest that the thin filament deactivation upon Ca2+ dissociation is a two-step process. One step involves rapid binding of the mobile domain of cTnI to actin, which is kinetically coupled with the conformational change of the N-domain of cTnC and the dissociation of the regulatory region of cTnI from cTnC. The other step involves switching the inhibitory region of cTnI from interacting with cTnC to interacting with actin. The latter processes may play a key role in regulating cross-bridge kinetics.","author":[{"dropping-particle":"","family":"Xing","given":"Jun","non-dropping-particle":"","parse-names":false,"suffix":""},{"dropping-particle":"","family":"Jayasundar","given":"Jayant J.","non-dropping-particle":"","parse-names":false,"suffix":""},{"dropping-particle":"","family":"Ouyang","given":"Yexin","non-dropping-particle":"","parse-names":false,"suffix":""},{"dropping-particle":"","family":"Dong","given":"Wen Ji","non-dropping-particle":"","parse-names":false,"suffix":""}],"container-title":"Journal of Biological Chemistry","id":"ITEM-2","issue":"24","issued":{"date-parts":[["2009"]]},"page":"16432-16441","title":"Förster resonance energy transfer structural kinetic studies of cardiac thin filament deactivation","type":"article-journal","volume":"284"},"uris":["http://www.mendeley.com/documents/?uuid=399a1da6-be5c-4a18-af64-5af0d80b4a02"]}],"mendeley":{"formattedCitation":"[148,149]","plainTextFormattedCitation":"[148,149]","previouslyFormattedCitation":"[148,149]"},"properties":{"noteIndex":0},"schema":"https://github.com/citation-style-language/schema/raw/master/csl-citation.json"}</w:instrText>
      </w:r>
      <w:r w:rsidR="000E2348" w:rsidRPr="00DA4E3E">
        <w:rPr>
          <w:rFonts w:eastAsiaTheme="minorEastAsia"/>
          <w:bCs/>
        </w:rPr>
        <w:fldChar w:fldCharType="separate"/>
      </w:r>
      <w:r w:rsidRPr="00D32084">
        <w:rPr>
          <w:rFonts w:eastAsiaTheme="minorEastAsia"/>
          <w:bCs/>
          <w:noProof/>
        </w:rPr>
        <w:t>[148,149]</w:t>
      </w:r>
      <w:r w:rsidR="000E2348" w:rsidRPr="00DA4E3E">
        <w:rPr>
          <w:rFonts w:eastAsiaTheme="minorEastAsia"/>
          <w:bCs/>
        </w:rPr>
        <w:fldChar w:fldCharType="end"/>
      </w:r>
      <w:r w:rsidRPr="00DA4E3E">
        <w:rPr>
          <w:rFonts w:eastAsiaTheme="minorEastAsia"/>
          <w:bCs/>
        </w:rPr>
        <w:t>.</w:t>
      </w:r>
    </w:p>
    <w:p w:rsidR="00666B91" w:rsidRDefault="00666B91" w:rsidP="00666B91">
      <w:pPr>
        <w:keepNext/>
      </w:pPr>
      <w:r w:rsidRPr="0081000F">
        <w:rPr>
          <w:noProof/>
          <w:lang w:val="en-GB"/>
        </w:rPr>
        <w:drawing>
          <wp:inline distT="0" distB="0" distL="0" distR="0">
            <wp:extent cx="4886128" cy="2483708"/>
            <wp:effectExtent l="0" t="0" r="0" b="0"/>
            <wp:docPr id="5" name="Imagen 5" descr="C:\Users\UsuarioUC\Desktop\Dibus review\Diapositiv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UC\Desktop\Dibus review\Diapositiva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190" t="28494" r="35730" b="23526"/>
                    <a:stretch/>
                  </pic:blipFill>
                  <pic:spPr bwMode="auto">
                    <a:xfrm>
                      <a:off x="0" y="0"/>
                      <a:ext cx="4928686" cy="2505341"/>
                    </a:xfrm>
                    <a:prstGeom prst="rect">
                      <a:avLst/>
                    </a:prstGeom>
                    <a:noFill/>
                    <a:ln>
                      <a:noFill/>
                    </a:ln>
                    <a:extLst>
                      <a:ext uri="{53640926-AAD7-44D8-BBD7-CCE9431645EC}">
                        <a14:shadowObscured xmlns:a14="http://schemas.microsoft.com/office/drawing/2010/main"/>
                      </a:ext>
                    </a:extLst>
                  </pic:spPr>
                </pic:pic>
              </a:graphicData>
            </a:graphic>
          </wp:inline>
        </w:drawing>
      </w:r>
    </w:p>
    <w:p w:rsidR="00666B91" w:rsidRPr="003B7498" w:rsidRDefault="00666B91" w:rsidP="00666B91">
      <w:pPr>
        <w:pStyle w:val="Caption"/>
        <w:rPr>
          <w:color w:val="000000" w:themeColor="text1"/>
        </w:rPr>
      </w:pPr>
      <w:r w:rsidRPr="003B7498">
        <w:rPr>
          <w:color w:val="000000" w:themeColor="text1"/>
        </w:rPr>
        <w:t xml:space="preserve">Figure </w:t>
      </w:r>
      <w:r w:rsidR="000E2348" w:rsidRPr="003B7498">
        <w:rPr>
          <w:color w:val="000000" w:themeColor="text1"/>
        </w:rPr>
        <w:fldChar w:fldCharType="begin"/>
      </w:r>
      <w:r w:rsidRPr="003B7498">
        <w:rPr>
          <w:color w:val="000000" w:themeColor="text1"/>
        </w:rPr>
        <w:instrText xml:space="preserve"> SEQ Figure \* ARABIC </w:instrText>
      </w:r>
      <w:r w:rsidR="000E2348" w:rsidRPr="003B7498">
        <w:rPr>
          <w:color w:val="000000" w:themeColor="text1"/>
        </w:rPr>
        <w:fldChar w:fldCharType="separate"/>
      </w:r>
      <w:r w:rsidR="009A1867">
        <w:rPr>
          <w:noProof/>
          <w:color w:val="000000" w:themeColor="text1"/>
        </w:rPr>
        <w:t>3</w:t>
      </w:r>
      <w:r w:rsidR="000E2348" w:rsidRPr="003B7498">
        <w:rPr>
          <w:color w:val="000000" w:themeColor="text1"/>
        </w:rPr>
        <w:fldChar w:fldCharType="end"/>
      </w:r>
      <w:r w:rsidRPr="003B7498">
        <w:rPr>
          <w:color w:val="000000" w:themeColor="text1"/>
        </w:rPr>
        <w:t>. Stopped flow injection analysis system</w:t>
      </w:r>
    </w:p>
    <w:p w:rsidR="00666B91" w:rsidRPr="00C92CB4" w:rsidRDefault="00666B91" w:rsidP="00666B91">
      <w:pPr>
        <w:tabs>
          <w:tab w:val="left" w:pos="2160"/>
        </w:tabs>
      </w:pPr>
    </w:p>
    <w:p w:rsidR="00121240" w:rsidRDefault="00121240"/>
    <w:p w:rsidR="001126BD" w:rsidRDefault="001126BD"/>
    <w:p w:rsidR="001126BD" w:rsidRDefault="001126BD"/>
    <w:p w:rsidR="001126BD" w:rsidRPr="00C92CB4" w:rsidRDefault="001126BD" w:rsidP="001126BD">
      <w:pPr>
        <w:rPr>
          <w:b/>
        </w:rPr>
      </w:pPr>
      <w:r w:rsidRPr="00C92CB4">
        <w:rPr>
          <w:b/>
        </w:rPr>
        <w:lastRenderedPageBreak/>
        <w:t>List of Abbreviations and Acronyms</w:t>
      </w:r>
    </w:p>
    <w:p w:rsidR="001126BD" w:rsidRPr="00C92CB4" w:rsidRDefault="001126BD" w:rsidP="001126BD"/>
    <w:tbl>
      <w:tblPr>
        <w:tblW w:w="8080" w:type="dxa"/>
        <w:tblLook w:val="04A0" w:firstRow="1" w:lastRow="0" w:firstColumn="1" w:lastColumn="0" w:noHBand="0" w:noVBand="1"/>
      </w:tblPr>
      <w:tblGrid>
        <w:gridCol w:w="3261"/>
        <w:gridCol w:w="4819"/>
      </w:tblGrid>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BPI</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Bactericidal permeability-increasing protein</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CD14</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Cluster of differentiation 14</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CETP</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ind w:right="-944"/>
              <w:rPr>
                <w:color w:val="000000"/>
              </w:rPr>
            </w:pPr>
            <w:proofErr w:type="spellStart"/>
            <w:r w:rsidRPr="000B3F51">
              <w:rPr>
                <w:color w:val="000000"/>
              </w:rPr>
              <w:t>Cholesterylester</w:t>
            </w:r>
            <w:proofErr w:type="spellEnd"/>
            <w:r w:rsidRPr="000B3F51">
              <w:rPr>
                <w:color w:val="000000"/>
              </w:rPr>
              <w:t xml:space="preserve"> transfer protein</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CXCR4</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Chemokine receptor 4</w:t>
            </w:r>
          </w:p>
        </w:tc>
      </w:tr>
      <w:tr w:rsidR="001126BD" w:rsidRPr="000B3F51" w:rsidTr="00E85CD6">
        <w:trPr>
          <w:trHeight w:val="315"/>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proofErr w:type="spellStart"/>
            <w:r w:rsidRPr="000B3F51">
              <w:rPr>
                <w:color w:val="000000"/>
              </w:rPr>
              <w:t>Dansyl</w:t>
            </w:r>
            <w:proofErr w:type="spellEnd"/>
            <w:r w:rsidRPr="000B3F51">
              <w:rPr>
                <w:color w:val="000000"/>
              </w:rPr>
              <w:t>-PMB</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 xml:space="preserve">N-dimethylaminonaphthalene-5-sulfonyl-PMB </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FITC</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Fluorescence isothiocyanate</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FRET</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Fluorescence resonance energy transfer</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G (-)</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Gram negative</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GDF-5</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Growth differentiation factor 5</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H1, H2A, H2B, H3, H4</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Histones</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HBP</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 xml:space="preserve">Heparin binding protein </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HDL</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High-density lipoprotein</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HNP</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Human α-defensins</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HSP70/ HSP90</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Heat shock proteins</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ITC</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Isothermal Titration calorimetry</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KDO</w:t>
            </w:r>
          </w:p>
        </w:tc>
        <w:tc>
          <w:tcPr>
            <w:tcW w:w="4819" w:type="dxa"/>
            <w:tcBorders>
              <w:top w:val="nil"/>
              <w:left w:val="nil"/>
              <w:bottom w:val="nil"/>
              <w:right w:val="nil"/>
            </w:tcBorders>
            <w:shd w:val="clear" w:color="auto" w:fill="auto"/>
            <w:noWrap/>
            <w:vAlign w:val="bottom"/>
            <w:hideMark/>
          </w:tcPr>
          <w:p w:rsidR="001126BD" w:rsidRPr="000B3F51" w:rsidRDefault="002D40B3" w:rsidP="00E85CD6">
            <w:pPr>
              <w:rPr>
                <w:color w:val="000000"/>
              </w:rPr>
            </w:pPr>
            <w:hyperlink r:id="rId9" w:history="1">
              <w:r w:rsidR="001126BD" w:rsidRPr="000B3F51">
                <w:rPr>
                  <w:color w:val="000000"/>
                </w:rPr>
                <w:t>3-Deoxy-D-manno-octulosonic acid</w:t>
              </w:r>
            </w:hyperlink>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LAL</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Limulus ameboc</w:t>
            </w:r>
            <w:r w:rsidR="00CA144B">
              <w:rPr>
                <w:color w:val="000000"/>
              </w:rPr>
              <w:t>y</w:t>
            </w:r>
            <w:r w:rsidRPr="000B3F51">
              <w:rPr>
                <w:color w:val="000000"/>
              </w:rPr>
              <w:t>te lysate assay</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lang w:val="es-ES"/>
              </w:rPr>
              <w:t>LALF</w:t>
            </w:r>
          </w:p>
        </w:tc>
        <w:tc>
          <w:tcPr>
            <w:tcW w:w="4819" w:type="dxa"/>
            <w:tcBorders>
              <w:top w:val="nil"/>
              <w:left w:val="nil"/>
              <w:bottom w:val="nil"/>
              <w:right w:val="nil"/>
            </w:tcBorders>
            <w:shd w:val="clear" w:color="auto" w:fill="auto"/>
            <w:noWrap/>
            <w:vAlign w:val="bottom"/>
            <w:hideMark/>
          </w:tcPr>
          <w:p w:rsidR="001126BD" w:rsidRPr="00CA144B" w:rsidRDefault="001126BD" w:rsidP="00E85CD6">
            <w:pPr>
              <w:rPr>
                <w:i/>
                <w:iCs/>
                <w:color w:val="000000"/>
              </w:rPr>
            </w:pPr>
            <w:r w:rsidRPr="00CA144B">
              <w:rPr>
                <w:i/>
                <w:iCs/>
                <w:color w:val="000000"/>
              </w:rPr>
              <w:t xml:space="preserve">Limulus </w:t>
            </w:r>
            <w:proofErr w:type="spellStart"/>
            <w:r w:rsidR="00CA144B" w:rsidRPr="00CA144B">
              <w:rPr>
                <w:i/>
                <w:iCs/>
                <w:color w:val="000000"/>
              </w:rPr>
              <w:t>p</w:t>
            </w:r>
            <w:r w:rsidRPr="00CA144B">
              <w:rPr>
                <w:i/>
                <w:iCs/>
                <w:color w:val="000000"/>
              </w:rPr>
              <w:t>oplyphemus</w:t>
            </w:r>
            <w:proofErr w:type="spellEnd"/>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LBP</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Lipid binding protein</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LDL</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Low-density protein</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LPS</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Lipopolysaccharides</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MD2</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Myeloid differentiation protein</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proofErr w:type="spellStart"/>
            <w:r w:rsidRPr="000B3F51">
              <w:rPr>
                <w:color w:val="000000"/>
              </w:rPr>
              <w:t>MoAbs</w:t>
            </w:r>
            <w:proofErr w:type="spellEnd"/>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Monoclonal antibodies</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lastRenderedPageBreak/>
              <w:t>NK cell</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Natural killer cell</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P2X7</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 xml:space="preserve">Nucleotide receptor </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PEI</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proofErr w:type="spellStart"/>
            <w:r w:rsidRPr="000B3F51">
              <w:rPr>
                <w:color w:val="000000"/>
              </w:rPr>
              <w:t>Polyethylenimine</w:t>
            </w:r>
            <w:proofErr w:type="spellEnd"/>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PLTP</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Phospholipid transfer protein</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PMB</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Polymyxin B</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PMBN</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Polymyxin B nonapeptide</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RPT</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Rabbit pyrogen test</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rsCD14</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Recombinant soluble CD14</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sCD14</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Soluble CD14</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lang w:val="es-ES"/>
              </w:rPr>
              <w:t xml:space="preserve">SLPI </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 xml:space="preserve">Secretory protease inhibitor </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SMAP-29, rCAP18, hCAP18</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proofErr w:type="spellStart"/>
            <w:r w:rsidRPr="000B3F51">
              <w:rPr>
                <w:color w:val="000000"/>
              </w:rPr>
              <w:t>Cathelicidins</w:t>
            </w:r>
            <w:proofErr w:type="spellEnd"/>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S</w:t>
            </w:r>
            <w:r>
              <w:rPr>
                <w:color w:val="000000"/>
              </w:rPr>
              <w:t>P</w:t>
            </w:r>
            <w:r w:rsidRPr="000B3F51">
              <w:rPr>
                <w:color w:val="000000"/>
              </w:rPr>
              <w:t>-A, SP-D</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Hydrophilic surfactant proteins</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SP-C</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Hydrophobic surfactant protein</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SPR</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Surface Plasmon Resonance</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TALF</w:t>
            </w:r>
          </w:p>
        </w:tc>
        <w:tc>
          <w:tcPr>
            <w:tcW w:w="4819" w:type="dxa"/>
            <w:tcBorders>
              <w:top w:val="nil"/>
              <w:left w:val="nil"/>
              <w:bottom w:val="nil"/>
              <w:right w:val="nil"/>
            </w:tcBorders>
            <w:shd w:val="clear" w:color="auto" w:fill="auto"/>
            <w:noWrap/>
            <w:vAlign w:val="bottom"/>
            <w:hideMark/>
          </w:tcPr>
          <w:p w:rsidR="001126BD" w:rsidRPr="00CA144B" w:rsidRDefault="001126BD" w:rsidP="00E85CD6">
            <w:pPr>
              <w:rPr>
                <w:i/>
                <w:iCs/>
                <w:color w:val="000000"/>
              </w:rPr>
            </w:pPr>
            <w:proofErr w:type="spellStart"/>
            <w:r w:rsidRPr="00CA144B">
              <w:rPr>
                <w:i/>
                <w:iCs/>
                <w:color w:val="000000"/>
              </w:rPr>
              <w:t>Tachypleus</w:t>
            </w:r>
            <w:proofErr w:type="spellEnd"/>
            <w:r w:rsidRPr="00CA144B">
              <w:rPr>
                <w:i/>
                <w:iCs/>
                <w:color w:val="000000"/>
              </w:rPr>
              <w:t xml:space="preserve"> </w:t>
            </w:r>
            <w:proofErr w:type="spellStart"/>
            <w:r w:rsidRPr="00CA144B">
              <w:rPr>
                <w:i/>
                <w:iCs/>
                <w:color w:val="000000"/>
              </w:rPr>
              <w:t>tridentatus</w:t>
            </w:r>
            <w:proofErr w:type="spellEnd"/>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TLR</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Toll like receptor</w:t>
            </w:r>
          </w:p>
        </w:tc>
      </w:tr>
      <w:tr w:rsidR="001126BD" w:rsidRPr="000B3F51" w:rsidTr="00E85CD6">
        <w:trPr>
          <w:trHeight w:val="300"/>
        </w:trPr>
        <w:tc>
          <w:tcPr>
            <w:tcW w:w="3261"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VLDL</w:t>
            </w:r>
          </w:p>
        </w:tc>
        <w:tc>
          <w:tcPr>
            <w:tcW w:w="4819" w:type="dxa"/>
            <w:tcBorders>
              <w:top w:val="nil"/>
              <w:left w:val="nil"/>
              <w:bottom w:val="nil"/>
              <w:right w:val="nil"/>
            </w:tcBorders>
            <w:shd w:val="clear" w:color="auto" w:fill="auto"/>
            <w:noWrap/>
            <w:vAlign w:val="bottom"/>
            <w:hideMark/>
          </w:tcPr>
          <w:p w:rsidR="001126BD" w:rsidRPr="000B3F51" w:rsidRDefault="001126BD" w:rsidP="00E85CD6">
            <w:pPr>
              <w:rPr>
                <w:color w:val="000000"/>
              </w:rPr>
            </w:pPr>
            <w:r w:rsidRPr="000B3F51">
              <w:rPr>
                <w:color w:val="000000"/>
              </w:rPr>
              <w:t>Very-low density lipoproteins</w:t>
            </w:r>
          </w:p>
        </w:tc>
      </w:tr>
    </w:tbl>
    <w:p w:rsidR="001126BD" w:rsidRDefault="001126BD"/>
    <w:sectPr w:rsidR="001126BD" w:rsidSect="00074B81">
      <w:footerReference w:type="default" r:id="rId10"/>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0B3" w:rsidRDefault="002D40B3">
      <w:pPr>
        <w:spacing w:line="240" w:lineRule="auto"/>
      </w:pPr>
      <w:r>
        <w:separator/>
      </w:r>
    </w:p>
  </w:endnote>
  <w:endnote w:type="continuationSeparator" w:id="0">
    <w:p w:rsidR="002D40B3" w:rsidRDefault="002D4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141172"/>
      <w:docPartObj>
        <w:docPartGallery w:val="Page Numbers (Bottom of Page)"/>
        <w:docPartUnique/>
      </w:docPartObj>
    </w:sdtPr>
    <w:sdtEndPr/>
    <w:sdtContent>
      <w:p w:rsidR="00D32084" w:rsidRDefault="000E2348">
        <w:pPr>
          <w:pStyle w:val="Footer"/>
          <w:jc w:val="right"/>
        </w:pPr>
        <w:r>
          <w:fldChar w:fldCharType="begin"/>
        </w:r>
        <w:r w:rsidR="00EC6DE3">
          <w:instrText>PAGE   \* MERGEFORMAT</w:instrText>
        </w:r>
        <w:r>
          <w:fldChar w:fldCharType="separate"/>
        </w:r>
        <w:r w:rsidR="009808EA" w:rsidRPr="009808EA">
          <w:rPr>
            <w:noProof/>
            <w:lang w:val="es-ES"/>
          </w:rPr>
          <w:t>5</w:t>
        </w:r>
        <w:r>
          <w:fldChar w:fldCharType="end"/>
        </w:r>
      </w:p>
    </w:sdtContent>
  </w:sdt>
  <w:p w:rsidR="00D32084" w:rsidRDefault="002D4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0B3" w:rsidRDefault="002D40B3">
      <w:pPr>
        <w:spacing w:line="240" w:lineRule="auto"/>
      </w:pPr>
      <w:r>
        <w:separator/>
      </w:r>
    </w:p>
  </w:footnote>
  <w:footnote w:type="continuationSeparator" w:id="0">
    <w:p w:rsidR="002D40B3" w:rsidRDefault="002D40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91"/>
    <w:rsid w:val="000E2348"/>
    <w:rsid w:val="001126BD"/>
    <w:rsid w:val="00121240"/>
    <w:rsid w:val="002D40B3"/>
    <w:rsid w:val="00445B07"/>
    <w:rsid w:val="005C04F1"/>
    <w:rsid w:val="00664176"/>
    <w:rsid w:val="00666B91"/>
    <w:rsid w:val="00794FC7"/>
    <w:rsid w:val="008F11BF"/>
    <w:rsid w:val="009808EA"/>
    <w:rsid w:val="009A1867"/>
    <w:rsid w:val="00A17011"/>
    <w:rsid w:val="00A61278"/>
    <w:rsid w:val="00B17590"/>
    <w:rsid w:val="00B45C2A"/>
    <w:rsid w:val="00BA0C0C"/>
    <w:rsid w:val="00C8089D"/>
    <w:rsid w:val="00CA144B"/>
    <w:rsid w:val="00DF3BFB"/>
    <w:rsid w:val="00E30A8A"/>
    <w:rsid w:val="00EC6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8956"/>
  <w15:docId w15:val="{1FE3F571-8892-4100-AED6-D4464748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6B91"/>
    <w:pPr>
      <w:spacing w:after="0" w:line="48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6B9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666B91"/>
    <w:rPr>
      <w:rFonts w:ascii="Times New Roman" w:eastAsia="Times New Roman" w:hAnsi="Times New Roman" w:cs="Times New Roman"/>
      <w:sz w:val="24"/>
      <w:szCs w:val="24"/>
      <w:lang w:val="en-US" w:eastAsia="en-GB"/>
    </w:rPr>
  </w:style>
  <w:style w:type="paragraph" w:styleId="Caption">
    <w:name w:val="caption"/>
    <w:basedOn w:val="Normal"/>
    <w:next w:val="Normal"/>
    <w:unhideWhenUsed/>
    <w:rsid w:val="00666B91"/>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9808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EA"/>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n.wikipedia.org/wiki/3-Deoxy-D-manno-octulosonic_acid_kina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4687</Words>
  <Characters>26719</Characters>
  <Application>Microsoft Office Word</Application>
  <DocSecurity>0</DocSecurity>
  <Lines>222</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UsuarioUC</dc:creator>
  <cp:lastModifiedBy>author</cp:lastModifiedBy>
  <cp:revision>2</cp:revision>
  <cp:lastPrinted>2019-08-21T08:39:00Z</cp:lastPrinted>
  <dcterms:created xsi:type="dcterms:W3CDTF">2019-12-21T23:38:00Z</dcterms:created>
  <dcterms:modified xsi:type="dcterms:W3CDTF">2019-12-21T23:38:00Z</dcterms:modified>
</cp:coreProperties>
</file>