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8324" w14:textId="77777777" w:rsidR="00692D24" w:rsidRDefault="00692D24" w:rsidP="00692D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ppendix 1. The expression of shipper surplus</w: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222"/>
        <w:gridCol w:w="9417"/>
        <w:gridCol w:w="1134"/>
      </w:tblGrid>
      <w:tr w:rsidR="00692D24" w:rsidRPr="008205C6" w14:paraId="0056444D" w14:textId="77777777" w:rsidTr="005B08FB">
        <w:trPr>
          <w:trHeight w:val="1559"/>
          <w:jc w:val="center"/>
        </w:trPr>
        <w:tc>
          <w:tcPr>
            <w:tcW w:w="222" w:type="dxa"/>
          </w:tcPr>
          <w:p w14:paraId="4A94F6E3" w14:textId="77777777" w:rsidR="00692D24" w:rsidRPr="008205C6" w:rsidRDefault="00692D24" w:rsidP="005B0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7" w:type="dxa"/>
          </w:tcPr>
          <w:p w14:paraId="4FD03137" w14:textId="77777777" w:rsidR="00692D24" w:rsidRPr="008205C6" w:rsidRDefault="00692D24" w:rsidP="005B08FB">
            <w:pPr>
              <w:jc w:val="center"/>
              <w:rPr>
                <w:rFonts w:ascii="Cambria Math" w:hAnsi="Cambria Math" w:cs="Times New Roman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</w:rPr>
                  <m:t>CS=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color w:val="000000" w:themeColor="text1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|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l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|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V-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-x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Max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{0,D-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}</m:t>
                            </m:r>
                          </m:e>
                        </m:func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-z</m:t>
                        </m:r>
                        <m:r>
                          <w:rPr>
                            <w:rFonts w:ascii="Cambria Math" w:hAnsi="Times New Roman" w:cs="Times New Roman"/>
                            <w:color w:val="000000" w:themeColor="text1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t</m:t>
                        </m:r>
                      </m:e>
                    </m:d>
                  </m:e>
                </m:nary>
                <m:r>
                  <w:rPr>
                    <w:rFonts w:ascii="Cambria Math" w:hAnsi="Cambria Math" w:cs="Times New Roman"/>
                    <w:color w:val="000000" w:themeColor="text1"/>
                  </w:rPr>
                  <m:t>dz+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0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m</m:t>
                        </m:r>
                      </m:sup>
                    </m:sSup>
                  </m:sup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 xml:space="preserve"> </m:t>
                    </m:r>
                  </m:e>
                </m:nary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V-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-x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{0,</m:t>
                        </m:r>
                        <m:r>
                          <w:rPr>
                            <w:rFonts w:ascii="Cambria Math" w:hAnsi="Times New Roman" w:cs="Times New Roman"/>
                            <w:color w:val="000000" w:themeColor="text1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D-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}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-zt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</w:rPr>
                  <m:t>dz+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color w:val="000000" w:themeColor="text1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m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1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V-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-x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Max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{0,</m:t>
                            </m:r>
                            <m:r>
                              <w:rPr>
                                <w:rFonts w:ascii="Cambria Math" w:hAnsi="Times New Roman" w:cs="Times New Roman"/>
                                <w:color w:val="000000" w:themeColor="text1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D-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}-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1-z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 xml:space="preserve"> t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dz+</m:t>
                    </m:r>
                    <m:nary>
                      <m:naryPr>
                        <m:limLoc m:val="subSup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1</m:t>
                        </m:r>
                      </m:sub>
                      <m: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r</m:t>
                            </m:r>
                          </m:sup>
                        </m:sSup>
                      </m:sup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V-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-x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Max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{0,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000000" w:themeColor="text1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D-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}-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</w:rPr>
                                      <m:t>z-1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t</m:t>
                                </m:r>
                              </m:e>
                            </m:func>
                          </m:e>
                        </m:d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dz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1134" w:type="dxa"/>
          </w:tcPr>
          <w:p w14:paraId="00FCE127" w14:textId="77777777" w:rsidR="00692D24" w:rsidRPr="008205C6" w:rsidRDefault="00692D24" w:rsidP="005B0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</w:t>
            </w:r>
            <w:r w:rsidRPr="00820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0886FB1E" w14:textId="77777777" w:rsidR="00692D24" w:rsidRPr="00F12403" w:rsidRDefault="00692D24" w:rsidP="00692D24">
      <w:pPr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5C7544" w14:textId="77777777" w:rsidR="00692D24" w:rsidRDefault="00692D24" w:rsidP="00692D24">
      <w:pPr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ppendix 2. Numerical simulation on PA expected profit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</m:e>
        </m:d>
      </m:oMath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expected regional welfare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SW</m:t>
            </m:r>
          </m:e>
        </m:d>
      </m:oMath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</w:p>
    <w:p w14:paraId="1F0B8B18" w14:textId="77777777" w:rsidR="00692D24" w:rsidRDefault="00692D24" w:rsidP="00692D24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8F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4ADBEB6" wp14:editId="587A24FB">
            <wp:extent cx="3891516" cy="3439549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6372" cy="347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3E5F2" w14:textId="77777777" w:rsidR="00692D24" w:rsidRDefault="00692D24" w:rsidP="00692D24">
      <w:pPr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F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</w:t>
      </w:r>
      <w:r w:rsidRPr="009438F0">
        <w:rPr>
          <w:rFonts w:ascii="Times New Roman" w:hAnsi="Times New Roman" w:cs="Times New Roman"/>
          <w:color w:val="000000" w:themeColor="text1"/>
          <w:sz w:val="24"/>
          <w:szCs w:val="24"/>
        </w:rPr>
        <w:t>igure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A1</w:t>
      </w:r>
      <w:r w:rsidRPr="00943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PA’s expected profit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e>
        </m:d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changes in the number of TOCs in its own port (i.e.,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 other port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i.e.,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sub>
        </m:sSub>
      </m:oMath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</w:p>
    <w:p w14:paraId="79F940AA" w14:textId="77777777" w:rsidR="00692D24" w:rsidRDefault="00692D24" w:rsidP="00692D24">
      <w:pPr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60E99B5B" wp14:editId="7CF9DAA8">
            <wp:extent cx="3519140" cy="3268391"/>
            <wp:effectExtent l="0" t="0" r="5715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2270" cy="328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AC19" w14:textId="77777777" w:rsidR="00692D24" w:rsidRPr="006844BB" w:rsidRDefault="00692D24" w:rsidP="00692D24">
      <w:pPr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F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</w:t>
      </w:r>
      <w:r w:rsidRPr="009438F0">
        <w:rPr>
          <w:rFonts w:ascii="Times New Roman" w:hAnsi="Times New Roman" w:cs="Times New Roman"/>
          <w:color w:val="000000" w:themeColor="text1"/>
          <w:sz w:val="24"/>
          <w:szCs w:val="24"/>
        </w:rPr>
        <w:t>igure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A2</w:t>
      </w:r>
      <w:r w:rsidRPr="00943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expected regional welfare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SW(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e>
        </m:d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changes in the number of TOCs at two ports (i.e.,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sub>
        </m:sSub>
      </m:oMath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</w:p>
    <w:p w14:paraId="35011C1D" w14:textId="77777777" w:rsidR="00692D24" w:rsidRDefault="00692D24" w:rsidP="00692D24">
      <w:pPr>
        <w:spacing w:after="24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402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18464EC1" wp14:editId="5C47EEFE">
            <wp:extent cx="2721934" cy="2721934"/>
            <wp:effectExtent l="0" t="0" r="254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2889" cy="273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066FF" w14:textId="77777777" w:rsidR="00692D24" w:rsidRPr="005F422F" w:rsidRDefault="00692D24" w:rsidP="00692D24">
      <w:pPr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m:oMath>
        <m:r>
          <w:rPr>
            <w:rFonts w:ascii="Cambria Math" w:hAnsi="Cambria Math" w:cs="Times New Roman"/>
            <w:color w:val="000000" w:themeColor="text1"/>
          </w:rPr>
          <m:t>V=1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w:r w:rsidRPr="00783172"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D=1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w:r w:rsidRPr="00783172"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t=0.05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w:r w:rsidRPr="00783172"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Ω=0.01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m:oMath>
        <m:r>
          <w:rPr>
            <w:rFonts w:ascii="Cambria Math" w:hAnsi="Cambria Math" w:cs="Times New Roman"/>
            <w:color w:val="000000" w:themeColor="text1"/>
          </w:rPr>
          <m:t>Ψ=0.005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w:r w:rsidRPr="00783172"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ω=0.2</m:t>
        </m:r>
      </m:oMath>
      <w:r>
        <w:rPr>
          <w:rFonts w:ascii="Times New Roman" w:hAnsi="Times New Roman" w:cs="Times New Roman" w:hint="eastAsia"/>
          <w:i/>
          <w:color w:val="000000" w:themeColor="text1"/>
        </w:rPr>
        <w:t>,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N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m:t>=5</m:t>
        </m:r>
      </m:oMath>
      <w:r>
        <w:rPr>
          <w:rFonts w:ascii="Times New Roman" w:hAnsi="Times New Roman" w:cs="Times New Roman" w:hint="eastAsia"/>
          <w:i/>
          <w:color w:val="000000" w:themeColor="text1"/>
        </w:rPr>
        <w:t>,</w:t>
      </w:r>
      <w:r>
        <w:rPr>
          <w:rFonts w:ascii="Times New Roman" w:hAnsi="Times New Roman" w:cs="Times New Roman"/>
          <w:i/>
          <w:color w:val="000000" w:themeColor="text1"/>
        </w:rPr>
        <w:t xml:space="preserve"> x=0.01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529BEBAC" w14:textId="77777777" w:rsidR="00692D24" w:rsidRDefault="00692D24" w:rsidP="00692D24">
      <w:pPr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igure A3. PA expected profit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e>
        </m:d>
      </m:oMath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changes in the number of TOC JV pairs across two ports (i.e.,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</m:oMath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</w:p>
    <w:p w14:paraId="42AD17AD" w14:textId="77777777" w:rsidR="00692D24" w:rsidRDefault="00692D24" w:rsidP="00692D24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44B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4EA87EE8" wp14:editId="3119750E">
            <wp:extent cx="3086100" cy="3086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21ACC" w14:textId="77777777" w:rsidR="00692D24" w:rsidRPr="007914AB" w:rsidRDefault="00692D24" w:rsidP="00692D24">
      <w:pPr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m:oMath>
        <m:r>
          <w:rPr>
            <w:rFonts w:ascii="Cambria Math" w:hAnsi="Cambria Math" w:cs="Times New Roman"/>
            <w:color w:val="000000" w:themeColor="text1"/>
          </w:rPr>
          <m:t>V=1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w:r w:rsidRPr="00783172"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D=1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w:r w:rsidRPr="00783172"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t=0.05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w:r w:rsidRPr="00783172"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Ω=0.01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m:oMath>
        <m:r>
          <w:rPr>
            <w:rFonts w:ascii="Cambria Math" w:hAnsi="Cambria Math" w:cs="Times New Roman"/>
            <w:color w:val="000000" w:themeColor="text1"/>
          </w:rPr>
          <m:t>Ψ=0.005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w:r w:rsidRPr="00783172"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ω=0.2</m:t>
        </m:r>
      </m:oMath>
      <w:r>
        <w:rPr>
          <w:rFonts w:ascii="Times New Roman" w:hAnsi="Times New Roman" w:cs="Times New Roman" w:hint="eastAsia"/>
          <w:i/>
          <w:color w:val="000000" w:themeColor="text1"/>
        </w:rPr>
        <w:t>,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N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m:t>=5</m:t>
        </m:r>
      </m:oMath>
      <w:r>
        <w:rPr>
          <w:rFonts w:ascii="Times New Roman" w:hAnsi="Times New Roman" w:cs="Times New Roman" w:hint="eastAsia"/>
          <w:i/>
          <w:color w:val="000000" w:themeColor="text1"/>
        </w:rPr>
        <w:t>,</w:t>
      </w:r>
      <w:r>
        <w:rPr>
          <w:rFonts w:ascii="Times New Roman" w:hAnsi="Times New Roman" w:cs="Times New Roman"/>
          <w:i/>
          <w:color w:val="000000" w:themeColor="text1"/>
        </w:rPr>
        <w:t xml:space="preserve"> x=0.01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057ABA83" w14:textId="77777777" w:rsidR="00692D24" w:rsidRDefault="00692D24" w:rsidP="00692D24">
      <w:pPr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8F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</w:t>
      </w:r>
      <w:r w:rsidRPr="009438F0">
        <w:rPr>
          <w:rFonts w:ascii="Times New Roman" w:hAnsi="Times New Roman" w:cs="Times New Roman"/>
          <w:color w:val="000000" w:themeColor="text1"/>
          <w:sz w:val="24"/>
          <w:szCs w:val="24"/>
        </w:rPr>
        <w:t>igure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A4</w:t>
      </w:r>
      <w:r w:rsidRPr="00943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expected regional welfare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SW(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e>
        </m:d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changes in the number of TOC JV pairs across two ports (i.e.,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</m:oMath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</w:p>
    <w:p w14:paraId="5051E21F" w14:textId="77777777" w:rsidR="00692D24" w:rsidRDefault="00692D24" w:rsidP="00692D24">
      <w:pPr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5C9161" w14:textId="77777777" w:rsidR="00692D24" w:rsidRDefault="00692D24" w:rsidP="00692D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2A423970" w14:textId="77777777" w:rsidR="00692D24" w:rsidRDefault="00692D24" w:rsidP="00692D24">
      <w:pPr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ppendix 3. TOC throughputs for JV and non-JV participants </w:t>
      </w:r>
    </w:p>
    <w:p w14:paraId="49A259A0" w14:textId="77777777" w:rsidR="00692D24" w:rsidRDefault="00692D24" w:rsidP="00692D24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2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8AC6DB5" wp14:editId="49F98781">
            <wp:extent cx="2885090" cy="288509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6358" cy="288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52417" w14:textId="77777777" w:rsidR="00692D24" w:rsidRPr="005F422F" w:rsidRDefault="00692D24" w:rsidP="00692D24">
      <w:pPr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m:oMath>
        <m:r>
          <w:rPr>
            <w:rFonts w:ascii="Cambria Math" w:hAnsi="Cambria Math" w:cs="Times New Roman"/>
            <w:color w:val="000000" w:themeColor="text1"/>
          </w:rPr>
          <m:t>V=1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w:r w:rsidRPr="00783172"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D=1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w:r w:rsidRPr="00783172"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t=0.05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w:r w:rsidRPr="00783172"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Ω=0.01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m:oMath>
        <m:r>
          <w:rPr>
            <w:rFonts w:ascii="Cambria Math" w:hAnsi="Cambria Math" w:cs="Times New Roman"/>
            <w:color w:val="000000" w:themeColor="text1"/>
          </w:rPr>
          <m:t>Ψ=0.005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w:r w:rsidRPr="00783172"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ω=0.2</m:t>
        </m:r>
      </m:oMath>
      <w:r>
        <w:rPr>
          <w:rFonts w:ascii="Times New Roman" w:hAnsi="Times New Roman" w:cs="Times New Roman" w:hint="eastAsia"/>
          <w:i/>
          <w:color w:val="000000" w:themeColor="text1"/>
        </w:rPr>
        <w:t>,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N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m:t>=5</m:t>
        </m:r>
      </m:oMath>
      <w:r>
        <w:rPr>
          <w:rFonts w:ascii="Times New Roman" w:hAnsi="Times New Roman" w:cs="Times New Roman" w:hint="eastAsia"/>
          <w:i/>
          <w:color w:val="000000" w:themeColor="text1"/>
        </w:rPr>
        <w:t>,</w:t>
      </w:r>
      <w:r>
        <w:rPr>
          <w:rFonts w:ascii="Times New Roman" w:hAnsi="Times New Roman" w:cs="Times New Roman"/>
          <w:i/>
          <w:color w:val="000000" w:themeColor="text1"/>
        </w:rPr>
        <w:t xml:space="preserve"> x=0.01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015685D0" w14:textId="77777777" w:rsidR="00692D24" w:rsidRDefault="00692D24" w:rsidP="00692D24">
      <w:pPr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igure A5. Difference in throughput between JV and non-JV TOCs (i.e.,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r,i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sup>
            </m:sSubSup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r,i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nv</m:t>
                </m:r>
              </m:sup>
            </m:sSubSup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*</m:t>
            </m:r>
          </m:sup>
        </m:sSup>
      </m:oMath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with the number of JV pairs cross two ports (i.e.,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</m:oMath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</w:p>
    <w:p w14:paraId="6F582EFD" w14:textId="77777777" w:rsidR="00692D24" w:rsidRPr="005F422F" w:rsidRDefault="00692D24" w:rsidP="00692D24">
      <w:pPr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0F831E" w14:textId="77777777" w:rsidR="00692D24" w:rsidRDefault="00692D24" w:rsidP="00692D24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25E7CB" w14:textId="77777777" w:rsidR="00692D24" w:rsidRDefault="00692D24" w:rsidP="00692D24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0A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4D03609" wp14:editId="42B5A666">
            <wp:extent cx="3121573" cy="3121573"/>
            <wp:effectExtent l="0" t="0" r="3175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3186" cy="312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A450A" w14:textId="77777777" w:rsidR="00692D24" w:rsidRPr="001610A9" w:rsidRDefault="00692D24" w:rsidP="00692D24">
      <w:pPr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m:oMath>
        <m:r>
          <w:rPr>
            <w:rFonts w:ascii="Cambria Math" w:hAnsi="Cambria Math" w:cs="Times New Roman"/>
            <w:color w:val="000000" w:themeColor="text1"/>
          </w:rPr>
          <m:t>V=1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w:r w:rsidRPr="00783172"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D=1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w:r w:rsidRPr="00783172"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t=0.05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w:r w:rsidRPr="00783172"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Ω=0.01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m:oMath>
        <m:r>
          <w:rPr>
            <w:rFonts w:ascii="Cambria Math" w:hAnsi="Cambria Math" w:cs="Times New Roman"/>
            <w:color w:val="000000" w:themeColor="text1"/>
          </w:rPr>
          <m:t>Ψ=0.005</m:t>
        </m:r>
      </m:oMath>
      <w:r w:rsidRPr="00783172">
        <w:rPr>
          <w:rFonts w:ascii="Times New Roman" w:hAnsi="Times New Roman" w:cs="Times New Roman" w:hint="eastAsia"/>
          <w:i/>
          <w:color w:val="000000" w:themeColor="text1"/>
        </w:rPr>
        <w:t>,</w:t>
      </w:r>
      <w:r w:rsidRPr="00783172"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ω=0.2</m:t>
        </m:r>
      </m:oMath>
      <w:r>
        <w:rPr>
          <w:rFonts w:ascii="Times New Roman" w:hAnsi="Times New Roman" w:cs="Times New Roman" w:hint="eastAsia"/>
          <w:i/>
          <w:color w:val="000000" w:themeColor="text1"/>
        </w:rPr>
        <w:t>,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N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m:t>=10</m:t>
        </m:r>
      </m:oMath>
      <w:r>
        <w:rPr>
          <w:rFonts w:ascii="Times New Roman" w:hAnsi="Times New Roman" w:cs="Times New Roman" w:hint="eastAsia"/>
          <w:i/>
          <w:color w:val="000000" w:themeColor="text1"/>
        </w:rPr>
        <w:t>,</w:t>
      </w:r>
      <w:r>
        <w:rPr>
          <w:rFonts w:ascii="Times New Roman" w:hAnsi="Times New Roman" w:cs="Times New Roman"/>
          <w:i/>
          <w:color w:val="000000" w:themeColor="text1"/>
        </w:rPr>
        <w:t xml:space="preserve"> x=0.01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727778DB" w14:textId="77777777" w:rsidR="00692D24" w:rsidRDefault="00692D24" w:rsidP="00692D24">
      <w:pPr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igure A6. Total port throughput between (i.e.,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r,i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sup>
            </m:sSubSup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-(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r,i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nv</m:t>
                </m:r>
              </m:sup>
            </m:sSubSup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*</m:t>
            </m:r>
          </m:sup>
        </m:sSup>
      </m:oMath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with the number of JV pairs cross two ports (i.e.,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sub>
        </m:sSub>
      </m:oMath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</w:p>
    <w:p w14:paraId="6C645CCC" w14:textId="77777777" w:rsidR="00692D24" w:rsidRPr="001610A9" w:rsidRDefault="00692D24" w:rsidP="00692D24">
      <w:pPr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48E609" w14:textId="77777777" w:rsidR="00692D24" w:rsidRDefault="00692D24" w:rsidP="00692D24">
      <w:pPr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8441E8" w14:textId="77777777" w:rsidR="00B85C7C" w:rsidRDefault="00B85C7C">
      <w:bookmarkStart w:id="0" w:name="_GoBack"/>
      <w:bookmarkEnd w:id="0"/>
    </w:p>
    <w:sectPr w:rsidR="00B85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24"/>
    <w:rsid w:val="00692D24"/>
    <w:rsid w:val="00B85C7C"/>
    <w:rsid w:val="00B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5B20"/>
  <w15:chartTrackingRefBased/>
  <w15:docId w15:val="{8E1F93E4-0F0B-4468-98AE-D0FFE237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D24"/>
    <w:pPr>
      <w:spacing w:before="240" w:after="120" w:line="360" w:lineRule="auto"/>
      <w:ind w:left="578" w:hanging="578"/>
    </w:pPr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 K R.</dc:creator>
  <cp:keywords/>
  <dc:description/>
  <cp:lastModifiedBy>BHARATHI K R.</cp:lastModifiedBy>
  <cp:revision>1</cp:revision>
  <dcterms:created xsi:type="dcterms:W3CDTF">2019-12-27T04:51:00Z</dcterms:created>
  <dcterms:modified xsi:type="dcterms:W3CDTF">2019-12-27T04:52:00Z</dcterms:modified>
</cp:coreProperties>
</file>