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21" w:rsidRPr="007E3A44" w:rsidRDefault="00386321" w:rsidP="00386321">
      <w:pPr>
        <w:pStyle w:val="Heading2"/>
        <w:rPr>
          <w:lang w:eastAsia="ko-KR"/>
        </w:rPr>
      </w:pPr>
      <w:r>
        <w:t>Supplementary information</w:t>
      </w:r>
      <w:r w:rsidR="00137DE1" w:rsidRPr="007E3A44">
        <w:rPr>
          <w:lang w:eastAsia="ko-KR"/>
        </w:rPr>
        <w:t>:</w:t>
      </w:r>
    </w:p>
    <w:p w:rsidR="00386321" w:rsidRPr="00754A2D" w:rsidRDefault="00386321" w:rsidP="00386321">
      <w:pPr>
        <w:pStyle w:val="Articletitle"/>
        <w:rPr>
          <w:lang w:val="en-US"/>
        </w:rPr>
      </w:pPr>
      <w:r w:rsidRPr="00754A2D">
        <w:rPr>
          <w:lang w:val="en-US"/>
        </w:rPr>
        <w:t xml:space="preserve">Predicting the deposition spot radius and the nanoparticle concentration distribution in an electrostatic precipitator </w:t>
      </w:r>
    </w:p>
    <w:p w:rsidR="00386321" w:rsidRPr="00754A2D" w:rsidRDefault="00386321" w:rsidP="00386321">
      <w:pPr>
        <w:pStyle w:val="Authornames"/>
        <w:rPr>
          <w:lang w:val="en-US"/>
        </w:rPr>
      </w:pPr>
      <w:r w:rsidRPr="00754A2D">
        <w:rPr>
          <w:lang w:val="en-US"/>
        </w:rPr>
        <w:t>Calle Preger</w:t>
      </w:r>
      <w:r w:rsidRPr="00754A2D">
        <w:rPr>
          <w:vertAlign w:val="superscript"/>
          <w:lang w:val="en-US"/>
        </w:rPr>
        <w:t>1</w:t>
      </w:r>
      <w:r w:rsidRPr="00754A2D">
        <w:rPr>
          <w:lang w:val="en-US"/>
        </w:rPr>
        <w:t>, Niels C. Overgaard</w:t>
      </w:r>
      <w:r w:rsidRPr="00754A2D">
        <w:rPr>
          <w:vertAlign w:val="superscript"/>
          <w:lang w:val="en-US"/>
        </w:rPr>
        <w:t>2</w:t>
      </w:r>
      <w:r w:rsidRPr="00754A2D">
        <w:rPr>
          <w:lang w:val="en-US"/>
        </w:rPr>
        <w:t>, Maria. E. Messing</w:t>
      </w:r>
      <w:r w:rsidRPr="00754A2D">
        <w:rPr>
          <w:vertAlign w:val="superscript"/>
          <w:lang w:val="en-US"/>
        </w:rPr>
        <w:t>1</w:t>
      </w:r>
      <w:r w:rsidRPr="00754A2D">
        <w:rPr>
          <w:lang w:val="en-US"/>
        </w:rPr>
        <w:t xml:space="preserve"> and Martin. H. Magnusson</w:t>
      </w:r>
      <w:r w:rsidRPr="00754A2D">
        <w:rPr>
          <w:vertAlign w:val="superscript"/>
          <w:lang w:val="en-US"/>
        </w:rPr>
        <w:t>1</w:t>
      </w:r>
    </w:p>
    <w:p w:rsidR="00386321" w:rsidRPr="00754A2D" w:rsidRDefault="00386321" w:rsidP="00386321">
      <w:pPr>
        <w:pStyle w:val="Affiliation"/>
        <w:rPr>
          <w:lang w:val="en-US"/>
        </w:rPr>
      </w:pPr>
      <w:r w:rsidRPr="00754A2D">
        <w:rPr>
          <w:vertAlign w:val="superscript"/>
          <w:lang w:val="en-US"/>
        </w:rPr>
        <w:t>1</w:t>
      </w:r>
      <w:r w:rsidRPr="00754A2D">
        <w:rPr>
          <w:lang w:val="en-US"/>
        </w:rPr>
        <w:t>NanoLund and Solid State Physics, Lund University, Box 118, 22100 Lund, Sweden</w:t>
      </w:r>
    </w:p>
    <w:p w:rsidR="00386321" w:rsidRPr="00754A2D" w:rsidRDefault="00386321" w:rsidP="00386321">
      <w:pPr>
        <w:pStyle w:val="Affiliation"/>
        <w:rPr>
          <w:lang w:val="en-US"/>
        </w:rPr>
      </w:pPr>
      <w:r w:rsidRPr="00754A2D">
        <w:rPr>
          <w:vertAlign w:val="superscript"/>
          <w:lang w:val="en-US"/>
        </w:rPr>
        <w:t>2</w:t>
      </w:r>
      <w:r w:rsidRPr="00754A2D">
        <w:rPr>
          <w:lang w:val="en-US"/>
        </w:rPr>
        <w:t>Centre for Mathematical Sciences, Lund University, Box 118, 21100 Lund, Sweden</w:t>
      </w:r>
    </w:p>
    <w:p w:rsidR="00386321" w:rsidRPr="00754A2D" w:rsidRDefault="00561E6A" w:rsidP="00386321">
      <w:pPr>
        <w:pStyle w:val="Correspondencedetails"/>
        <w:rPr>
          <w:lang w:val="en-US"/>
        </w:rPr>
      </w:pPr>
      <w:r w:rsidRPr="00754A2D">
        <w:rPr>
          <w:lang w:val="en-US"/>
        </w:rPr>
        <w:t>Corresponding</w:t>
      </w:r>
      <w:r w:rsidR="00386321" w:rsidRPr="00754A2D">
        <w:rPr>
          <w:lang w:val="en-US"/>
        </w:rPr>
        <w:t xml:space="preserve"> author: Calle Preger, calle.preger@ftf.lth.se</w:t>
      </w:r>
    </w:p>
    <w:p w:rsidR="00AB398C" w:rsidRPr="00AB398C" w:rsidRDefault="00386321" w:rsidP="00AB398C">
      <w:pPr>
        <w:spacing w:after="200" w:line="276" w:lineRule="auto"/>
        <w:jc w:val="left"/>
        <w:rPr>
          <w:rFonts w:asciiTheme="majorHAnsi" w:hAnsiTheme="majorHAnsi" w:cs="Times New Roman"/>
          <w:sz w:val="32"/>
        </w:rPr>
      </w:pPr>
      <w:r>
        <w:br w:type="page"/>
      </w:r>
    </w:p>
    <w:p w:rsidR="00AB398C" w:rsidRDefault="00902371" w:rsidP="00386321">
      <w:pPr>
        <w:spacing w:line="276" w:lineRule="auto"/>
      </w:pPr>
      <w:r>
        <w:rPr>
          <w:noProof/>
          <w:lang w:eastAsia="ko-KR"/>
        </w:rPr>
        <w:lastRenderedPageBreak/>
        <w:drawing>
          <wp:inline distT="0" distB="0" distL="0" distR="0">
            <wp:extent cx="5391785" cy="2044700"/>
            <wp:effectExtent l="0" t="0" r="0" b="0"/>
            <wp:docPr id="1" name="Picture 1" descr="C:\Users\ca0355pr\AppData\Local\Microsoft\Windows\INetCache\Content.Word\BrownianMotion_Final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0355pr\AppData\Local\Microsoft\Windows\INetCache\Content.Word\BrownianMotion_Final_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785" cy="2044700"/>
                    </a:xfrm>
                    <a:prstGeom prst="rect">
                      <a:avLst/>
                    </a:prstGeom>
                    <a:noFill/>
                    <a:ln>
                      <a:noFill/>
                    </a:ln>
                  </pic:spPr>
                </pic:pic>
              </a:graphicData>
            </a:graphic>
          </wp:inline>
        </w:drawing>
      </w:r>
    </w:p>
    <w:p w:rsidR="00386321" w:rsidRPr="00137DE1" w:rsidRDefault="007D2CB6" w:rsidP="00386321">
      <w:pPr>
        <w:spacing w:line="276" w:lineRule="auto"/>
      </w:pPr>
      <w:r>
        <w:rPr>
          <w:b/>
        </w:rPr>
        <w:t>Figure S1</w:t>
      </w:r>
      <w:r w:rsidR="00386321" w:rsidRPr="00137DE1">
        <w:rPr>
          <w:b/>
        </w:rPr>
        <w:t>.</w:t>
      </w:r>
      <w:r w:rsidR="00386321" w:rsidRPr="00137DE1">
        <w:t xml:space="preserve"> Particle concentration profile for simulations with and without Brownian forces for (a) 50 nm, (b) 30</w:t>
      </w:r>
      <w:r w:rsidR="00137DE1">
        <w:rPr>
          <w:rFonts w:hint="eastAsia"/>
          <w:lang w:eastAsia="ko-KR"/>
        </w:rPr>
        <w:t xml:space="preserve"> </w:t>
      </w:r>
      <w:r w:rsidR="00386321" w:rsidRPr="00137DE1">
        <w:t xml:space="preserve">nm and (c) 10 nm particles. The simulations consisted of 1000 particles without and 1000 particles with Brownian motion, in order to save computation time. The variation in the histograms is thus explained by </w:t>
      </w:r>
      <m:oMath>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N</m:t>
                    </m:r>
                  </m:e>
                </m:rad>
              </m:den>
            </m:f>
          </m:e>
        </m:box>
      </m:oMath>
      <w:r w:rsidR="00386321" w:rsidRPr="00137DE1">
        <w:t xml:space="preserve"> noise. The sizes of the deposition spot radii are nearly unaffected by the added Brownian force to the nanoparticles. </w:t>
      </w:r>
    </w:p>
    <w:p w:rsidR="00386321" w:rsidRDefault="00386321" w:rsidP="00386321">
      <w:pPr>
        <w:spacing w:after="200" w:line="276" w:lineRule="auto"/>
        <w:jc w:val="left"/>
      </w:pPr>
      <w:r>
        <w:br w:type="page"/>
      </w:r>
    </w:p>
    <w:p w:rsidR="00FA2DDB" w:rsidRDefault="00FA2DDB" w:rsidP="00FA2DDB">
      <w:pPr>
        <w:spacing w:after="200" w:line="276" w:lineRule="auto"/>
        <w:jc w:val="left"/>
        <w:rPr>
          <w:rFonts w:asciiTheme="majorHAnsi" w:hAnsiTheme="majorHAnsi" w:cs="Times New Roman"/>
          <w:sz w:val="20"/>
          <w:lang w:val="sv-SE"/>
        </w:rPr>
      </w:pPr>
      <w:r>
        <w:rPr>
          <w:rFonts w:asciiTheme="majorHAnsi" w:hAnsiTheme="majorHAnsi" w:cs="Times New Roman"/>
          <w:noProof/>
          <w:sz w:val="20"/>
          <w:lang w:eastAsia="ko-KR"/>
        </w:rPr>
        <w:lastRenderedPageBreak/>
        <w:drawing>
          <wp:inline distT="0" distB="0" distL="0" distR="0">
            <wp:extent cx="5998210" cy="1440815"/>
            <wp:effectExtent l="0" t="0" r="2540" b="6985"/>
            <wp:docPr id="2" name="Picture 2" descr="SEM_ImageEx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_ImageExp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8210" cy="1440815"/>
                    </a:xfrm>
                    <a:prstGeom prst="rect">
                      <a:avLst/>
                    </a:prstGeom>
                    <a:noFill/>
                    <a:ln>
                      <a:noFill/>
                    </a:ln>
                  </pic:spPr>
                </pic:pic>
              </a:graphicData>
            </a:graphic>
          </wp:inline>
        </w:drawing>
      </w:r>
    </w:p>
    <w:p w:rsidR="00FA2DDB" w:rsidRPr="0081179C" w:rsidRDefault="007D2CB6" w:rsidP="00FA2DDB">
      <w:pPr>
        <w:spacing w:after="200" w:line="276" w:lineRule="auto"/>
        <w:jc w:val="left"/>
        <w:rPr>
          <w:rFonts w:asciiTheme="majorHAnsi" w:hAnsiTheme="majorHAnsi" w:cs="Times New Roman"/>
          <w:sz w:val="20"/>
        </w:rPr>
      </w:pPr>
      <w:r>
        <w:rPr>
          <w:b/>
        </w:rPr>
        <w:t>Figure S2</w:t>
      </w:r>
      <w:r w:rsidR="00FA2DDB">
        <w:rPr>
          <w:b/>
        </w:rPr>
        <w:t xml:space="preserve">. </w:t>
      </w:r>
      <w:r w:rsidR="00FA2DDB">
        <w:t>SEM images from three different deposition conditions. a) 15 nm Cu particles f</w:t>
      </w:r>
      <w:r w:rsidR="001F3336">
        <w:t>rom data point number 12 in SI. 4</w:t>
      </w:r>
      <w:r w:rsidR="00FA2DDB">
        <w:t>, with measured surface concentration of 20.6 particles/</w:t>
      </w:r>
      <m:oMath>
        <m:r>
          <m:rPr>
            <m:sty m:val="p"/>
          </m:rPr>
          <w:rPr>
            <w:rFonts w:ascii="Cambria Math" w:hAnsi="Cambria Math" w:cs="Times New Roman"/>
          </w:rPr>
          <m:t>μ</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oMath>
      <w:r w:rsidR="00FA2DDB">
        <w:t>.</w:t>
      </w:r>
      <w:r w:rsidR="00FA2DDB" w:rsidRPr="0081179C">
        <w:t xml:space="preserve"> </w:t>
      </w:r>
      <w:r w:rsidR="00FA2DDB">
        <w:t xml:space="preserve">b) 30 nm Cu particles </w:t>
      </w:r>
      <w:r w:rsidR="001F3336">
        <w:t>from data point number 5 in SI. 4,</w:t>
      </w:r>
      <w:r w:rsidR="00FA2DDB">
        <w:t xml:space="preserve"> with measured surface concentration of 0.8 particles/</w:t>
      </w:r>
      <m:oMath>
        <m:r>
          <m:rPr>
            <m:sty m:val="p"/>
          </m:rPr>
          <w:rPr>
            <w:rFonts w:ascii="Cambria Math" w:hAnsi="Cambria Math" w:cs="Times New Roman"/>
          </w:rPr>
          <m:t>μ</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oMath>
      <w:r w:rsidR="00FA2DDB">
        <w:t>.</w:t>
      </w:r>
      <w:r w:rsidR="00FA2DDB" w:rsidRPr="0081179C">
        <w:t xml:space="preserve"> </w:t>
      </w:r>
      <w:r w:rsidR="00FA2DDB">
        <w:t>c) 45 nm Bi particles f</w:t>
      </w:r>
      <w:r w:rsidR="001F3336">
        <w:t>rom data point number 28 in SI. 4</w:t>
      </w:r>
      <w:r w:rsidR="00FA2DDB">
        <w:t>, with measured surface concentration of 6.8 particles/</w:t>
      </w:r>
      <m:oMath>
        <m:r>
          <m:rPr>
            <m:sty m:val="p"/>
          </m:rPr>
          <w:rPr>
            <w:rFonts w:ascii="Cambria Math" w:hAnsi="Cambria Math" w:cs="Times New Roman"/>
          </w:rPr>
          <m:t>μ</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oMath>
      <w:r w:rsidR="00FA2DDB">
        <w:t>.</w:t>
      </w:r>
      <w:r w:rsidR="00FA2DDB" w:rsidRPr="0081179C">
        <w:t xml:space="preserve"> </w:t>
      </w:r>
      <w:r w:rsidR="00FA2DDB" w:rsidRPr="0081179C">
        <w:br w:type="page"/>
      </w:r>
    </w:p>
    <w:p w:rsidR="00FA2DDB" w:rsidRPr="00FD1EA4" w:rsidRDefault="00FA2DDB" w:rsidP="00386321">
      <w:pPr>
        <w:spacing w:after="200" w:line="276" w:lineRule="auto"/>
        <w:jc w:val="left"/>
      </w:pPr>
    </w:p>
    <w:p w:rsidR="00386321" w:rsidRPr="00F8107B" w:rsidRDefault="007D2CB6" w:rsidP="00386321">
      <w:pPr>
        <w:rPr>
          <w:b/>
        </w:rPr>
      </w:pPr>
      <w:r>
        <w:rPr>
          <w:b/>
        </w:rPr>
        <w:t>Table S1</w:t>
      </w:r>
      <w:r w:rsidR="00386321" w:rsidRPr="005E3FC8">
        <w:rPr>
          <w:b/>
        </w:rPr>
        <w:t xml:space="preserve">. </w:t>
      </w:r>
      <w:r w:rsidR="00386321">
        <w:rPr>
          <w:b/>
        </w:rPr>
        <w:t>(a-d)</w:t>
      </w:r>
      <w:r w:rsidR="00386321" w:rsidRPr="005E3FC8">
        <w:rPr>
          <w:b/>
        </w:rPr>
        <w:t xml:space="preserve">Each </w:t>
      </w:r>
      <w:r w:rsidR="00386321">
        <w:rPr>
          <w:b/>
        </w:rPr>
        <w:t xml:space="preserve">of four </w:t>
      </w:r>
      <w:r w:rsidR="00386321" w:rsidRPr="005E3FC8">
        <w:rPr>
          <w:b/>
        </w:rPr>
        <w:t>set of simulations</w:t>
      </w:r>
      <w:r w:rsidR="00386321">
        <w:rPr>
          <w:b/>
        </w:rPr>
        <w:t xml:space="preserve"> was fitted to a power relation with a</w:t>
      </w:r>
      <w:r w:rsidR="00386321" w:rsidRPr="005E3FC8">
        <w:rPr>
          <w:b/>
        </w:rPr>
        <w:t xml:space="preserve"> 95 % confidence bound (power </w:t>
      </w:r>
      <m:oMath>
        <m:r>
          <m:rPr>
            <m:sty m:val="bi"/>
          </m:rPr>
          <w:rPr>
            <w:rFonts w:ascii="Cambria Math" w:hAnsi="Cambria Math"/>
          </w:rPr>
          <m:t>a·</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b</m:t>
            </m:r>
          </m:sup>
        </m:sSup>
      </m:oMath>
      <w:r w:rsidR="00386321">
        <w:rPr>
          <w:b/>
        </w:rPr>
        <w:t xml:space="preserve">). The </w:t>
      </w:r>
      <m:oMath>
        <m:r>
          <m:rPr>
            <m:sty m:val="bi"/>
          </m:rPr>
          <w:rPr>
            <w:rFonts w:ascii="Cambria Math" w:hAnsi="Cambria Math"/>
          </w:rPr>
          <m:t>b</m:t>
        </m:r>
      </m:oMath>
      <w:r w:rsidR="00386321">
        <w:rPr>
          <w:b/>
        </w:rPr>
        <w:t>-values showed an almost perfect square root or inverse square root dependence. (e) Tabulated values for the linear fit</w:t>
      </w:r>
      <w:r w:rsidR="001055F1">
        <w:rPr>
          <w:b/>
        </w:rPr>
        <w:t xml:space="preserve"> (</w:t>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∙x+</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oMath>
      <w:r w:rsidR="001055F1">
        <w:rPr>
          <w:b/>
        </w:rPr>
        <w:t>)</w:t>
      </w:r>
      <w:r w:rsidR="00386321">
        <w:rPr>
          <w:b/>
        </w:rPr>
        <w:t xml:space="preserve"> comparing the simulated values and the experimental data to the semi-empirical equation. </w:t>
      </w:r>
    </w:p>
    <w:tbl>
      <w:tblPr>
        <w:tblStyle w:val="TableGrid"/>
        <w:tblW w:w="8755" w:type="dxa"/>
        <w:tblLook w:val="04A0" w:firstRow="1" w:lastRow="0" w:firstColumn="1" w:lastColumn="0" w:noHBand="0" w:noVBand="1"/>
      </w:tblPr>
      <w:tblGrid>
        <w:gridCol w:w="534"/>
        <w:gridCol w:w="3969"/>
        <w:gridCol w:w="1275"/>
        <w:gridCol w:w="1560"/>
        <w:gridCol w:w="1417"/>
      </w:tblGrid>
      <w:tr w:rsidR="0088001A" w:rsidRPr="000B1413" w:rsidTr="0088001A">
        <w:tc>
          <w:tcPr>
            <w:tcW w:w="534" w:type="dxa"/>
            <w:tcBorders>
              <w:right w:val="nil"/>
            </w:tcBorders>
            <w:vAlign w:val="center"/>
          </w:tcPr>
          <w:p w:rsidR="0088001A" w:rsidRPr="0088001A" w:rsidRDefault="0088001A" w:rsidP="0088001A">
            <w:pPr>
              <w:jc w:val="center"/>
              <w:rPr>
                <w:b/>
              </w:rPr>
            </w:pPr>
            <w:r w:rsidRPr="0088001A">
              <w:rPr>
                <w:b/>
              </w:rPr>
              <w:t>a)</w:t>
            </w:r>
          </w:p>
        </w:tc>
        <w:tc>
          <w:tcPr>
            <w:tcW w:w="3969" w:type="dxa"/>
            <w:tcBorders>
              <w:left w:val="nil"/>
            </w:tcBorders>
            <w:vAlign w:val="center"/>
          </w:tcPr>
          <w:p w:rsidR="0088001A" w:rsidRPr="000B1413" w:rsidRDefault="0088001A" w:rsidP="005B4E8F">
            <w:pPr>
              <w:jc w:val="center"/>
            </w:pPr>
            <w:r>
              <w:t>Gas flow rate (</w:t>
            </w:r>
            <m:oMath>
              <m:r>
                <w:rPr>
                  <w:rFonts w:ascii="Cambria Math" w:hAnsi="Cambria Math"/>
                  <w:szCs w:val="32"/>
                </w:rPr>
                <m:t>Q</m:t>
              </m:r>
            </m:oMath>
            <w:r>
              <w:rPr>
                <w:szCs w:val="32"/>
              </w:rPr>
              <w:t>)</w:t>
            </w:r>
          </w:p>
        </w:tc>
        <w:tc>
          <w:tcPr>
            <w:tcW w:w="1275" w:type="dxa"/>
            <w:vAlign w:val="center"/>
          </w:tcPr>
          <w:p w:rsidR="0088001A" w:rsidRPr="000B1413" w:rsidRDefault="0088001A" w:rsidP="005B4E8F">
            <w:pPr>
              <w:jc w:val="center"/>
            </w:pPr>
            <m:oMathPara>
              <m:oMath>
                <m:r>
                  <w:rPr>
                    <w:rFonts w:ascii="Cambria Math" w:hAnsi="Cambria Math"/>
                  </w:rPr>
                  <m:t>a</m:t>
                </m:r>
              </m:oMath>
            </m:oMathPara>
          </w:p>
        </w:tc>
        <w:tc>
          <w:tcPr>
            <w:tcW w:w="1560" w:type="dxa"/>
            <w:vAlign w:val="center"/>
          </w:tcPr>
          <w:p w:rsidR="0088001A" w:rsidRPr="000B1413" w:rsidRDefault="0088001A" w:rsidP="005B4E8F">
            <w:pPr>
              <w:jc w:val="center"/>
            </w:pPr>
            <m:oMathPara>
              <m:oMath>
                <m:r>
                  <w:rPr>
                    <w:rFonts w:ascii="Cambria Math" w:hAnsi="Cambria Math"/>
                  </w:rPr>
                  <m:t>b</m:t>
                </m:r>
              </m:oMath>
            </m:oMathPara>
          </w:p>
        </w:tc>
        <w:tc>
          <w:tcPr>
            <w:tcW w:w="1417" w:type="dxa"/>
            <w:vAlign w:val="center"/>
          </w:tcPr>
          <w:p w:rsidR="0088001A" w:rsidRPr="000B1413" w:rsidRDefault="00441312" w:rsidP="0088001A">
            <w:pPr>
              <w:jc w:val="cente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r>
      <w:tr w:rsidR="0088001A" w:rsidRPr="000B1413" w:rsidTr="0088001A">
        <w:tc>
          <w:tcPr>
            <w:tcW w:w="534" w:type="dxa"/>
            <w:tcBorders>
              <w:right w:val="nil"/>
            </w:tcBorders>
            <w:vAlign w:val="center"/>
          </w:tcPr>
          <w:p w:rsidR="0088001A" w:rsidRPr="000B1413" w:rsidRDefault="0088001A" w:rsidP="0088001A">
            <w:pPr>
              <w:jc w:val="center"/>
            </w:pPr>
          </w:p>
        </w:tc>
        <w:tc>
          <w:tcPr>
            <w:tcW w:w="3969" w:type="dxa"/>
            <w:tcBorders>
              <w:left w:val="nil"/>
            </w:tcBorders>
            <w:vAlign w:val="center"/>
          </w:tcPr>
          <w:p w:rsidR="0088001A" w:rsidRPr="000B1413" w:rsidRDefault="0088001A" w:rsidP="005B4E8F">
            <w:pPr>
              <w:jc w:val="center"/>
            </w:pPr>
            <w:r w:rsidRPr="000B1413">
              <w:t>25 nm, 15 mm, 6kV</w:t>
            </w:r>
          </w:p>
        </w:tc>
        <w:tc>
          <w:tcPr>
            <w:tcW w:w="1275" w:type="dxa"/>
            <w:vAlign w:val="center"/>
          </w:tcPr>
          <w:p w:rsidR="0088001A" w:rsidRPr="000B1413" w:rsidRDefault="0088001A" w:rsidP="005B4E8F">
            <w:pPr>
              <w:jc w:val="center"/>
            </w:pPr>
            <w:r>
              <w:t>0.000988</w:t>
            </w:r>
          </w:p>
        </w:tc>
        <w:tc>
          <w:tcPr>
            <w:tcW w:w="1560" w:type="dxa"/>
            <w:vAlign w:val="center"/>
          </w:tcPr>
          <w:p w:rsidR="0088001A" w:rsidRPr="000B1413" w:rsidRDefault="0088001A" w:rsidP="005B4E8F">
            <w:pPr>
              <w:jc w:val="center"/>
            </w:pPr>
            <w:r w:rsidRPr="000B1413">
              <w:t>0.4918</w:t>
            </w:r>
          </w:p>
        </w:tc>
        <w:tc>
          <w:tcPr>
            <w:tcW w:w="1417" w:type="dxa"/>
            <w:vAlign w:val="center"/>
          </w:tcPr>
          <w:p w:rsidR="0088001A" w:rsidRPr="000B1413" w:rsidRDefault="0088001A" w:rsidP="005B4E8F">
            <w:pPr>
              <w:jc w:val="center"/>
            </w:pPr>
            <w:r w:rsidRPr="000B1413">
              <w:t>0.9999</w:t>
            </w:r>
          </w:p>
        </w:tc>
      </w:tr>
      <w:tr w:rsidR="0088001A" w:rsidRPr="000B1413" w:rsidTr="0088001A">
        <w:tc>
          <w:tcPr>
            <w:tcW w:w="534" w:type="dxa"/>
            <w:tcBorders>
              <w:right w:val="nil"/>
            </w:tcBorders>
            <w:vAlign w:val="center"/>
          </w:tcPr>
          <w:p w:rsidR="0088001A" w:rsidRPr="000B1413" w:rsidRDefault="0088001A" w:rsidP="0088001A">
            <w:pPr>
              <w:jc w:val="center"/>
            </w:pPr>
          </w:p>
        </w:tc>
        <w:tc>
          <w:tcPr>
            <w:tcW w:w="3969" w:type="dxa"/>
            <w:tcBorders>
              <w:left w:val="nil"/>
            </w:tcBorders>
            <w:vAlign w:val="center"/>
          </w:tcPr>
          <w:p w:rsidR="0088001A" w:rsidRPr="000B1413" w:rsidRDefault="0088001A" w:rsidP="005B4E8F">
            <w:pPr>
              <w:jc w:val="center"/>
            </w:pPr>
            <w:r w:rsidRPr="000B1413">
              <w:t>25 nm, 25 mm, 6kV</w:t>
            </w:r>
          </w:p>
        </w:tc>
        <w:tc>
          <w:tcPr>
            <w:tcW w:w="1275" w:type="dxa"/>
            <w:vAlign w:val="center"/>
          </w:tcPr>
          <w:p w:rsidR="0088001A" w:rsidRPr="000B1413" w:rsidRDefault="0088001A" w:rsidP="005B4E8F">
            <w:pPr>
              <w:jc w:val="center"/>
            </w:pPr>
            <w:r>
              <w:t>0.000126</w:t>
            </w:r>
          </w:p>
        </w:tc>
        <w:tc>
          <w:tcPr>
            <w:tcW w:w="1560" w:type="dxa"/>
            <w:vAlign w:val="center"/>
          </w:tcPr>
          <w:p w:rsidR="0088001A" w:rsidRPr="000B1413" w:rsidRDefault="0088001A" w:rsidP="005B4E8F">
            <w:pPr>
              <w:jc w:val="center"/>
            </w:pPr>
            <w:r w:rsidRPr="000B1413">
              <w:t>0.4933</w:t>
            </w:r>
          </w:p>
        </w:tc>
        <w:tc>
          <w:tcPr>
            <w:tcW w:w="1417" w:type="dxa"/>
            <w:vAlign w:val="center"/>
          </w:tcPr>
          <w:p w:rsidR="0088001A" w:rsidRPr="000B1413" w:rsidRDefault="0088001A" w:rsidP="005B4E8F">
            <w:pPr>
              <w:jc w:val="center"/>
            </w:pPr>
            <w:r w:rsidRPr="000B1413">
              <w:t>1</w:t>
            </w:r>
          </w:p>
        </w:tc>
      </w:tr>
      <w:tr w:rsidR="0088001A" w:rsidRPr="000B1413" w:rsidTr="0088001A">
        <w:tc>
          <w:tcPr>
            <w:tcW w:w="534" w:type="dxa"/>
            <w:tcBorders>
              <w:right w:val="nil"/>
            </w:tcBorders>
            <w:vAlign w:val="center"/>
          </w:tcPr>
          <w:p w:rsidR="0088001A" w:rsidRPr="000B1413" w:rsidRDefault="0088001A" w:rsidP="0088001A">
            <w:pPr>
              <w:jc w:val="center"/>
            </w:pPr>
          </w:p>
        </w:tc>
        <w:tc>
          <w:tcPr>
            <w:tcW w:w="3969" w:type="dxa"/>
            <w:tcBorders>
              <w:left w:val="nil"/>
            </w:tcBorders>
            <w:vAlign w:val="center"/>
          </w:tcPr>
          <w:p w:rsidR="0088001A" w:rsidRPr="000B1413" w:rsidRDefault="0088001A" w:rsidP="005B4E8F">
            <w:pPr>
              <w:jc w:val="center"/>
            </w:pPr>
            <w:r w:rsidRPr="000B1413">
              <w:t>35 nm, 15 mm, 8kV</w:t>
            </w:r>
          </w:p>
        </w:tc>
        <w:tc>
          <w:tcPr>
            <w:tcW w:w="1275" w:type="dxa"/>
            <w:vAlign w:val="center"/>
          </w:tcPr>
          <w:p w:rsidR="0088001A" w:rsidRPr="000B1413" w:rsidRDefault="0088001A" w:rsidP="005B4E8F">
            <w:pPr>
              <w:jc w:val="center"/>
            </w:pPr>
            <w:r>
              <w:t>0.000117</w:t>
            </w:r>
          </w:p>
        </w:tc>
        <w:tc>
          <w:tcPr>
            <w:tcW w:w="1560" w:type="dxa"/>
            <w:vAlign w:val="center"/>
          </w:tcPr>
          <w:p w:rsidR="0088001A" w:rsidRPr="000B1413" w:rsidRDefault="0088001A" w:rsidP="005B4E8F">
            <w:pPr>
              <w:jc w:val="center"/>
            </w:pPr>
            <w:r w:rsidRPr="000B1413">
              <w:t>0.4952</w:t>
            </w:r>
          </w:p>
        </w:tc>
        <w:tc>
          <w:tcPr>
            <w:tcW w:w="1417" w:type="dxa"/>
            <w:vAlign w:val="center"/>
          </w:tcPr>
          <w:p w:rsidR="0088001A" w:rsidRPr="000B1413" w:rsidRDefault="0088001A" w:rsidP="005B4E8F">
            <w:pPr>
              <w:jc w:val="center"/>
            </w:pPr>
            <w:r w:rsidRPr="000B1413">
              <w:t>1</w:t>
            </w:r>
          </w:p>
        </w:tc>
      </w:tr>
      <w:tr w:rsidR="0088001A" w:rsidRPr="000B1413" w:rsidTr="0088001A">
        <w:trPr>
          <w:trHeight w:val="421"/>
        </w:trPr>
        <w:tc>
          <w:tcPr>
            <w:tcW w:w="534" w:type="dxa"/>
            <w:tcBorders>
              <w:right w:val="nil"/>
            </w:tcBorders>
            <w:vAlign w:val="center"/>
          </w:tcPr>
          <w:p w:rsidR="0088001A" w:rsidRPr="000B1413" w:rsidRDefault="0088001A" w:rsidP="0088001A">
            <w:pPr>
              <w:jc w:val="center"/>
            </w:pPr>
          </w:p>
        </w:tc>
        <w:tc>
          <w:tcPr>
            <w:tcW w:w="3969" w:type="dxa"/>
            <w:tcBorders>
              <w:left w:val="nil"/>
            </w:tcBorders>
            <w:vAlign w:val="center"/>
          </w:tcPr>
          <w:p w:rsidR="0088001A" w:rsidRPr="000B1413" w:rsidRDefault="0088001A" w:rsidP="005B4E8F">
            <w:pPr>
              <w:jc w:val="center"/>
            </w:pPr>
            <w:r w:rsidRPr="000B1413">
              <w:t>35 nm, 25 mm, 8kV</w:t>
            </w:r>
          </w:p>
        </w:tc>
        <w:tc>
          <w:tcPr>
            <w:tcW w:w="1275" w:type="dxa"/>
            <w:vAlign w:val="center"/>
          </w:tcPr>
          <w:p w:rsidR="0088001A" w:rsidRPr="000B1413" w:rsidRDefault="0088001A" w:rsidP="005B4E8F">
            <w:pPr>
              <w:jc w:val="center"/>
            </w:pPr>
            <w:r>
              <w:t>0.000151</w:t>
            </w:r>
          </w:p>
        </w:tc>
        <w:tc>
          <w:tcPr>
            <w:tcW w:w="1560" w:type="dxa"/>
            <w:vAlign w:val="center"/>
          </w:tcPr>
          <w:p w:rsidR="0088001A" w:rsidRPr="000B1413" w:rsidRDefault="0088001A" w:rsidP="005B4E8F">
            <w:pPr>
              <w:jc w:val="center"/>
            </w:pPr>
            <w:r w:rsidRPr="000B1413">
              <w:t>0.4884</w:t>
            </w:r>
          </w:p>
        </w:tc>
        <w:tc>
          <w:tcPr>
            <w:tcW w:w="1417" w:type="dxa"/>
            <w:vAlign w:val="center"/>
          </w:tcPr>
          <w:p w:rsidR="0088001A" w:rsidRPr="000B1413" w:rsidRDefault="0088001A" w:rsidP="005B4E8F">
            <w:pPr>
              <w:jc w:val="center"/>
            </w:pPr>
            <w:r w:rsidRPr="000B1413">
              <w:t>0.9998</w:t>
            </w:r>
          </w:p>
        </w:tc>
      </w:tr>
    </w:tbl>
    <w:p w:rsidR="00386321" w:rsidRDefault="00386321" w:rsidP="001055F1">
      <w:pPr>
        <w:spacing w:line="240" w:lineRule="auto"/>
      </w:pPr>
    </w:p>
    <w:tbl>
      <w:tblPr>
        <w:tblStyle w:val="TableGrid"/>
        <w:tblW w:w="8755" w:type="dxa"/>
        <w:tblLook w:val="04A0" w:firstRow="1" w:lastRow="0" w:firstColumn="1" w:lastColumn="0" w:noHBand="0" w:noVBand="1"/>
      </w:tblPr>
      <w:tblGrid>
        <w:gridCol w:w="534"/>
        <w:gridCol w:w="3969"/>
        <w:gridCol w:w="1275"/>
        <w:gridCol w:w="1560"/>
        <w:gridCol w:w="1417"/>
      </w:tblGrid>
      <w:tr w:rsidR="0088001A" w:rsidTr="0088001A">
        <w:tc>
          <w:tcPr>
            <w:tcW w:w="534" w:type="dxa"/>
            <w:tcBorders>
              <w:right w:val="nil"/>
            </w:tcBorders>
            <w:vAlign w:val="center"/>
          </w:tcPr>
          <w:p w:rsidR="0088001A" w:rsidRPr="0088001A" w:rsidRDefault="0088001A" w:rsidP="0088001A">
            <w:pPr>
              <w:jc w:val="center"/>
              <w:rPr>
                <w:b/>
              </w:rPr>
            </w:pPr>
            <w:r w:rsidRPr="0088001A">
              <w:rPr>
                <w:b/>
              </w:rPr>
              <w:t>b)</w:t>
            </w:r>
          </w:p>
        </w:tc>
        <w:tc>
          <w:tcPr>
            <w:tcW w:w="3969" w:type="dxa"/>
            <w:tcBorders>
              <w:left w:val="nil"/>
            </w:tcBorders>
            <w:vAlign w:val="center"/>
          </w:tcPr>
          <w:p w:rsidR="0088001A" w:rsidRPr="0088001A" w:rsidRDefault="0088001A" w:rsidP="005B4E8F">
            <w:pPr>
              <w:jc w:val="center"/>
              <w:rPr>
                <w:i/>
                <w:lang w:val="en-US"/>
              </w:rPr>
            </w:pPr>
            <w:r w:rsidRPr="00386321">
              <w:rPr>
                <w:lang w:val="en-US"/>
              </w:rPr>
              <w:t>D</w:t>
            </w:r>
            <w:r>
              <w:rPr>
                <w:lang w:val="en-US"/>
              </w:rPr>
              <w:t>istance between inlet and plate</w:t>
            </w:r>
            <w:r w:rsidRPr="00386321">
              <w:rPr>
                <w:lang w:val="en-US"/>
              </w:rPr>
              <w:t xml:space="preserve"> </w:t>
            </w:r>
            <w:r>
              <w:rPr>
                <w:lang w:val="en-US"/>
              </w:rPr>
              <w:t>(</w:t>
            </w:r>
            <w:r w:rsidRPr="00386321">
              <w:rPr>
                <w:i/>
                <w:lang w:val="en-US"/>
              </w:rPr>
              <w:t>h</w:t>
            </w:r>
            <w:r w:rsidRPr="0088001A">
              <w:rPr>
                <w:lang w:val="en-US"/>
              </w:rPr>
              <w:t>)</w:t>
            </w:r>
          </w:p>
        </w:tc>
        <w:tc>
          <w:tcPr>
            <w:tcW w:w="1275" w:type="dxa"/>
            <w:vAlign w:val="center"/>
          </w:tcPr>
          <w:p w:rsidR="0088001A" w:rsidRDefault="0088001A" w:rsidP="005B4E8F">
            <w:pPr>
              <w:jc w:val="center"/>
            </w:pPr>
            <m:oMathPara>
              <m:oMath>
                <m:r>
                  <w:rPr>
                    <w:rFonts w:ascii="Cambria Math" w:hAnsi="Cambria Math"/>
                  </w:rPr>
                  <m:t>a</m:t>
                </m:r>
              </m:oMath>
            </m:oMathPara>
          </w:p>
        </w:tc>
        <w:tc>
          <w:tcPr>
            <w:tcW w:w="1560" w:type="dxa"/>
            <w:vAlign w:val="center"/>
          </w:tcPr>
          <w:p w:rsidR="0088001A" w:rsidRDefault="0088001A" w:rsidP="005B4E8F">
            <w:pPr>
              <w:jc w:val="center"/>
            </w:pPr>
            <m:oMathPara>
              <m:oMath>
                <m:r>
                  <w:rPr>
                    <w:rFonts w:ascii="Cambria Math" w:hAnsi="Cambria Math"/>
                  </w:rPr>
                  <m:t>b</m:t>
                </m:r>
              </m:oMath>
            </m:oMathPara>
          </w:p>
        </w:tc>
        <w:tc>
          <w:tcPr>
            <w:tcW w:w="1417" w:type="dxa"/>
            <w:vAlign w:val="center"/>
          </w:tcPr>
          <w:p w:rsidR="0088001A" w:rsidRDefault="00441312" w:rsidP="0088001A">
            <w:pPr>
              <w:jc w:val="cente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r>
      <w:tr w:rsidR="0088001A" w:rsidTr="0088001A">
        <w:tc>
          <w:tcPr>
            <w:tcW w:w="534" w:type="dxa"/>
            <w:tcBorders>
              <w:right w:val="nil"/>
            </w:tcBorders>
            <w:vAlign w:val="center"/>
          </w:tcPr>
          <w:p w:rsidR="0088001A" w:rsidRDefault="0088001A" w:rsidP="0088001A">
            <w:pPr>
              <w:jc w:val="center"/>
            </w:pPr>
          </w:p>
        </w:tc>
        <w:tc>
          <w:tcPr>
            <w:tcW w:w="3969" w:type="dxa"/>
            <w:tcBorders>
              <w:left w:val="nil"/>
            </w:tcBorders>
            <w:vAlign w:val="center"/>
          </w:tcPr>
          <w:p w:rsidR="0088001A" w:rsidRDefault="0088001A" w:rsidP="005B4E8F">
            <w:pPr>
              <w:jc w:val="center"/>
            </w:pPr>
            <w:r>
              <w:t>1.68 slm, 25 nm 6 kV</w:t>
            </w:r>
          </w:p>
        </w:tc>
        <w:tc>
          <w:tcPr>
            <w:tcW w:w="1275" w:type="dxa"/>
            <w:vAlign w:val="center"/>
          </w:tcPr>
          <w:p w:rsidR="0088001A" w:rsidRDefault="0088001A" w:rsidP="005B4E8F">
            <w:pPr>
              <w:jc w:val="center"/>
            </w:pPr>
            <w:r>
              <w:t>2.163</w:t>
            </w:r>
          </w:p>
        </w:tc>
        <w:tc>
          <w:tcPr>
            <w:tcW w:w="1560" w:type="dxa"/>
            <w:vAlign w:val="center"/>
          </w:tcPr>
          <w:p w:rsidR="0088001A" w:rsidRDefault="0088001A" w:rsidP="005B4E8F">
            <w:pPr>
              <w:jc w:val="center"/>
            </w:pPr>
            <w:r>
              <w:t>0.4693</w:t>
            </w:r>
          </w:p>
        </w:tc>
        <w:tc>
          <w:tcPr>
            <w:tcW w:w="1417" w:type="dxa"/>
            <w:vAlign w:val="center"/>
          </w:tcPr>
          <w:p w:rsidR="0088001A" w:rsidRDefault="0088001A" w:rsidP="005B4E8F">
            <w:pPr>
              <w:jc w:val="center"/>
            </w:pPr>
            <w:r>
              <w:t>0.9973</w:t>
            </w:r>
          </w:p>
        </w:tc>
      </w:tr>
      <w:tr w:rsidR="0088001A" w:rsidTr="0088001A">
        <w:tc>
          <w:tcPr>
            <w:tcW w:w="534" w:type="dxa"/>
            <w:tcBorders>
              <w:right w:val="nil"/>
            </w:tcBorders>
            <w:vAlign w:val="center"/>
          </w:tcPr>
          <w:p w:rsidR="0088001A" w:rsidRDefault="0088001A" w:rsidP="0088001A">
            <w:pPr>
              <w:jc w:val="center"/>
            </w:pPr>
          </w:p>
        </w:tc>
        <w:tc>
          <w:tcPr>
            <w:tcW w:w="3969" w:type="dxa"/>
            <w:tcBorders>
              <w:left w:val="nil"/>
            </w:tcBorders>
            <w:vAlign w:val="center"/>
          </w:tcPr>
          <w:p w:rsidR="0088001A" w:rsidRDefault="0088001A" w:rsidP="005B4E8F">
            <w:pPr>
              <w:jc w:val="center"/>
            </w:pPr>
            <w:r>
              <w:t>1.68 slm, 25 nm 8 kV</w:t>
            </w:r>
          </w:p>
        </w:tc>
        <w:tc>
          <w:tcPr>
            <w:tcW w:w="1275" w:type="dxa"/>
            <w:vAlign w:val="center"/>
          </w:tcPr>
          <w:p w:rsidR="0088001A" w:rsidRDefault="0088001A" w:rsidP="005B4E8F">
            <w:pPr>
              <w:jc w:val="center"/>
            </w:pPr>
            <w:r>
              <w:t>1.858</w:t>
            </w:r>
          </w:p>
        </w:tc>
        <w:tc>
          <w:tcPr>
            <w:tcW w:w="1560" w:type="dxa"/>
            <w:vAlign w:val="center"/>
          </w:tcPr>
          <w:p w:rsidR="0088001A" w:rsidRDefault="0088001A" w:rsidP="005B4E8F">
            <w:pPr>
              <w:jc w:val="center"/>
            </w:pPr>
            <w:r>
              <w:t>0.4712</w:t>
            </w:r>
          </w:p>
        </w:tc>
        <w:tc>
          <w:tcPr>
            <w:tcW w:w="1417" w:type="dxa"/>
            <w:vAlign w:val="center"/>
          </w:tcPr>
          <w:p w:rsidR="0088001A" w:rsidRDefault="0088001A" w:rsidP="005B4E8F">
            <w:pPr>
              <w:jc w:val="center"/>
            </w:pPr>
            <w:r>
              <w:t>0.9996</w:t>
            </w:r>
          </w:p>
        </w:tc>
      </w:tr>
      <w:tr w:rsidR="0088001A" w:rsidTr="0088001A">
        <w:tc>
          <w:tcPr>
            <w:tcW w:w="534" w:type="dxa"/>
            <w:tcBorders>
              <w:right w:val="nil"/>
            </w:tcBorders>
            <w:vAlign w:val="center"/>
          </w:tcPr>
          <w:p w:rsidR="0088001A" w:rsidRDefault="0088001A" w:rsidP="0088001A">
            <w:pPr>
              <w:jc w:val="center"/>
            </w:pPr>
          </w:p>
        </w:tc>
        <w:tc>
          <w:tcPr>
            <w:tcW w:w="3969" w:type="dxa"/>
            <w:tcBorders>
              <w:left w:val="nil"/>
            </w:tcBorders>
            <w:vAlign w:val="center"/>
          </w:tcPr>
          <w:p w:rsidR="0088001A" w:rsidRDefault="0088001A" w:rsidP="005B4E8F">
            <w:pPr>
              <w:jc w:val="center"/>
            </w:pPr>
            <w:r>
              <w:t>1.68 slm, 35 nm, 6 kV</w:t>
            </w:r>
          </w:p>
        </w:tc>
        <w:tc>
          <w:tcPr>
            <w:tcW w:w="1275" w:type="dxa"/>
            <w:vAlign w:val="center"/>
          </w:tcPr>
          <w:p w:rsidR="0088001A" w:rsidRDefault="0088001A" w:rsidP="005B4E8F">
            <w:pPr>
              <w:jc w:val="center"/>
            </w:pPr>
            <w:r>
              <w:t>3.003</w:t>
            </w:r>
          </w:p>
        </w:tc>
        <w:tc>
          <w:tcPr>
            <w:tcW w:w="1560" w:type="dxa"/>
            <w:vAlign w:val="center"/>
          </w:tcPr>
          <w:p w:rsidR="0088001A" w:rsidRDefault="0088001A" w:rsidP="005B4E8F">
            <w:pPr>
              <w:jc w:val="center"/>
            </w:pPr>
            <w:r>
              <w:t>0.4649</w:t>
            </w:r>
          </w:p>
        </w:tc>
        <w:tc>
          <w:tcPr>
            <w:tcW w:w="1417" w:type="dxa"/>
            <w:vAlign w:val="center"/>
          </w:tcPr>
          <w:p w:rsidR="0088001A" w:rsidRDefault="0088001A" w:rsidP="005B4E8F">
            <w:pPr>
              <w:jc w:val="center"/>
            </w:pPr>
            <w:r>
              <w:t>0.9991</w:t>
            </w:r>
          </w:p>
        </w:tc>
      </w:tr>
      <w:tr w:rsidR="0088001A" w:rsidTr="0088001A">
        <w:tc>
          <w:tcPr>
            <w:tcW w:w="534" w:type="dxa"/>
            <w:tcBorders>
              <w:right w:val="nil"/>
            </w:tcBorders>
            <w:vAlign w:val="center"/>
          </w:tcPr>
          <w:p w:rsidR="0088001A" w:rsidRDefault="0088001A" w:rsidP="0088001A">
            <w:pPr>
              <w:jc w:val="center"/>
            </w:pPr>
          </w:p>
        </w:tc>
        <w:tc>
          <w:tcPr>
            <w:tcW w:w="3969" w:type="dxa"/>
            <w:tcBorders>
              <w:left w:val="nil"/>
            </w:tcBorders>
            <w:vAlign w:val="center"/>
          </w:tcPr>
          <w:p w:rsidR="0088001A" w:rsidRDefault="0088001A" w:rsidP="005B4E8F">
            <w:pPr>
              <w:jc w:val="center"/>
            </w:pPr>
            <w:r>
              <w:t>1.68 slm, 35 nm, 8 kV</w:t>
            </w:r>
          </w:p>
        </w:tc>
        <w:tc>
          <w:tcPr>
            <w:tcW w:w="1275" w:type="dxa"/>
            <w:vAlign w:val="center"/>
          </w:tcPr>
          <w:p w:rsidR="0088001A" w:rsidRDefault="0088001A" w:rsidP="005B4E8F">
            <w:pPr>
              <w:jc w:val="center"/>
            </w:pPr>
            <w:r>
              <w:t>2.598</w:t>
            </w:r>
          </w:p>
        </w:tc>
        <w:tc>
          <w:tcPr>
            <w:tcW w:w="1560" w:type="dxa"/>
            <w:vAlign w:val="center"/>
          </w:tcPr>
          <w:p w:rsidR="0088001A" w:rsidRDefault="0088001A" w:rsidP="005B4E8F">
            <w:pPr>
              <w:jc w:val="center"/>
            </w:pPr>
            <w:r>
              <w:t>0.4663</w:t>
            </w:r>
          </w:p>
        </w:tc>
        <w:tc>
          <w:tcPr>
            <w:tcW w:w="1417" w:type="dxa"/>
            <w:vAlign w:val="center"/>
          </w:tcPr>
          <w:p w:rsidR="0088001A" w:rsidRDefault="0088001A" w:rsidP="005B4E8F">
            <w:pPr>
              <w:jc w:val="center"/>
            </w:pPr>
            <w:r>
              <w:t>0.9991</w:t>
            </w:r>
          </w:p>
        </w:tc>
      </w:tr>
    </w:tbl>
    <w:p w:rsidR="00386321" w:rsidRDefault="00386321" w:rsidP="00386321"/>
    <w:tbl>
      <w:tblPr>
        <w:tblStyle w:val="TableGrid"/>
        <w:tblW w:w="8755" w:type="dxa"/>
        <w:tblLook w:val="04A0" w:firstRow="1" w:lastRow="0" w:firstColumn="1" w:lastColumn="0" w:noHBand="0" w:noVBand="1"/>
      </w:tblPr>
      <w:tblGrid>
        <w:gridCol w:w="534"/>
        <w:gridCol w:w="3969"/>
        <w:gridCol w:w="1275"/>
        <w:gridCol w:w="1560"/>
        <w:gridCol w:w="1417"/>
      </w:tblGrid>
      <w:tr w:rsidR="001055F1" w:rsidTr="0088001A">
        <w:tc>
          <w:tcPr>
            <w:tcW w:w="534" w:type="dxa"/>
            <w:tcBorders>
              <w:right w:val="nil"/>
            </w:tcBorders>
            <w:vAlign w:val="center"/>
          </w:tcPr>
          <w:p w:rsidR="001055F1" w:rsidRPr="001055F1" w:rsidRDefault="001055F1" w:rsidP="0088001A">
            <w:pPr>
              <w:jc w:val="center"/>
              <w:rPr>
                <w:b/>
              </w:rPr>
            </w:pPr>
            <w:r w:rsidRPr="001055F1">
              <w:rPr>
                <w:b/>
              </w:rPr>
              <w:t>c)</w:t>
            </w:r>
          </w:p>
        </w:tc>
        <w:tc>
          <w:tcPr>
            <w:tcW w:w="3969" w:type="dxa"/>
            <w:tcBorders>
              <w:left w:val="nil"/>
            </w:tcBorders>
            <w:vAlign w:val="center"/>
          </w:tcPr>
          <w:p w:rsidR="001055F1" w:rsidRPr="000B1413" w:rsidRDefault="001055F1" w:rsidP="005B4E8F">
            <w:pPr>
              <w:jc w:val="center"/>
            </w:pPr>
            <w:r>
              <w:t>Applied electric potential</w:t>
            </w:r>
            <w:r w:rsidRPr="000B1413">
              <w:t xml:space="preserve"> </w:t>
            </w:r>
            <w:r w:rsidR="0088001A">
              <w:t>(</w:t>
            </w:r>
            <w:r w:rsidRPr="00394869">
              <w:rPr>
                <w:rFonts w:cs="Times New Roman"/>
                <w:i/>
              </w:rPr>
              <w:t>φ</w:t>
            </w:r>
            <w:r w:rsidR="0088001A">
              <w:t>)</w:t>
            </w:r>
          </w:p>
        </w:tc>
        <w:tc>
          <w:tcPr>
            <w:tcW w:w="1275" w:type="dxa"/>
            <w:vAlign w:val="center"/>
          </w:tcPr>
          <w:p w:rsidR="001055F1" w:rsidRPr="000B1413" w:rsidRDefault="0088001A" w:rsidP="005B4E8F">
            <w:pPr>
              <w:jc w:val="center"/>
            </w:pPr>
            <m:oMathPara>
              <m:oMath>
                <m:r>
                  <w:rPr>
                    <w:rFonts w:ascii="Cambria Math" w:hAnsi="Cambria Math"/>
                  </w:rPr>
                  <m:t>a</m:t>
                </m:r>
              </m:oMath>
            </m:oMathPara>
          </w:p>
        </w:tc>
        <w:tc>
          <w:tcPr>
            <w:tcW w:w="1560" w:type="dxa"/>
            <w:vAlign w:val="center"/>
          </w:tcPr>
          <w:p w:rsidR="001055F1" w:rsidRPr="0088001A" w:rsidRDefault="0088001A" w:rsidP="005B4E8F">
            <w:pPr>
              <w:jc w:val="center"/>
              <w:rPr>
                <w:i/>
              </w:rPr>
            </w:pPr>
            <m:oMathPara>
              <m:oMath>
                <m:r>
                  <w:rPr>
                    <w:rFonts w:ascii="Cambria Math" w:hAnsi="Cambria Math"/>
                  </w:rPr>
                  <m:t>b</m:t>
                </m:r>
              </m:oMath>
            </m:oMathPara>
          </w:p>
        </w:tc>
        <w:tc>
          <w:tcPr>
            <w:tcW w:w="1417" w:type="dxa"/>
            <w:vAlign w:val="center"/>
          </w:tcPr>
          <w:p w:rsidR="001055F1" w:rsidRPr="0088001A" w:rsidRDefault="00441312" w:rsidP="0088001A">
            <w:pPr>
              <w:jc w:val="center"/>
              <w:rPr>
                <w:i/>
              </w:rP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r>
      <w:tr w:rsidR="001055F1" w:rsidTr="0088001A">
        <w:tc>
          <w:tcPr>
            <w:tcW w:w="534" w:type="dxa"/>
            <w:tcBorders>
              <w:right w:val="nil"/>
            </w:tcBorders>
            <w:vAlign w:val="center"/>
          </w:tcPr>
          <w:p w:rsidR="001055F1" w:rsidRPr="000B1413" w:rsidRDefault="001055F1" w:rsidP="0088001A">
            <w:pPr>
              <w:jc w:val="center"/>
            </w:pPr>
          </w:p>
        </w:tc>
        <w:tc>
          <w:tcPr>
            <w:tcW w:w="3969" w:type="dxa"/>
            <w:tcBorders>
              <w:left w:val="nil"/>
            </w:tcBorders>
            <w:vAlign w:val="center"/>
          </w:tcPr>
          <w:p w:rsidR="001055F1" w:rsidRPr="000B1413" w:rsidRDefault="001055F1" w:rsidP="005B4E8F">
            <w:pPr>
              <w:jc w:val="center"/>
            </w:pPr>
            <w:r w:rsidRPr="000B1413">
              <w:t xml:space="preserve">1.68 </w:t>
            </w:r>
            <w:r>
              <w:t>slm</w:t>
            </w:r>
            <w:r w:rsidRPr="000B1413">
              <w:t>, 25 nm, 15 mm</w:t>
            </w:r>
          </w:p>
        </w:tc>
        <w:tc>
          <w:tcPr>
            <w:tcW w:w="1275" w:type="dxa"/>
            <w:vAlign w:val="center"/>
          </w:tcPr>
          <w:p w:rsidR="001055F1" w:rsidRPr="000B1413" w:rsidRDefault="001055F1" w:rsidP="005B4E8F">
            <w:pPr>
              <w:jc w:val="center"/>
            </w:pPr>
            <w:r>
              <w:t>603</w:t>
            </w:r>
          </w:p>
        </w:tc>
        <w:tc>
          <w:tcPr>
            <w:tcW w:w="1560" w:type="dxa"/>
            <w:vAlign w:val="center"/>
          </w:tcPr>
          <w:p w:rsidR="001055F1" w:rsidRDefault="001055F1" w:rsidP="005B4E8F">
            <w:pPr>
              <w:jc w:val="center"/>
            </w:pPr>
            <w:r>
              <w:t>-0.5023</w:t>
            </w:r>
          </w:p>
        </w:tc>
        <w:tc>
          <w:tcPr>
            <w:tcW w:w="1417" w:type="dxa"/>
            <w:vAlign w:val="center"/>
          </w:tcPr>
          <w:p w:rsidR="001055F1" w:rsidRDefault="001055F1" w:rsidP="005B4E8F">
            <w:pPr>
              <w:jc w:val="center"/>
            </w:pPr>
            <w:r>
              <w:t>0.9999</w:t>
            </w:r>
          </w:p>
        </w:tc>
      </w:tr>
      <w:tr w:rsidR="001055F1" w:rsidTr="0088001A">
        <w:tc>
          <w:tcPr>
            <w:tcW w:w="534" w:type="dxa"/>
            <w:tcBorders>
              <w:right w:val="nil"/>
            </w:tcBorders>
            <w:vAlign w:val="center"/>
          </w:tcPr>
          <w:p w:rsidR="001055F1" w:rsidRPr="000B1413" w:rsidRDefault="001055F1" w:rsidP="0088001A">
            <w:pPr>
              <w:jc w:val="center"/>
            </w:pPr>
          </w:p>
        </w:tc>
        <w:tc>
          <w:tcPr>
            <w:tcW w:w="3969" w:type="dxa"/>
            <w:tcBorders>
              <w:left w:val="nil"/>
            </w:tcBorders>
            <w:vAlign w:val="center"/>
          </w:tcPr>
          <w:p w:rsidR="001055F1" w:rsidRPr="000B1413" w:rsidRDefault="001055F1" w:rsidP="005B4E8F">
            <w:pPr>
              <w:jc w:val="center"/>
            </w:pPr>
            <w:r w:rsidRPr="000B1413">
              <w:t xml:space="preserve">1.68 </w:t>
            </w:r>
            <w:r>
              <w:t>slm</w:t>
            </w:r>
            <w:r w:rsidRPr="000B1413">
              <w:t>, 35 nm, 15 mm</w:t>
            </w:r>
          </w:p>
        </w:tc>
        <w:tc>
          <w:tcPr>
            <w:tcW w:w="1275" w:type="dxa"/>
            <w:vAlign w:val="center"/>
          </w:tcPr>
          <w:p w:rsidR="001055F1" w:rsidRPr="000B1413" w:rsidRDefault="001055F1" w:rsidP="005B4E8F">
            <w:pPr>
              <w:jc w:val="center"/>
            </w:pPr>
            <w:r>
              <w:t>844</w:t>
            </w:r>
          </w:p>
        </w:tc>
        <w:tc>
          <w:tcPr>
            <w:tcW w:w="1560" w:type="dxa"/>
            <w:vAlign w:val="center"/>
          </w:tcPr>
          <w:p w:rsidR="001055F1" w:rsidRDefault="001055F1" w:rsidP="005B4E8F">
            <w:pPr>
              <w:jc w:val="center"/>
            </w:pPr>
            <w:r>
              <w:t>-0.5038</w:t>
            </w:r>
          </w:p>
        </w:tc>
        <w:tc>
          <w:tcPr>
            <w:tcW w:w="1417" w:type="dxa"/>
            <w:vAlign w:val="center"/>
          </w:tcPr>
          <w:p w:rsidR="001055F1" w:rsidRDefault="001055F1" w:rsidP="005B4E8F">
            <w:pPr>
              <w:jc w:val="center"/>
            </w:pPr>
            <w:r>
              <w:t>0.9999</w:t>
            </w:r>
          </w:p>
        </w:tc>
      </w:tr>
      <w:tr w:rsidR="001055F1" w:rsidTr="0088001A">
        <w:tc>
          <w:tcPr>
            <w:tcW w:w="534" w:type="dxa"/>
            <w:tcBorders>
              <w:right w:val="nil"/>
            </w:tcBorders>
            <w:vAlign w:val="center"/>
          </w:tcPr>
          <w:p w:rsidR="001055F1" w:rsidRDefault="001055F1" w:rsidP="0088001A">
            <w:pPr>
              <w:jc w:val="center"/>
            </w:pPr>
          </w:p>
        </w:tc>
        <w:tc>
          <w:tcPr>
            <w:tcW w:w="3969" w:type="dxa"/>
            <w:tcBorders>
              <w:left w:val="nil"/>
            </w:tcBorders>
            <w:vAlign w:val="center"/>
          </w:tcPr>
          <w:p w:rsidR="001055F1" w:rsidRDefault="001055F1" w:rsidP="005B4E8F">
            <w:pPr>
              <w:jc w:val="center"/>
            </w:pPr>
            <w:r>
              <w:t>1.68 slm, 25 nm, 25 mm</w:t>
            </w:r>
          </w:p>
        </w:tc>
        <w:tc>
          <w:tcPr>
            <w:tcW w:w="1275" w:type="dxa"/>
            <w:vAlign w:val="center"/>
          </w:tcPr>
          <w:p w:rsidR="001055F1" w:rsidRDefault="001055F1" w:rsidP="005B4E8F">
            <w:pPr>
              <w:jc w:val="center"/>
            </w:pPr>
            <w:r>
              <w:t>754</w:t>
            </w:r>
          </w:p>
        </w:tc>
        <w:tc>
          <w:tcPr>
            <w:tcW w:w="1560" w:type="dxa"/>
            <w:vAlign w:val="center"/>
          </w:tcPr>
          <w:p w:rsidR="001055F1" w:rsidRDefault="001055F1" w:rsidP="005B4E8F">
            <w:pPr>
              <w:jc w:val="center"/>
            </w:pPr>
            <w:r>
              <w:t>-0.4986</w:t>
            </w:r>
          </w:p>
        </w:tc>
        <w:tc>
          <w:tcPr>
            <w:tcW w:w="1417" w:type="dxa"/>
            <w:vAlign w:val="center"/>
          </w:tcPr>
          <w:p w:rsidR="001055F1" w:rsidRDefault="001055F1" w:rsidP="005B4E8F">
            <w:pPr>
              <w:jc w:val="center"/>
            </w:pPr>
            <w:r>
              <w:t>0.9999</w:t>
            </w:r>
          </w:p>
        </w:tc>
      </w:tr>
      <w:tr w:rsidR="001055F1" w:rsidTr="0088001A">
        <w:tc>
          <w:tcPr>
            <w:tcW w:w="534" w:type="dxa"/>
            <w:tcBorders>
              <w:right w:val="nil"/>
            </w:tcBorders>
            <w:vAlign w:val="center"/>
          </w:tcPr>
          <w:p w:rsidR="001055F1" w:rsidRDefault="001055F1" w:rsidP="0088001A">
            <w:pPr>
              <w:jc w:val="center"/>
            </w:pPr>
          </w:p>
        </w:tc>
        <w:tc>
          <w:tcPr>
            <w:tcW w:w="3969" w:type="dxa"/>
            <w:tcBorders>
              <w:left w:val="nil"/>
            </w:tcBorders>
            <w:vAlign w:val="center"/>
          </w:tcPr>
          <w:p w:rsidR="001055F1" w:rsidRDefault="001055F1" w:rsidP="005B4E8F">
            <w:pPr>
              <w:jc w:val="center"/>
            </w:pPr>
            <w:r>
              <w:t>1.68 slm, 35 nm, 25 mm</w:t>
            </w:r>
          </w:p>
        </w:tc>
        <w:tc>
          <w:tcPr>
            <w:tcW w:w="1275" w:type="dxa"/>
            <w:vAlign w:val="center"/>
          </w:tcPr>
          <w:p w:rsidR="001055F1" w:rsidRDefault="001055F1" w:rsidP="005B4E8F">
            <w:pPr>
              <w:jc w:val="center"/>
            </w:pPr>
            <w:r>
              <w:t>972</w:t>
            </w:r>
          </w:p>
        </w:tc>
        <w:tc>
          <w:tcPr>
            <w:tcW w:w="1560" w:type="dxa"/>
            <w:vAlign w:val="center"/>
          </w:tcPr>
          <w:p w:rsidR="001055F1" w:rsidRDefault="001055F1" w:rsidP="005B4E8F">
            <w:pPr>
              <w:jc w:val="center"/>
            </w:pPr>
            <w:r>
              <w:t>-0.4907</w:t>
            </w:r>
          </w:p>
        </w:tc>
        <w:tc>
          <w:tcPr>
            <w:tcW w:w="1417" w:type="dxa"/>
            <w:vAlign w:val="center"/>
          </w:tcPr>
          <w:p w:rsidR="001055F1" w:rsidRDefault="001055F1" w:rsidP="005B4E8F">
            <w:pPr>
              <w:jc w:val="center"/>
            </w:pPr>
            <w:r>
              <w:t>0.9997</w:t>
            </w:r>
          </w:p>
        </w:tc>
      </w:tr>
    </w:tbl>
    <w:p w:rsidR="00386321" w:rsidRDefault="00386321" w:rsidP="00386321"/>
    <w:tbl>
      <w:tblPr>
        <w:tblStyle w:val="TableGrid"/>
        <w:tblW w:w="0" w:type="auto"/>
        <w:tblLook w:val="04A0" w:firstRow="1" w:lastRow="0" w:firstColumn="1" w:lastColumn="0" w:noHBand="0" w:noVBand="1"/>
      </w:tblPr>
      <w:tblGrid>
        <w:gridCol w:w="503"/>
        <w:gridCol w:w="4016"/>
        <w:gridCol w:w="1271"/>
        <w:gridCol w:w="1512"/>
        <w:gridCol w:w="1419"/>
      </w:tblGrid>
      <w:tr w:rsidR="001055F1" w:rsidTr="0088001A">
        <w:trPr>
          <w:trHeight w:val="420"/>
        </w:trPr>
        <w:tc>
          <w:tcPr>
            <w:tcW w:w="503" w:type="dxa"/>
            <w:tcBorders>
              <w:right w:val="nil"/>
            </w:tcBorders>
            <w:vAlign w:val="center"/>
          </w:tcPr>
          <w:p w:rsidR="001055F1" w:rsidRPr="001055F1" w:rsidRDefault="001055F1" w:rsidP="0088001A">
            <w:pPr>
              <w:jc w:val="center"/>
              <w:rPr>
                <w:b/>
              </w:rPr>
            </w:pPr>
            <w:r>
              <w:rPr>
                <w:b/>
              </w:rPr>
              <w:t>d)</w:t>
            </w:r>
          </w:p>
        </w:tc>
        <w:tc>
          <w:tcPr>
            <w:tcW w:w="4016" w:type="dxa"/>
            <w:tcBorders>
              <w:left w:val="nil"/>
            </w:tcBorders>
            <w:vAlign w:val="bottom"/>
          </w:tcPr>
          <w:p w:rsidR="001055F1" w:rsidRPr="0088001A" w:rsidRDefault="0088001A" w:rsidP="001055F1">
            <w:pPr>
              <w:jc w:val="center"/>
            </w:pPr>
            <w:r>
              <w:t>Electrical mobility</w:t>
            </w:r>
            <w:r w:rsidR="001055F1">
              <w:t xml:space="preserve"> </w:t>
            </w:r>
            <w:r>
              <w:t>(</w:t>
            </w:r>
            <w:r w:rsidR="001055F1">
              <w:rPr>
                <w:i/>
              </w:rPr>
              <w:t>Z</w:t>
            </w:r>
            <w:r>
              <w:t>)</w:t>
            </w:r>
          </w:p>
        </w:tc>
        <w:tc>
          <w:tcPr>
            <w:tcW w:w="1271" w:type="dxa"/>
            <w:vAlign w:val="center"/>
          </w:tcPr>
          <w:p w:rsidR="001055F1" w:rsidRPr="0088001A" w:rsidRDefault="0088001A" w:rsidP="005B4E8F">
            <w:pPr>
              <w:jc w:val="center"/>
              <w:rPr>
                <w:i/>
              </w:rPr>
            </w:pPr>
            <m:oMathPara>
              <m:oMath>
                <m:r>
                  <w:rPr>
                    <w:rFonts w:ascii="Cambria Math" w:hAnsi="Cambria Math"/>
                  </w:rPr>
                  <m:t>a</m:t>
                </m:r>
              </m:oMath>
            </m:oMathPara>
          </w:p>
        </w:tc>
        <w:tc>
          <w:tcPr>
            <w:tcW w:w="1512" w:type="dxa"/>
            <w:vAlign w:val="center"/>
          </w:tcPr>
          <w:p w:rsidR="001055F1" w:rsidRPr="0088001A" w:rsidRDefault="0088001A" w:rsidP="005B4E8F">
            <w:pPr>
              <w:jc w:val="center"/>
              <w:rPr>
                <w:i/>
              </w:rPr>
            </w:pPr>
            <m:oMathPara>
              <m:oMath>
                <m:r>
                  <w:rPr>
                    <w:rFonts w:ascii="Cambria Math" w:hAnsi="Cambria Math"/>
                  </w:rPr>
                  <m:t>b</m:t>
                </m:r>
              </m:oMath>
            </m:oMathPara>
          </w:p>
        </w:tc>
        <w:tc>
          <w:tcPr>
            <w:tcW w:w="1419" w:type="dxa"/>
            <w:vAlign w:val="center"/>
          </w:tcPr>
          <w:p w:rsidR="001055F1" w:rsidRPr="0088001A" w:rsidRDefault="00441312" w:rsidP="0088001A">
            <w:pPr>
              <w:jc w:val="center"/>
              <w:rPr>
                <w:i/>
              </w:rP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r>
      <w:tr w:rsidR="001055F1" w:rsidTr="0088001A">
        <w:trPr>
          <w:trHeight w:val="270"/>
        </w:trPr>
        <w:tc>
          <w:tcPr>
            <w:tcW w:w="503" w:type="dxa"/>
            <w:tcBorders>
              <w:right w:val="nil"/>
            </w:tcBorders>
            <w:vAlign w:val="center"/>
          </w:tcPr>
          <w:p w:rsidR="001055F1" w:rsidRDefault="001055F1" w:rsidP="0088001A">
            <w:pPr>
              <w:jc w:val="center"/>
            </w:pPr>
          </w:p>
        </w:tc>
        <w:tc>
          <w:tcPr>
            <w:tcW w:w="4016" w:type="dxa"/>
            <w:tcBorders>
              <w:left w:val="nil"/>
            </w:tcBorders>
            <w:vAlign w:val="center"/>
          </w:tcPr>
          <w:p w:rsidR="001055F1" w:rsidRDefault="001055F1" w:rsidP="005B4E8F">
            <w:pPr>
              <w:jc w:val="center"/>
            </w:pPr>
            <w:r>
              <w:t>1.68 slm, 15 mm, 6 kV</w:t>
            </w:r>
          </w:p>
        </w:tc>
        <w:tc>
          <w:tcPr>
            <w:tcW w:w="1271" w:type="dxa"/>
            <w:vAlign w:val="center"/>
          </w:tcPr>
          <w:p w:rsidR="001055F1" w:rsidRDefault="001055F1" w:rsidP="005B4E8F">
            <w:pPr>
              <w:jc w:val="center"/>
            </w:pPr>
            <w:r>
              <w:t>0.0043</w:t>
            </w:r>
          </w:p>
        </w:tc>
        <w:tc>
          <w:tcPr>
            <w:tcW w:w="1512" w:type="dxa"/>
            <w:vAlign w:val="center"/>
          </w:tcPr>
          <w:p w:rsidR="001055F1" w:rsidRDefault="001055F1" w:rsidP="005B4E8F">
            <w:pPr>
              <w:jc w:val="center"/>
            </w:pPr>
            <w:r>
              <w:t>-0.5033</w:t>
            </w:r>
          </w:p>
        </w:tc>
        <w:tc>
          <w:tcPr>
            <w:tcW w:w="1419" w:type="dxa"/>
            <w:vAlign w:val="center"/>
          </w:tcPr>
          <w:p w:rsidR="001055F1" w:rsidRDefault="001055F1" w:rsidP="005B4E8F">
            <w:pPr>
              <w:jc w:val="center"/>
            </w:pPr>
            <w:r>
              <w:t>0.9999</w:t>
            </w:r>
          </w:p>
        </w:tc>
      </w:tr>
      <w:tr w:rsidR="001055F1" w:rsidTr="0088001A">
        <w:trPr>
          <w:trHeight w:val="304"/>
        </w:trPr>
        <w:tc>
          <w:tcPr>
            <w:tcW w:w="503" w:type="dxa"/>
            <w:tcBorders>
              <w:right w:val="nil"/>
            </w:tcBorders>
            <w:vAlign w:val="center"/>
          </w:tcPr>
          <w:p w:rsidR="001055F1" w:rsidRDefault="001055F1" w:rsidP="0088001A">
            <w:pPr>
              <w:jc w:val="center"/>
            </w:pPr>
          </w:p>
        </w:tc>
        <w:tc>
          <w:tcPr>
            <w:tcW w:w="4016" w:type="dxa"/>
            <w:tcBorders>
              <w:left w:val="nil"/>
            </w:tcBorders>
            <w:vAlign w:val="center"/>
          </w:tcPr>
          <w:p w:rsidR="001055F1" w:rsidRDefault="001055F1" w:rsidP="005B4E8F">
            <w:pPr>
              <w:jc w:val="center"/>
            </w:pPr>
            <w:r>
              <w:t>1.68 slm, 15 mm, 8 kV</w:t>
            </w:r>
          </w:p>
        </w:tc>
        <w:tc>
          <w:tcPr>
            <w:tcW w:w="1271" w:type="dxa"/>
            <w:vAlign w:val="center"/>
          </w:tcPr>
          <w:p w:rsidR="001055F1" w:rsidRDefault="001055F1" w:rsidP="005B4E8F">
            <w:pPr>
              <w:jc w:val="center"/>
            </w:pPr>
            <w:r>
              <w:t>0.0040</w:t>
            </w:r>
          </w:p>
        </w:tc>
        <w:tc>
          <w:tcPr>
            <w:tcW w:w="1512" w:type="dxa"/>
            <w:vAlign w:val="center"/>
          </w:tcPr>
          <w:p w:rsidR="001055F1" w:rsidRDefault="001055F1" w:rsidP="005B4E8F">
            <w:pPr>
              <w:jc w:val="center"/>
            </w:pPr>
            <w:r>
              <w:t>-0.4987</w:t>
            </w:r>
          </w:p>
        </w:tc>
        <w:tc>
          <w:tcPr>
            <w:tcW w:w="1419" w:type="dxa"/>
            <w:vAlign w:val="center"/>
          </w:tcPr>
          <w:p w:rsidR="001055F1" w:rsidRDefault="001055F1" w:rsidP="005B4E8F">
            <w:pPr>
              <w:jc w:val="center"/>
            </w:pPr>
            <w:r>
              <w:t>0.9999</w:t>
            </w:r>
          </w:p>
        </w:tc>
      </w:tr>
      <w:tr w:rsidR="001055F1" w:rsidTr="0088001A">
        <w:trPr>
          <w:trHeight w:val="337"/>
        </w:trPr>
        <w:tc>
          <w:tcPr>
            <w:tcW w:w="503" w:type="dxa"/>
            <w:tcBorders>
              <w:right w:val="nil"/>
            </w:tcBorders>
            <w:vAlign w:val="center"/>
          </w:tcPr>
          <w:p w:rsidR="001055F1" w:rsidRDefault="001055F1" w:rsidP="0088001A">
            <w:pPr>
              <w:jc w:val="center"/>
            </w:pPr>
          </w:p>
        </w:tc>
        <w:tc>
          <w:tcPr>
            <w:tcW w:w="4016" w:type="dxa"/>
            <w:tcBorders>
              <w:left w:val="nil"/>
            </w:tcBorders>
            <w:vAlign w:val="center"/>
          </w:tcPr>
          <w:p w:rsidR="001055F1" w:rsidRDefault="001055F1" w:rsidP="005B4E8F">
            <w:pPr>
              <w:jc w:val="center"/>
            </w:pPr>
            <w:r>
              <w:t>1.68 slm, 25 mm, 6 kV</w:t>
            </w:r>
          </w:p>
        </w:tc>
        <w:tc>
          <w:tcPr>
            <w:tcW w:w="1271" w:type="dxa"/>
            <w:vAlign w:val="center"/>
          </w:tcPr>
          <w:p w:rsidR="001055F1" w:rsidRDefault="001055F1" w:rsidP="005B4E8F">
            <w:pPr>
              <w:jc w:val="center"/>
            </w:pPr>
            <w:r>
              <w:t>0.0060</w:t>
            </w:r>
          </w:p>
        </w:tc>
        <w:tc>
          <w:tcPr>
            <w:tcW w:w="1512" w:type="dxa"/>
            <w:vAlign w:val="center"/>
          </w:tcPr>
          <w:p w:rsidR="001055F1" w:rsidRDefault="001055F1" w:rsidP="005B4E8F">
            <w:pPr>
              <w:jc w:val="center"/>
            </w:pPr>
            <w:r>
              <w:t>-0.4983</w:t>
            </w:r>
          </w:p>
        </w:tc>
        <w:tc>
          <w:tcPr>
            <w:tcW w:w="1419" w:type="dxa"/>
            <w:vAlign w:val="center"/>
          </w:tcPr>
          <w:p w:rsidR="001055F1" w:rsidRDefault="001055F1" w:rsidP="005B4E8F">
            <w:pPr>
              <w:jc w:val="center"/>
            </w:pPr>
            <w:r>
              <w:t>0.9999</w:t>
            </w:r>
          </w:p>
        </w:tc>
      </w:tr>
      <w:tr w:rsidR="001055F1" w:rsidTr="0088001A">
        <w:trPr>
          <w:trHeight w:val="229"/>
        </w:trPr>
        <w:tc>
          <w:tcPr>
            <w:tcW w:w="503" w:type="dxa"/>
            <w:tcBorders>
              <w:right w:val="nil"/>
            </w:tcBorders>
            <w:vAlign w:val="center"/>
          </w:tcPr>
          <w:p w:rsidR="001055F1" w:rsidRDefault="001055F1" w:rsidP="0088001A">
            <w:pPr>
              <w:jc w:val="center"/>
            </w:pPr>
          </w:p>
        </w:tc>
        <w:tc>
          <w:tcPr>
            <w:tcW w:w="4016" w:type="dxa"/>
            <w:tcBorders>
              <w:left w:val="nil"/>
            </w:tcBorders>
            <w:vAlign w:val="center"/>
          </w:tcPr>
          <w:p w:rsidR="001055F1" w:rsidRDefault="001055F1" w:rsidP="005B4E8F">
            <w:pPr>
              <w:jc w:val="center"/>
            </w:pPr>
            <w:r>
              <w:t>1.68 slm, 25 mm, 8 kV</w:t>
            </w:r>
          </w:p>
        </w:tc>
        <w:tc>
          <w:tcPr>
            <w:tcW w:w="1271" w:type="dxa"/>
            <w:vAlign w:val="center"/>
          </w:tcPr>
          <w:p w:rsidR="001055F1" w:rsidRDefault="001055F1" w:rsidP="005B4E8F">
            <w:pPr>
              <w:jc w:val="center"/>
            </w:pPr>
            <w:r>
              <w:t>0.0049</w:t>
            </w:r>
          </w:p>
        </w:tc>
        <w:tc>
          <w:tcPr>
            <w:tcW w:w="1512" w:type="dxa"/>
            <w:vAlign w:val="center"/>
          </w:tcPr>
          <w:p w:rsidR="001055F1" w:rsidRDefault="001055F1" w:rsidP="005B4E8F">
            <w:pPr>
              <w:jc w:val="center"/>
            </w:pPr>
            <w:r>
              <w:t>-0.5025</w:t>
            </w:r>
          </w:p>
        </w:tc>
        <w:tc>
          <w:tcPr>
            <w:tcW w:w="1419" w:type="dxa"/>
            <w:vAlign w:val="center"/>
          </w:tcPr>
          <w:p w:rsidR="001055F1" w:rsidRDefault="001055F1" w:rsidP="005B4E8F">
            <w:pPr>
              <w:jc w:val="center"/>
            </w:pPr>
            <w:r>
              <w:t>0.9999</w:t>
            </w:r>
          </w:p>
        </w:tc>
      </w:tr>
    </w:tbl>
    <w:p w:rsidR="00386321" w:rsidRPr="000B1413" w:rsidRDefault="00386321" w:rsidP="00386321"/>
    <w:tbl>
      <w:tblPr>
        <w:tblStyle w:val="TableGrid"/>
        <w:tblW w:w="8755" w:type="dxa"/>
        <w:tblLayout w:type="fixed"/>
        <w:tblLook w:val="04A0" w:firstRow="1" w:lastRow="0" w:firstColumn="1" w:lastColumn="0" w:noHBand="0" w:noVBand="1"/>
      </w:tblPr>
      <w:tblGrid>
        <w:gridCol w:w="392"/>
        <w:gridCol w:w="4111"/>
        <w:gridCol w:w="1275"/>
        <w:gridCol w:w="1560"/>
        <w:gridCol w:w="1417"/>
      </w:tblGrid>
      <w:tr w:rsidR="0088001A" w:rsidRPr="000B1413" w:rsidTr="0088001A">
        <w:tc>
          <w:tcPr>
            <w:tcW w:w="392" w:type="dxa"/>
            <w:tcBorders>
              <w:right w:val="nil"/>
            </w:tcBorders>
            <w:vAlign w:val="center"/>
          </w:tcPr>
          <w:p w:rsidR="001055F1" w:rsidRPr="0088001A" w:rsidRDefault="001055F1" w:rsidP="0088001A">
            <w:pPr>
              <w:jc w:val="center"/>
              <w:rPr>
                <w:b/>
              </w:rPr>
            </w:pPr>
            <w:r w:rsidRPr="0088001A">
              <w:rPr>
                <w:b/>
              </w:rPr>
              <w:t>e)</w:t>
            </w:r>
          </w:p>
        </w:tc>
        <w:tc>
          <w:tcPr>
            <w:tcW w:w="4111" w:type="dxa"/>
            <w:tcBorders>
              <w:left w:val="nil"/>
            </w:tcBorders>
          </w:tcPr>
          <w:p w:rsidR="001055F1" w:rsidRPr="000B1413" w:rsidRDefault="001055F1" w:rsidP="005B4E8F"/>
        </w:tc>
        <w:tc>
          <w:tcPr>
            <w:tcW w:w="1275" w:type="dxa"/>
          </w:tcPr>
          <w:p w:rsidR="001055F1" w:rsidRPr="0088001A" w:rsidRDefault="00441312" w:rsidP="005B4E8F">
            <w:pPr>
              <w:rPr>
                <w:i/>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c>
        <w:tc>
          <w:tcPr>
            <w:tcW w:w="1560" w:type="dxa"/>
          </w:tcPr>
          <w:p w:rsidR="001055F1" w:rsidRPr="0088001A" w:rsidRDefault="00441312" w:rsidP="0088001A">
            <w:pPr>
              <w:rPr>
                <w:i/>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c>
          <w:tcPr>
            <w:tcW w:w="1417" w:type="dxa"/>
          </w:tcPr>
          <w:p w:rsidR="001055F1" w:rsidRPr="0088001A" w:rsidRDefault="00441312" w:rsidP="0088001A">
            <w:pPr>
              <w:rPr>
                <w:i/>
              </w:rP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r>
      <w:tr w:rsidR="001055F1" w:rsidRPr="000B1413" w:rsidTr="0088001A">
        <w:tc>
          <w:tcPr>
            <w:tcW w:w="4503" w:type="dxa"/>
            <w:gridSpan w:val="2"/>
          </w:tcPr>
          <w:p w:rsidR="001055F1" w:rsidRPr="0088001A" w:rsidRDefault="0088001A" w:rsidP="005B4E8F">
            <w:pPr>
              <w:rPr>
                <w:lang w:val="en-US"/>
              </w:rPr>
            </w:pPr>
            <w:r w:rsidRPr="0088001A">
              <w:rPr>
                <w:lang w:val="en-US"/>
              </w:rPr>
              <w:t>Simulated data</w:t>
            </w:r>
            <w:r w:rsidR="001055F1" w:rsidRPr="0088001A">
              <w:rPr>
                <w:lang w:val="en-US"/>
              </w:rPr>
              <w:t xml:space="preserve"> vs</w:t>
            </w:r>
            <w:r w:rsidRPr="0088001A">
              <w:rPr>
                <w:lang w:val="en-US"/>
              </w:rPr>
              <w:t xml:space="preserve"> semi-empirical e</w:t>
            </w:r>
            <w:r w:rsidR="001055F1" w:rsidRPr="0088001A">
              <w:rPr>
                <w:lang w:val="en-US"/>
              </w:rPr>
              <w:t>quation</w:t>
            </w:r>
          </w:p>
        </w:tc>
        <w:tc>
          <w:tcPr>
            <w:tcW w:w="1275" w:type="dxa"/>
          </w:tcPr>
          <w:p w:rsidR="001055F1" w:rsidRPr="000B1413" w:rsidRDefault="001055F1" w:rsidP="005B4E8F">
            <w:r>
              <w:t>0.546</w:t>
            </w:r>
          </w:p>
        </w:tc>
        <w:tc>
          <w:tcPr>
            <w:tcW w:w="1560" w:type="dxa"/>
          </w:tcPr>
          <w:p w:rsidR="001055F1" w:rsidRPr="000B1413" w:rsidRDefault="001055F1" w:rsidP="005B4E8F">
            <w:r>
              <w:t>0.008</w:t>
            </w:r>
          </w:p>
        </w:tc>
        <w:tc>
          <w:tcPr>
            <w:tcW w:w="1417" w:type="dxa"/>
          </w:tcPr>
          <w:p w:rsidR="001055F1" w:rsidRPr="000B1413" w:rsidRDefault="001055F1" w:rsidP="005B4E8F">
            <w:r>
              <w:t>0.9983</w:t>
            </w:r>
          </w:p>
        </w:tc>
      </w:tr>
      <w:tr w:rsidR="001055F1" w:rsidRPr="000B1413" w:rsidTr="0088001A">
        <w:tc>
          <w:tcPr>
            <w:tcW w:w="4503" w:type="dxa"/>
            <w:gridSpan w:val="2"/>
          </w:tcPr>
          <w:p w:rsidR="001055F1" w:rsidRPr="0088001A" w:rsidRDefault="001055F1" w:rsidP="005B4E8F">
            <w:pPr>
              <w:rPr>
                <w:lang w:val="en-US"/>
              </w:rPr>
            </w:pPr>
            <w:r w:rsidRPr="0088001A">
              <w:rPr>
                <w:lang w:val="en-US"/>
              </w:rPr>
              <w:t>Experiment</w:t>
            </w:r>
            <w:r w:rsidR="0088001A" w:rsidRPr="0088001A">
              <w:rPr>
                <w:lang w:val="en-US"/>
              </w:rPr>
              <w:t>al data</w:t>
            </w:r>
            <w:r w:rsidRPr="0088001A">
              <w:rPr>
                <w:lang w:val="en-US"/>
              </w:rPr>
              <w:t xml:space="preserve"> vs </w:t>
            </w:r>
            <w:r w:rsidR="0088001A" w:rsidRPr="0088001A">
              <w:rPr>
                <w:lang w:val="en-US"/>
              </w:rPr>
              <w:t>semi-empirical equation</w:t>
            </w:r>
          </w:p>
        </w:tc>
        <w:tc>
          <w:tcPr>
            <w:tcW w:w="1275" w:type="dxa"/>
          </w:tcPr>
          <w:p w:rsidR="001055F1" w:rsidRPr="000B1413" w:rsidRDefault="001055F1" w:rsidP="005B4E8F">
            <w:r>
              <w:t>0.549</w:t>
            </w:r>
          </w:p>
        </w:tc>
        <w:tc>
          <w:tcPr>
            <w:tcW w:w="1560" w:type="dxa"/>
          </w:tcPr>
          <w:p w:rsidR="001055F1" w:rsidRPr="000B1413" w:rsidRDefault="001055F1" w:rsidP="005B4E8F">
            <w:r>
              <w:t>0.558</w:t>
            </w:r>
          </w:p>
        </w:tc>
        <w:tc>
          <w:tcPr>
            <w:tcW w:w="1417" w:type="dxa"/>
          </w:tcPr>
          <w:p w:rsidR="001055F1" w:rsidRPr="000B1413" w:rsidRDefault="001055F1" w:rsidP="005B4E8F">
            <w:r>
              <w:t>0.9712</w:t>
            </w:r>
          </w:p>
        </w:tc>
      </w:tr>
    </w:tbl>
    <w:p w:rsidR="00386321" w:rsidRDefault="00386321" w:rsidP="00386321">
      <w:pPr>
        <w:pStyle w:val="insertpicture"/>
        <w:rPr>
          <w:lang w:val="sv-SE"/>
        </w:rPr>
      </w:pPr>
    </w:p>
    <w:p w:rsidR="00C45A26" w:rsidRDefault="00C45A26" w:rsidP="00386321">
      <w:pPr>
        <w:pStyle w:val="insertpicture"/>
        <w:rPr>
          <w:lang w:val="sv-SE"/>
        </w:rPr>
      </w:pPr>
    </w:p>
    <w:p w:rsidR="00C45A26" w:rsidRPr="007C2214" w:rsidRDefault="007D2CB6">
      <w:pPr>
        <w:spacing w:after="200" w:line="276" w:lineRule="auto"/>
        <w:jc w:val="left"/>
        <w:rPr>
          <w:rFonts w:asciiTheme="majorHAnsi" w:hAnsiTheme="majorHAnsi" w:cs="Times New Roman"/>
          <w:sz w:val="20"/>
        </w:rPr>
      </w:pPr>
      <w:r>
        <w:rPr>
          <w:b/>
        </w:rPr>
        <w:t>Table S2</w:t>
      </w:r>
      <w:r w:rsidR="00FA2DDB">
        <w:rPr>
          <w:b/>
        </w:rPr>
        <w:t>.</w:t>
      </w:r>
      <w:r w:rsidR="007C2214">
        <w:rPr>
          <w:b/>
        </w:rPr>
        <w:t xml:space="preserve"> Tabulated values for the experimental data points in Figure 4. </w:t>
      </w:r>
    </w:p>
    <w:tbl>
      <w:tblPr>
        <w:tblStyle w:val="TableGrid"/>
        <w:tblW w:w="8897" w:type="dxa"/>
        <w:tblLayout w:type="fixed"/>
        <w:tblLook w:val="04A0" w:firstRow="1" w:lastRow="0" w:firstColumn="1" w:lastColumn="0" w:noHBand="0" w:noVBand="1"/>
      </w:tblPr>
      <w:tblGrid>
        <w:gridCol w:w="438"/>
        <w:gridCol w:w="1230"/>
        <w:gridCol w:w="1275"/>
        <w:gridCol w:w="1963"/>
        <w:gridCol w:w="1298"/>
        <w:gridCol w:w="1417"/>
        <w:gridCol w:w="1276"/>
      </w:tblGrid>
      <w:tr w:rsidR="007C2214" w:rsidRPr="007C2214" w:rsidTr="007C2214">
        <w:trPr>
          <w:trHeight w:val="845"/>
        </w:trPr>
        <w:tc>
          <w:tcPr>
            <w:tcW w:w="438" w:type="dxa"/>
          </w:tcPr>
          <w:p w:rsidR="00C45A26" w:rsidRPr="007C2214" w:rsidRDefault="00C45A26">
            <w:pPr>
              <w:spacing w:after="200" w:line="276" w:lineRule="auto"/>
              <w:jc w:val="left"/>
              <w:rPr>
                <w:rFonts w:asciiTheme="majorHAnsi" w:hAnsiTheme="majorHAnsi" w:cs="Times New Roman"/>
                <w:sz w:val="20"/>
                <w:lang w:val="en-US"/>
              </w:rPr>
            </w:pPr>
          </w:p>
        </w:tc>
        <w:tc>
          <w:tcPr>
            <w:tcW w:w="1230" w:type="dxa"/>
          </w:tcPr>
          <w:p w:rsidR="00C45A26" w:rsidRPr="00FA2DDB" w:rsidRDefault="00441312" w:rsidP="007C2214">
            <w:pPr>
              <w:spacing w:after="200" w:line="276" w:lineRule="auto"/>
              <w:jc w:val="left"/>
              <w:rPr>
                <w:rFonts w:asciiTheme="majorHAnsi" w:hAnsiTheme="majorHAnsi" w:cs="Times New Roman"/>
                <w:sz w:val="20"/>
                <w:lang w:val="en-US"/>
              </w:rPr>
            </w:pPr>
            <m:oMath>
              <m:sSub>
                <m:sSubPr>
                  <m:ctrlPr>
                    <w:rPr>
                      <w:rFonts w:ascii="Cambria Math" w:hAnsi="Cambria Math" w:cs="Times New Roman"/>
                      <w:i/>
                      <w:sz w:val="20"/>
                    </w:rPr>
                  </m:ctrlPr>
                </m:sSubPr>
                <m:e>
                  <m:r>
                    <w:rPr>
                      <w:rFonts w:ascii="Cambria Math" w:hAnsi="Cambria Math" w:cs="Times New Roman"/>
                      <w:sz w:val="20"/>
                    </w:rPr>
                    <m:t>C</m:t>
                  </m:r>
                </m:e>
                <m:sub>
                  <m:r>
                    <w:rPr>
                      <w:rFonts w:ascii="Cambria Math" w:hAnsi="Cambria Math" w:cs="Times New Roman"/>
                      <w:sz w:val="20"/>
                    </w:rPr>
                    <m:t>gas</m:t>
                  </m:r>
                </m:sub>
              </m:sSub>
            </m:oMath>
            <w:r w:rsidR="007C2214" w:rsidRPr="00FA2DDB">
              <w:rPr>
                <w:rFonts w:asciiTheme="majorHAnsi" w:hAnsiTheme="majorHAnsi" w:cs="Times New Roman"/>
                <w:sz w:val="20"/>
                <w:lang w:val="en-US"/>
              </w:rPr>
              <w:t xml:space="preserve"> (</w:t>
            </w:r>
            <m:oMath>
              <m:r>
                <m:rPr>
                  <m:sty m:val="p"/>
                </m:rPr>
                <w:rPr>
                  <w:rFonts w:ascii="Cambria Math" w:hAnsi="Cambria Math" w:cs="Times New Roman"/>
                  <w:sz w:val="20"/>
                  <w:lang w:val="en-US"/>
                </w:rPr>
                <m:t>particles/</m:t>
              </m:r>
              <m:sSup>
                <m:sSupPr>
                  <m:ctrlPr>
                    <w:rPr>
                      <w:rFonts w:ascii="Cambria Math" w:hAnsi="Cambria Math" w:cs="Times New Roman"/>
                      <w:sz w:val="20"/>
                    </w:rPr>
                  </m:ctrlPr>
                </m:sSupPr>
                <m:e>
                  <m:r>
                    <m:rPr>
                      <m:sty m:val="p"/>
                    </m:rPr>
                    <w:rPr>
                      <w:rFonts w:ascii="Cambria Math" w:hAnsi="Cambria Math" w:cs="Times New Roman"/>
                      <w:sz w:val="20"/>
                      <w:lang w:val="en-US"/>
                    </w:rPr>
                    <m:t>cm</m:t>
                  </m:r>
                </m:e>
                <m:sup>
                  <m:r>
                    <w:rPr>
                      <w:rFonts w:ascii="Cambria Math" w:hAnsi="Cambria Math" w:cs="Times New Roman"/>
                      <w:sz w:val="20"/>
                      <w:lang w:val="en-US"/>
                    </w:rPr>
                    <m:t>3</m:t>
                  </m:r>
                </m:sup>
              </m:sSup>
              <m:r>
                <w:rPr>
                  <w:rFonts w:ascii="Cambria Math" w:hAnsi="Cambria Math" w:cs="Times New Roman"/>
                  <w:sz w:val="20"/>
                  <w:lang w:val="en-US"/>
                </w:rPr>
                <m:t>)</m:t>
              </m:r>
            </m:oMath>
          </w:p>
        </w:tc>
        <w:tc>
          <w:tcPr>
            <w:tcW w:w="1275" w:type="dxa"/>
          </w:tcPr>
          <w:p w:rsidR="00C45A26" w:rsidRPr="007C2214" w:rsidRDefault="00C45A26">
            <w:pPr>
              <w:spacing w:after="200" w:line="276" w:lineRule="auto"/>
              <w:jc w:val="left"/>
              <w:rPr>
                <w:rFonts w:asciiTheme="majorHAnsi" w:hAnsiTheme="majorHAnsi" w:cs="Times New Roman"/>
                <w:sz w:val="20"/>
                <w:lang w:val="en-US"/>
              </w:rPr>
            </w:pPr>
            <w:r w:rsidRPr="007C2214">
              <w:rPr>
                <w:rFonts w:asciiTheme="majorHAnsi" w:hAnsiTheme="majorHAnsi" w:cs="Times New Roman"/>
                <w:sz w:val="20"/>
                <w:lang w:val="en-US"/>
              </w:rPr>
              <w:t>Deposition time</w:t>
            </w:r>
            <w:r w:rsidR="00344684" w:rsidRPr="007C2214">
              <w:rPr>
                <w:rFonts w:asciiTheme="majorHAnsi" w:hAnsiTheme="majorHAnsi" w:cs="Times New Roman"/>
                <w:sz w:val="20"/>
                <w:lang w:val="en-US"/>
              </w:rPr>
              <w:t xml:space="preserve"> (min)</w:t>
            </w:r>
          </w:p>
        </w:tc>
        <w:tc>
          <w:tcPr>
            <w:tcW w:w="1963" w:type="dxa"/>
          </w:tcPr>
          <w:p w:rsidR="00C45A26" w:rsidRPr="00C45A26" w:rsidRDefault="00264A46" w:rsidP="00C45A26">
            <w:pPr>
              <w:spacing w:after="200" w:line="276" w:lineRule="auto"/>
              <w:jc w:val="left"/>
              <w:rPr>
                <w:rFonts w:asciiTheme="majorHAnsi" w:hAnsiTheme="majorHAnsi" w:cs="Times New Roman"/>
                <w:sz w:val="20"/>
                <w:lang w:val="en-US"/>
              </w:rPr>
            </w:pPr>
            <w:r>
              <w:rPr>
                <w:rFonts w:asciiTheme="majorHAnsi" w:hAnsiTheme="majorHAnsi" w:cs="Times New Roman"/>
                <w:sz w:val="20"/>
                <w:lang w:val="en-US"/>
              </w:rPr>
              <w:t>Measured</w:t>
            </w:r>
            <w:r w:rsidR="00C45A26" w:rsidRPr="00C45A26">
              <w:rPr>
                <w:rFonts w:asciiTheme="majorHAnsi" w:hAnsiTheme="majorHAnsi" w:cs="Times New Roman"/>
                <w:sz w:val="20"/>
                <w:lang w:val="en-US"/>
              </w:rPr>
              <w:t xml:space="preserve"> number of </w:t>
            </w:r>
            <w:r w:rsidR="00C45A26">
              <w:rPr>
                <w:rFonts w:asciiTheme="majorHAnsi" w:hAnsiTheme="majorHAnsi" w:cs="Times New Roman"/>
                <w:sz w:val="20"/>
                <w:lang w:val="en-US"/>
              </w:rPr>
              <w:t xml:space="preserve">particles on </w:t>
            </w:r>
            <w:r>
              <w:rPr>
                <w:rFonts w:asciiTheme="majorHAnsi" w:hAnsiTheme="majorHAnsi" w:cs="Times New Roman"/>
                <w:sz w:val="20"/>
                <w:lang w:val="en-US"/>
              </w:rPr>
              <w:t xml:space="preserve">the </w:t>
            </w:r>
            <w:r w:rsidR="00C45A26" w:rsidRPr="00C45A26">
              <w:rPr>
                <w:rFonts w:asciiTheme="majorHAnsi" w:hAnsiTheme="majorHAnsi" w:cs="Times New Roman"/>
                <w:sz w:val="20"/>
                <w:lang w:val="en-US"/>
              </w:rPr>
              <w:t>substrate</w:t>
            </w:r>
          </w:p>
        </w:tc>
        <w:tc>
          <w:tcPr>
            <w:tcW w:w="1298" w:type="dxa"/>
          </w:tcPr>
          <w:p w:rsidR="00C45A26" w:rsidRPr="007C2214" w:rsidRDefault="00264A46" w:rsidP="007C2214">
            <w:pPr>
              <w:spacing w:after="200" w:line="276" w:lineRule="auto"/>
              <w:jc w:val="left"/>
              <w:rPr>
                <w:rFonts w:asciiTheme="majorHAnsi" w:hAnsiTheme="majorHAnsi" w:cs="Times New Roman"/>
                <w:sz w:val="20"/>
                <w:lang w:val="en-US"/>
              </w:rPr>
            </w:pPr>
            <w:r>
              <w:rPr>
                <w:rFonts w:asciiTheme="majorHAnsi" w:hAnsiTheme="majorHAnsi" w:cs="Times New Roman"/>
                <w:sz w:val="20"/>
                <w:lang w:val="en-US"/>
              </w:rPr>
              <w:t>Measured</w:t>
            </w:r>
            <w:r w:rsidR="00C45A26" w:rsidRPr="007C2214">
              <w:rPr>
                <w:rFonts w:asciiTheme="majorHAnsi" w:hAnsiTheme="majorHAnsi" w:cs="Times New Roman"/>
                <w:sz w:val="20"/>
                <w:lang w:val="en-US"/>
              </w:rPr>
              <w:t xml:space="preserve"> area</w:t>
            </w:r>
            <w:r w:rsidR="009234E5" w:rsidRPr="007C2214">
              <w:rPr>
                <w:rFonts w:asciiTheme="majorHAnsi" w:hAnsiTheme="majorHAnsi" w:cs="Times New Roman"/>
                <w:sz w:val="20"/>
                <w:lang w:val="en-US"/>
              </w:rPr>
              <w:t xml:space="preserve"> (</w:t>
            </w:r>
            <m:oMath>
              <m:sSup>
                <m:sSupPr>
                  <m:ctrlPr>
                    <w:rPr>
                      <w:rFonts w:ascii="Cambria Math" w:hAnsi="Cambria Math" w:cs="Times New Roman"/>
                      <w:sz w:val="20"/>
                      <w:lang w:val="en-US"/>
                    </w:rPr>
                  </m:ctrlPr>
                </m:sSupPr>
                <m:e>
                  <m:r>
                    <m:rPr>
                      <m:sty m:val="p"/>
                    </m:rPr>
                    <w:rPr>
                      <w:rFonts w:ascii="Cambria Math" w:hAnsi="Cambria Math" w:cs="Times New Roman"/>
                      <w:sz w:val="20"/>
                      <w:lang w:val="en-US"/>
                    </w:rPr>
                    <m:t>μm</m:t>
                  </m:r>
                </m:e>
                <m:sup>
                  <m:r>
                    <m:rPr>
                      <m:sty m:val="p"/>
                    </m:rPr>
                    <w:rPr>
                      <w:rFonts w:ascii="Cambria Math" w:hAnsi="Cambria Math" w:cs="Times New Roman"/>
                      <w:sz w:val="20"/>
                      <w:lang w:val="en-US"/>
                    </w:rPr>
                    <m:t>2</m:t>
                  </m:r>
                </m:sup>
              </m:sSup>
            </m:oMath>
            <w:r w:rsidR="009234E5" w:rsidRPr="007C2214">
              <w:rPr>
                <w:rFonts w:asciiTheme="majorHAnsi" w:hAnsiTheme="majorHAnsi" w:cs="Times New Roman"/>
                <w:sz w:val="20"/>
                <w:lang w:val="en-US"/>
              </w:rPr>
              <w:t>)</w:t>
            </w:r>
          </w:p>
        </w:tc>
        <w:tc>
          <w:tcPr>
            <w:tcW w:w="1417" w:type="dxa"/>
          </w:tcPr>
          <w:p w:rsidR="00C45A26" w:rsidRPr="007C2214" w:rsidRDefault="00C45A26">
            <w:pPr>
              <w:spacing w:after="200" w:line="276" w:lineRule="auto"/>
              <w:jc w:val="left"/>
              <w:rPr>
                <w:rFonts w:asciiTheme="majorHAnsi" w:hAnsiTheme="majorHAnsi" w:cs="Times New Roman"/>
                <w:sz w:val="20"/>
                <w:lang w:val="en-US"/>
              </w:rPr>
            </w:pPr>
            <w:r w:rsidRPr="007C2214">
              <w:rPr>
                <w:rFonts w:asciiTheme="majorHAnsi" w:hAnsiTheme="majorHAnsi" w:cs="Times New Roman"/>
                <w:sz w:val="20"/>
                <w:lang w:val="en-US"/>
              </w:rPr>
              <w:t xml:space="preserve">Experimental </w:t>
            </w:r>
            <w:r w:rsidR="007C2214" w:rsidRPr="007C2214">
              <w:rPr>
                <w:rFonts w:asciiTheme="majorHAnsi" w:hAnsiTheme="majorHAnsi" w:cs="Times New Roman"/>
                <w:sz w:val="20"/>
                <w:lang w:val="en-US"/>
              </w:rPr>
              <w:t>radius</w:t>
            </w:r>
            <w:r w:rsidR="009234E5" w:rsidRPr="007C2214">
              <w:rPr>
                <w:rFonts w:asciiTheme="majorHAnsi" w:hAnsiTheme="majorHAnsi" w:cs="Times New Roman"/>
                <w:sz w:val="20"/>
                <w:lang w:val="en-US"/>
              </w:rPr>
              <w:t xml:space="preserve"> (mm)</w:t>
            </w:r>
          </w:p>
        </w:tc>
        <w:tc>
          <w:tcPr>
            <w:tcW w:w="1276" w:type="dxa"/>
          </w:tcPr>
          <w:p w:rsidR="00C45A26" w:rsidRPr="007C2214" w:rsidRDefault="00441312">
            <w:pPr>
              <w:spacing w:after="200" w:line="276" w:lineRule="auto"/>
              <w:jc w:val="left"/>
              <w:rPr>
                <w:rFonts w:asciiTheme="majorHAnsi" w:hAnsiTheme="majorHAnsi" w:cs="Times New Roman"/>
                <w:sz w:val="20"/>
                <w:lang w:val="en-US"/>
              </w:rPr>
            </w:pPr>
            <m:oMathPara>
              <m:oMath>
                <m:rad>
                  <m:radPr>
                    <m:degHide m:val="1"/>
                    <m:ctrlPr>
                      <w:rPr>
                        <w:rFonts w:ascii="Cambria Math" w:hAnsi="Cambria Math" w:cs="Times New Roman"/>
                        <w:i/>
                        <w:sz w:val="20"/>
                        <w:lang w:val="en-US"/>
                      </w:rPr>
                    </m:ctrlPr>
                  </m:radPr>
                  <m:deg/>
                  <m:e>
                    <m:f>
                      <m:fPr>
                        <m:ctrlPr>
                          <w:rPr>
                            <w:rFonts w:ascii="Cambria Math" w:hAnsi="Cambria Math" w:cs="Times New Roman"/>
                            <w:i/>
                            <w:sz w:val="20"/>
                            <w:lang w:val="en-US"/>
                          </w:rPr>
                        </m:ctrlPr>
                      </m:fPr>
                      <m:num>
                        <m:r>
                          <w:rPr>
                            <w:rFonts w:ascii="Cambria Math" w:hAnsi="Cambria Math" w:cs="Times New Roman"/>
                            <w:sz w:val="20"/>
                            <w:lang w:val="en-US"/>
                          </w:rPr>
                          <m:t>Qh</m:t>
                        </m:r>
                      </m:num>
                      <m:den>
                        <m:r>
                          <w:rPr>
                            <w:rFonts w:ascii="Cambria Math" w:hAnsi="Cambria Math" w:cs="Times New Roman"/>
                            <w:sz w:val="20"/>
                            <w:lang w:val="en-US"/>
                          </w:rPr>
                          <m:t>φZ</m:t>
                        </m:r>
                      </m:den>
                    </m:f>
                  </m:e>
                </m:rad>
                <m:r>
                  <w:rPr>
                    <w:rFonts w:ascii="Cambria Math" w:hAnsi="Cambria Math" w:cs="Times New Roman"/>
                    <w:sz w:val="20"/>
                    <w:lang w:val="en-US"/>
                  </w:rPr>
                  <m:t>(</m:t>
                </m:r>
                <m:r>
                  <m:rPr>
                    <m:sty m:val="p"/>
                  </m:rPr>
                  <w:rPr>
                    <w:rFonts w:ascii="Cambria Math" w:hAnsi="Cambria Math" w:cs="Times New Roman"/>
                    <w:sz w:val="20"/>
                    <w:lang w:val="en-US"/>
                  </w:rPr>
                  <m:t>mm</m:t>
                </m:r>
                <m:r>
                  <w:rPr>
                    <w:rFonts w:ascii="Cambria Math" w:hAnsi="Cambria Math" w:cs="Times New Roman"/>
                    <w:sz w:val="20"/>
                    <w:lang w:val="en-US"/>
                  </w:rPr>
                  <m:t>)</m:t>
                </m:r>
              </m:oMath>
            </m:oMathPara>
          </w:p>
        </w:tc>
      </w:tr>
      <w:tr w:rsidR="007C2214" w:rsidTr="007C2214">
        <w:trPr>
          <w:trHeight w:val="233"/>
        </w:trPr>
        <w:tc>
          <w:tcPr>
            <w:tcW w:w="438" w:type="dxa"/>
          </w:tcPr>
          <w:p w:rsidR="00C45A26" w:rsidRPr="007C2214" w:rsidRDefault="00C45A26">
            <w:pPr>
              <w:spacing w:after="200" w:line="276" w:lineRule="auto"/>
              <w:jc w:val="left"/>
              <w:rPr>
                <w:rFonts w:asciiTheme="majorHAnsi" w:hAnsiTheme="majorHAnsi" w:cs="Times New Roman"/>
                <w:sz w:val="20"/>
                <w:lang w:val="en-US"/>
              </w:rPr>
            </w:pPr>
            <w:r w:rsidRPr="007C2214">
              <w:rPr>
                <w:rFonts w:asciiTheme="majorHAnsi" w:hAnsiTheme="majorHAnsi" w:cs="Times New Roman"/>
                <w:sz w:val="20"/>
                <w:lang w:val="en-US"/>
              </w:rPr>
              <w:t>1</w:t>
            </w:r>
          </w:p>
        </w:tc>
        <w:tc>
          <w:tcPr>
            <w:tcW w:w="1230" w:type="dxa"/>
          </w:tcPr>
          <w:p w:rsidR="00C45A26" w:rsidRDefault="00C45A26">
            <w:pPr>
              <w:spacing w:after="200" w:line="276" w:lineRule="auto"/>
              <w:jc w:val="left"/>
              <w:rPr>
                <w:rFonts w:asciiTheme="majorHAnsi" w:hAnsiTheme="majorHAnsi" w:cs="Times New Roman"/>
                <w:sz w:val="20"/>
              </w:rPr>
            </w:pPr>
            <w:r w:rsidRPr="007C2214">
              <w:rPr>
                <w:rFonts w:asciiTheme="majorHAnsi" w:hAnsiTheme="majorHAnsi" w:cs="Times New Roman"/>
                <w:sz w:val="20"/>
                <w:lang w:val="en-US"/>
              </w:rPr>
              <w:t>2</w:t>
            </w:r>
            <w:r>
              <w:rPr>
                <w:rFonts w:asciiTheme="majorHAnsi" w:hAnsiTheme="majorHAnsi" w:cs="Times New Roman"/>
                <w:sz w:val="20"/>
              </w:rPr>
              <w:t>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321</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311</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10.2</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18.4</w:t>
            </w:r>
          </w:p>
        </w:tc>
      </w:tr>
      <w:tr w:rsidR="007C2214" w:rsidTr="007C2214">
        <w:tc>
          <w:tcPr>
            <w:tcW w:w="438"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2</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20</w:t>
            </w:r>
            <w:r w:rsidR="009234E5">
              <w:rPr>
                <w:rFonts w:asciiTheme="majorHAnsi" w:hAnsiTheme="majorHAnsi" w:cs="Times New Roman"/>
                <w:sz w:val="20"/>
              </w:rPr>
              <w:t> </w:t>
            </w:r>
            <w:r>
              <w:rPr>
                <w:rFonts w:asciiTheme="majorHAnsi" w:hAnsiTheme="majorHAnsi" w:cs="Times New Roman"/>
                <w:sz w:val="20"/>
              </w:rPr>
              <w:t>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459</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249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7.6</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13</w:t>
            </w:r>
          </w:p>
        </w:tc>
      </w:tr>
      <w:tr w:rsidR="007C2214"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22</w:t>
            </w:r>
            <w:r w:rsidR="009234E5">
              <w:rPr>
                <w:rFonts w:asciiTheme="majorHAnsi" w:hAnsiTheme="majorHAnsi" w:cs="Times New Roman"/>
                <w:sz w:val="20"/>
              </w:rPr>
              <w:t> </w:t>
            </w:r>
            <w:r>
              <w:rPr>
                <w:rFonts w:asciiTheme="majorHAnsi" w:hAnsiTheme="majorHAnsi" w:cs="Times New Roman"/>
                <w:sz w:val="20"/>
              </w:rPr>
              <w:t>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669</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6.3</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10.6</w:t>
            </w:r>
          </w:p>
        </w:tc>
      </w:tr>
      <w:tr w:rsidR="007C2214"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4</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22</w:t>
            </w:r>
            <w:r w:rsidR="009234E5">
              <w:rPr>
                <w:rFonts w:asciiTheme="majorHAnsi" w:hAnsiTheme="majorHAnsi" w:cs="Times New Roman"/>
                <w:sz w:val="20"/>
              </w:rPr>
              <w:t> </w:t>
            </w:r>
            <w:r>
              <w:rPr>
                <w:rFonts w:asciiTheme="majorHAnsi" w:hAnsiTheme="majorHAnsi" w:cs="Times New Roman"/>
                <w:sz w:val="20"/>
              </w:rPr>
              <w:t>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1000</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233</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5.2</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9.2</w:t>
            </w:r>
          </w:p>
        </w:tc>
      </w:tr>
      <w:tr w:rsidR="007C2214"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5</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18</w:t>
            </w:r>
            <w:r w:rsidR="009234E5">
              <w:rPr>
                <w:rFonts w:asciiTheme="majorHAnsi" w:hAnsiTheme="majorHAnsi" w:cs="Times New Roman"/>
                <w:sz w:val="20"/>
              </w:rPr>
              <w:t> </w:t>
            </w:r>
            <w:r>
              <w:rPr>
                <w:rFonts w:asciiTheme="majorHAnsi" w:hAnsiTheme="majorHAnsi" w:cs="Times New Roman"/>
                <w:sz w:val="20"/>
              </w:rPr>
              <w:t>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407</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512</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11.0</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19.2</w:t>
            </w:r>
          </w:p>
        </w:tc>
      </w:tr>
      <w:tr w:rsidR="007C2214"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6</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12</w:t>
            </w:r>
            <w:r w:rsidR="009234E5">
              <w:rPr>
                <w:rFonts w:asciiTheme="majorHAnsi" w:hAnsiTheme="majorHAnsi" w:cs="Times New Roman"/>
                <w:sz w:val="20"/>
              </w:rPr>
              <w:t> </w:t>
            </w:r>
            <w:r>
              <w:rPr>
                <w:rFonts w:asciiTheme="majorHAnsi" w:hAnsiTheme="majorHAnsi" w:cs="Times New Roman"/>
                <w:sz w:val="20"/>
              </w:rPr>
              <w:t>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408</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557</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9.4</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15.7</w:t>
            </w:r>
          </w:p>
        </w:tc>
      </w:tr>
      <w:tr w:rsidR="007C2214"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7</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16</w:t>
            </w:r>
            <w:r w:rsidR="009234E5">
              <w:rPr>
                <w:rFonts w:asciiTheme="majorHAnsi" w:hAnsiTheme="majorHAnsi" w:cs="Times New Roman"/>
                <w:sz w:val="20"/>
              </w:rPr>
              <w:t> </w:t>
            </w:r>
            <w:r>
              <w:rPr>
                <w:rFonts w:asciiTheme="majorHAnsi" w:hAnsiTheme="majorHAnsi" w:cs="Times New Roman"/>
                <w:sz w:val="20"/>
              </w:rPr>
              <w:t>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382</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7.2</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13.2</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8</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15 000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738</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451</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7.0</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11.4</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9</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13 000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212</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268</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9.4</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16.1</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70 000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933</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81</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5.7</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9.8</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11</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65 000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1441</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78</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4.3</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7.7</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12</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65 000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1604</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78</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4.1</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7.0</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13</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39 000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850</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217</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7.3</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11.6</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14</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37 000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1234</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6.1</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10.8</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15</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37 000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1405</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5.7</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10.1</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16</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37 000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676</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216</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8.0</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13.6</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17</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34 500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1009</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228</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6.5</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10.7</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18</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36 000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661</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8.2</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14.5</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19</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34 000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515</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9.0</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16</w:t>
            </w:r>
            <w:r w:rsidR="007C2214">
              <w:rPr>
                <w:rFonts w:asciiTheme="majorHAnsi" w:hAnsiTheme="majorHAnsi" w:cs="Times New Roman"/>
                <w:sz w:val="20"/>
              </w:rPr>
              <w:t>.0</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20</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35 000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426</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228</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10.0</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17.5</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21</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3153</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276</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13.4</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22.9</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22</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245 000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1088</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179</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14.7</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18.1</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lastRenderedPageBreak/>
              <w:t>23</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5</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1943</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278</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12.1</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19.6</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24</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2430</w:t>
            </w:r>
          </w:p>
        </w:tc>
        <w:tc>
          <w:tcPr>
            <w:tcW w:w="129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276</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15.2</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27.2</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25</w:t>
            </w:r>
          </w:p>
        </w:tc>
        <w:tc>
          <w:tcPr>
            <w:tcW w:w="1230" w:type="dxa"/>
          </w:tcPr>
          <w:p w:rsidR="00C45A26" w:rsidRDefault="00C45A26">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1670</w:t>
            </w:r>
          </w:p>
        </w:tc>
        <w:tc>
          <w:tcPr>
            <w:tcW w:w="1298"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276</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18.3</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32.3</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26</w:t>
            </w:r>
          </w:p>
        </w:tc>
        <w:tc>
          <w:tcPr>
            <w:tcW w:w="1230"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1386</w:t>
            </w:r>
          </w:p>
        </w:tc>
        <w:tc>
          <w:tcPr>
            <w:tcW w:w="1298"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274</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20.1</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38.2</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27</w:t>
            </w:r>
          </w:p>
        </w:tc>
        <w:tc>
          <w:tcPr>
            <w:tcW w:w="1230"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15</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2438</w:t>
            </w:r>
          </w:p>
        </w:tc>
        <w:tc>
          <w:tcPr>
            <w:tcW w:w="1298"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412</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22.7</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41.6</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28</w:t>
            </w:r>
          </w:p>
        </w:tc>
        <w:tc>
          <w:tcPr>
            <w:tcW w:w="1230"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370 000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25</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2795</w:t>
            </w:r>
          </w:p>
        </w:tc>
        <w:tc>
          <w:tcPr>
            <w:tcW w:w="1298"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414</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27.1</w:t>
            </w:r>
          </w:p>
        </w:tc>
        <w:tc>
          <w:tcPr>
            <w:tcW w:w="1276"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48.7</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29</w:t>
            </w:r>
          </w:p>
        </w:tc>
        <w:tc>
          <w:tcPr>
            <w:tcW w:w="1230"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15</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2448</w:t>
            </w:r>
          </w:p>
        </w:tc>
        <w:tc>
          <w:tcPr>
            <w:tcW w:w="1298"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413</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22.7</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39.8</w:t>
            </w:r>
          </w:p>
        </w:tc>
      </w:tr>
      <w:tr w:rsidR="00C45A26" w:rsidTr="007C2214">
        <w:tc>
          <w:tcPr>
            <w:tcW w:w="438"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30</w:t>
            </w:r>
          </w:p>
        </w:tc>
        <w:tc>
          <w:tcPr>
            <w:tcW w:w="1230"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370 000</w:t>
            </w:r>
          </w:p>
        </w:tc>
        <w:tc>
          <w:tcPr>
            <w:tcW w:w="1275"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15</w:t>
            </w:r>
          </w:p>
        </w:tc>
        <w:tc>
          <w:tcPr>
            <w:tcW w:w="1963" w:type="dxa"/>
          </w:tcPr>
          <w:p w:rsidR="00C45A26" w:rsidRDefault="00344684">
            <w:pPr>
              <w:spacing w:after="200" w:line="276" w:lineRule="auto"/>
              <w:jc w:val="left"/>
              <w:rPr>
                <w:rFonts w:asciiTheme="majorHAnsi" w:hAnsiTheme="majorHAnsi" w:cs="Times New Roman"/>
                <w:sz w:val="20"/>
              </w:rPr>
            </w:pPr>
            <w:r>
              <w:rPr>
                <w:rFonts w:asciiTheme="majorHAnsi" w:hAnsiTheme="majorHAnsi" w:cs="Times New Roman"/>
                <w:sz w:val="20"/>
              </w:rPr>
              <w:t>2367</w:t>
            </w:r>
          </w:p>
        </w:tc>
        <w:tc>
          <w:tcPr>
            <w:tcW w:w="1298"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414</w:t>
            </w:r>
          </w:p>
        </w:tc>
        <w:tc>
          <w:tcPr>
            <w:tcW w:w="1417" w:type="dxa"/>
          </w:tcPr>
          <w:p w:rsidR="00C45A26" w:rsidRDefault="007C2214">
            <w:pPr>
              <w:spacing w:after="200" w:line="276" w:lineRule="auto"/>
              <w:jc w:val="left"/>
              <w:rPr>
                <w:rFonts w:asciiTheme="majorHAnsi" w:hAnsiTheme="majorHAnsi" w:cs="Times New Roman"/>
                <w:sz w:val="20"/>
              </w:rPr>
            </w:pPr>
            <w:r>
              <w:rPr>
                <w:rFonts w:asciiTheme="majorHAnsi" w:hAnsiTheme="majorHAnsi" w:cs="Times New Roman"/>
                <w:sz w:val="20"/>
              </w:rPr>
              <w:t>22.8</w:t>
            </w:r>
          </w:p>
        </w:tc>
        <w:tc>
          <w:tcPr>
            <w:tcW w:w="1276" w:type="dxa"/>
          </w:tcPr>
          <w:p w:rsidR="00C45A26" w:rsidRDefault="009234E5">
            <w:pPr>
              <w:spacing w:after="200" w:line="276" w:lineRule="auto"/>
              <w:jc w:val="left"/>
              <w:rPr>
                <w:rFonts w:asciiTheme="majorHAnsi" w:hAnsiTheme="majorHAnsi" w:cs="Times New Roman"/>
                <w:sz w:val="20"/>
              </w:rPr>
            </w:pPr>
            <w:r>
              <w:rPr>
                <w:rFonts w:asciiTheme="majorHAnsi" w:hAnsiTheme="majorHAnsi" w:cs="Times New Roman"/>
                <w:sz w:val="20"/>
              </w:rPr>
              <w:t>34.5</w:t>
            </w:r>
          </w:p>
        </w:tc>
      </w:tr>
      <w:tr w:rsidR="00344684" w:rsidTr="007C2214">
        <w:tc>
          <w:tcPr>
            <w:tcW w:w="438"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31</w:t>
            </w:r>
          </w:p>
        </w:tc>
        <w:tc>
          <w:tcPr>
            <w:tcW w:w="1230"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2849</w:t>
            </w:r>
          </w:p>
        </w:tc>
        <w:tc>
          <w:tcPr>
            <w:tcW w:w="1298" w:type="dxa"/>
          </w:tcPr>
          <w:p w:rsidR="00344684" w:rsidRDefault="009234E5">
            <w:pPr>
              <w:spacing w:after="200" w:line="276" w:lineRule="auto"/>
              <w:jc w:val="left"/>
              <w:rPr>
                <w:rFonts w:asciiTheme="majorHAnsi" w:hAnsiTheme="majorHAnsi" w:cs="Times New Roman"/>
                <w:sz w:val="20"/>
              </w:rPr>
            </w:pPr>
            <w:r>
              <w:rPr>
                <w:rFonts w:asciiTheme="majorHAnsi" w:hAnsiTheme="majorHAnsi" w:cs="Times New Roman"/>
                <w:sz w:val="20"/>
              </w:rPr>
              <w:t>415</w:t>
            </w:r>
          </w:p>
        </w:tc>
        <w:tc>
          <w:tcPr>
            <w:tcW w:w="1417" w:type="dxa"/>
          </w:tcPr>
          <w:p w:rsidR="00344684" w:rsidRDefault="007C2214">
            <w:pPr>
              <w:spacing w:after="200" w:line="276" w:lineRule="auto"/>
              <w:jc w:val="left"/>
              <w:rPr>
                <w:rFonts w:asciiTheme="majorHAnsi" w:hAnsiTheme="majorHAnsi" w:cs="Times New Roman"/>
                <w:sz w:val="20"/>
              </w:rPr>
            </w:pPr>
            <w:r>
              <w:rPr>
                <w:rFonts w:asciiTheme="majorHAnsi" w:hAnsiTheme="majorHAnsi" w:cs="Times New Roman"/>
                <w:sz w:val="20"/>
              </w:rPr>
              <w:t>17.2</w:t>
            </w:r>
          </w:p>
        </w:tc>
        <w:tc>
          <w:tcPr>
            <w:tcW w:w="1276" w:type="dxa"/>
          </w:tcPr>
          <w:p w:rsidR="00344684" w:rsidRDefault="007C2214">
            <w:pPr>
              <w:spacing w:after="200" w:line="276" w:lineRule="auto"/>
              <w:jc w:val="left"/>
              <w:rPr>
                <w:rFonts w:asciiTheme="majorHAnsi" w:hAnsiTheme="majorHAnsi" w:cs="Times New Roman"/>
                <w:sz w:val="20"/>
              </w:rPr>
            </w:pPr>
            <w:r>
              <w:rPr>
                <w:rFonts w:asciiTheme="majorHAnsi" w:hAnsiTheme="majorHAnsi" w:cs="Times New Roman"/>
                <w:sz w:val="20"/>
              </w:rPr>
              <w:t>29.8</w:t>
            </w:r>
          </w:p>
        </w:tc>
      </w:tr>
      <w:tr w:rsidR="00344684" w:rsidTr="007C2214">
        <w:tc>
          <w:tcPr>
            <w:tcW w:w="438"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32</w:t>
            </w:r>
          </w:p>
        </w:tc>
        <w:tc>
          <w:tcPr>
            <w:tcW w:w="1230"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380 000</w:t>
            </w:r>
          </w:p>
        </w:tc>
        <w:tc>
          <w:tcPr>
            <w:tcW w:w="1275"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3877</w:t>
            </w:r>
          </w:p>
        </w:tc>
        <w:tc>
          <w:tcPr>
            <w:tcW w:w="1298" w:type="dxa"/>
          </w:tcPr>
          <w:p w:rsidR="00344684" w:rsidRDefault="009234E5">
            <w:pPr>
              <w:spacing w:after="200" w:line="276" w:lineRule="auto"/>
              <w:jc w:val="left"/>
              <w:rPr>
                <w:rFonts w:asciiTheme="majorHAnsi" w:hAnsiTheme="majorHAnsi" w:cs="Times New Roman"/>
                <w:sz w:val="20"/>
              </w:rPr>
            </w:pPr>
            <w:r>
              <w:rPr>
                <w:rFonts w:asciiTheme="majorHAnsi" w:hAnsiTheme="majorHAnsi" w:cs="Times New Roman"/>
                <w:sz w:val="20"/>
              </w:rPr>
              <w:t>412</w:t>
            </w:r>
          </w:p>
        </w:tc>
        <w:tc>
          <w:tcPr>
            <w:tcW w:w="1417" w:type="dxa"/>
          </w:tcPr>
          <w:p w:rsidR="00344684" w:rsidRDefault="007C2214">
            <w:pPr>
              <w:spacing w:after="200" w:line="276" w:lineRule="auto"/>
              <w:jc w:val="left"/>
              <w:rPr>
                <w:rFonts w:asciiTheme="majorHAnsi" w:hAnsiTheme="majorHAnsi" w:cs="Times New Roman"/>
                <w:sz w:val="20"/>
              </w:rPr>
            </w:pPr>
            <w:r>
              <w:rPr>
                <w:rFonts w:asciiTheme="majorHAnsi" w:hAnsiTheme="majorHAnsi" w:cs="Times New Roman"/>
                <w:sz w:val="20"/>
              </w:rPr>
              <w:t>14.7</w:t>
            </w:r>
          </w:p>
        </w:tc>
        <w:tc>
          <w:tcPr>
            <w:tcW w:w="1276" w:type="dxa"/>
          </w:tcPr>
          <w:p w:rsidR="00344684" w:rsidRDefault="009234E5">
            <w:pPr>
              <w:spacing w:after="200" w:line="276" w:lineRule="auto"/>
              <w:jc w:val="left"/>
              <w:rPr>
                <w:rFonts w:asciiTheme="majorHAnsi" w:hAnsiTheme="majorHAnsi" w:cs="Times New Roman"/>
                <w:sz w:val="20"/>
              </w:rPr>
            </w:pPr>
            <w:r>
              <w:rPr>
                <w:rFonts w:asciiTheme="majorHAnsi" w:hAnsiTheme="majorHAnsi" w:cs="Times New Roman"/>
                <w:sz w:val="20"/>
              </w:rPr>
              <w:t>23.2</w:t>
            </w:r>
          </w:p>
        </w:tc>
      </w:tr>
      <w:tr w:rsidR="00344684" w:rsidTr="007C2214">
        <w:tc>
          <w:tcPr>
            <w:tcW w:w="438"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33</w:t>
            </w:r>
          </w:p>
        </w:tc>
        <w:tc>
          <w:tcPr>
            <w:tcW w:w="1230"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390 000</w:t>
            </w:r>
          </w:p>
        </w:tc>
        <w:tc>
          <w:tcPr>
            <w:tcW w:w="1275"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10</w:t>
            </w:r>
          </w:p>
        </w:tc>
        <w:tc>
          <w:tcPr>
            <w:tcW w:w="1963" w:type="dxa"/>
          </w:tcPr>
          <w:p w:rsidR="00344684" w:rsidRDefault="00344684">
            <w:pPr>
              <w:spacing w:after="200" w:line="276" w:lineRule="auto"/>
              <w:jc w:val="left"/>
              <w:rPr>
                <w:rFonts w:asciiTheme="majorHAnsi" w:hAnsiTheme="majorHAnsi" w:cs="Times New Roman"/>
                <w:sz w:val="20"/>
              </w:rPr>
            </w:pPr>
            <w:r>
              <w:rPr>
                <w:rFonts w:asciiTheme="majorHAnsi" w:hAnsiTheme="majorHAnsi" w:cs="Times New Roman"/>
                <w:sz w:val="20"/>
              </w:rPr>
              <w:t>3514</w:t>
            </w:r>
          </w:p>
        </w:tc>
        <w:tc>
          <w:tcPr>
            <w:tcW w:w="1298" w:type="dxa"/>
          </w:tcPr>
          <w:p w:rsidR="00344684" w:rsidRDefault="009234E5">
            <w:pPr>
              <w:spacing w:after="200" w:line="276" w:lineRule="auto"/>
              <w:jc w:val="left"/>
              <w:rPr>
                <w:rFonts w:asciiTheme="majorHAnsi" w:hAnsiTheme="majorHAnsi" w:cs="Times New Roman"/>
                <w:sz w:val="20"/>
              </w:rPr>
            </w:pPr>
            <w:r>
              <w:rPr>
                <w:rFonts w:asciiTheme="majorHAnsi" w:hAnsiTheme="majorHAnsi" w:cs="Times New Roman"/>
                <w:sz w:val="20"/>
              </w:rPr>
              <w:t>413</w:t>
            </w:r>
          </w:p>
        </w:tc>
        <w:tc>
          <w:tcPr>
            <w:tcW w:w="1417" w:type="dxa"/>
          </w:tcPr>
          <w:p w:rsidR="00344684" w:rsidRDefault="007C2214">
            <w:pPr>
              <w:spacing w:after="200" w:line="276" w:lineRule="auto"/>
              <w:jc w:val="left"/>
              <w:rPr>
                <w:rFonts w:asciiTheme="majorHAnsi" w:hAnsiTheme="majorHAnsi" w:cs="Times New Roman"/>
                <w:sz w:val="20"/>
              </w:rPr>
            </w:pPr>
            <w:r>
              <w:rPr>
                <w:rFonts w:asciiTheme="majorHAnsi" w:hAnsiTheme="majorHAnsi" w:cs="Times New Roman"/>
                <w:sz w:val="20"/>
              </w:rPr>
              <w:t>15.7</w:t>
            </w:r>
          </w:p>
        </w:tc>
        <w:tc>
          <w:tcPr>
            <w:tcW w:w="1276" w:type="dxa"/>
          </w:tcPr>
          <w:p w:rsidR="00344684" w:rsidRDefault="009234E5">
            <w:pPr>
              <w:spacing w:after="200" w:line="276" w:lineRule="auto"/>
              <w:jc w:val="left"/>
              <w:rPr>
                <w:rFonts w:asciiTheme="majorHAnsi" w:hAnsiTheme="majorHAnsi" w:cs="Times New Roman"/>
                <w:sz w:val="20"/>
              </w:rPr>
            </w:pPr>
            <w:r>
              <w:rPr>
                <w:rFonts w:asciiTheme="majorHAnsi" w:hAnsiTheme="majorHAnsi" w:cs="Times New Roman"/>
                <w:sz w:val="20"/>
              </w:rPr>
              <w:t>25.7</w:t>
            </w:r>
          </w:p>
        </w:tc>
      </w:tr>
    </w:tbl>
    <w:p w:rsidR="00C45A26" w:rsidRDefault="00C45A26">
      <w:pPr>
        <w:spacing w:after="200" w:line="276" w:lineRule="auto"/>
        <w:jc w:val="left"/>
        <w:rPr>
          <w:rFonts w:asciiTheme="majorHAnsi" w:hAnsiTheme="majorHAnsi" w:cs="Times New Roman"/>
          <w:sz w:val="20"/>
          <w:lang w:val="sv-SE"/>
        </w:rPr>
      </w:pPr>
    </w:p>
    <w:p w:rsidR="00264A46" w:rsidRDefault="00264A46">
      <w:pPr>
        <w:spacing w:after="200" w:line="276" w:lineRule="auto"/>
        <w:jc w:val="left"/>
        <w:rPr>
          <w:rFonts w:asciiTheme="majorHAnsi" w:hAnsiTheme="majorHAnsi" w:cs="Times New Roman"/>
          <w:sz w:val="20"/>
          <w:lang w:val="sv-SE"/>
        </w:rPr>
      </w:pPr>
    </w:p>
    <w:p w:rsidR="001F3336" w:rsidRDefault="001F3336">
      <w:pPr>
        <w:spacing w:after="200" w:line="276" w:lineRule="auto"/>
        <w:jc w:val="left"/>
        <w:rPr>
          <w:rFonts w:asciiTheme="majorHAnsi" w:hAnsiTheme="majorHAnsi" w:cs="Times New Roman"/>
          <w:sz w:val="20"/>
        </w:rPr>
      </w:pPr>
      <w:r>
        <w:br w:type="page"/>
      </w:r>
    </w:p>
    <w:p w:rsidR="00C45A26" w:rsidRPr="0081179C" w:rsidRDefault="00C45A26" w:rsidP="00386321">
      <w:pPr>
        <w:pStyle w:val="insertpicture"/>
      </w:pPr>
    </w:p>
    <w:p w:rsidR="00386321" w:rsidRDefault="00386321" w:rsidP="00386321">
      <w:pPr>
        <w:pStyle w:val="insertpicture"/>
        <w:rPr>
          <w:lang w:val="sv-SE"/>
        </w:rPr>
      </w:pPr>
      <w:r w:rsidRPr="00516551">
        <w:rPr>
          <w:noProof/>
          <w:lang w:eastAsia="ko-KR"/>
        </w:rPr>
        <w:drawing>
          <wp:inline distT="0" distB="0" distL="0" distR="0" wp14:anchorId="117B375C" wp14:editId="3F078F47">
            <wp:extent cx="4348878" cy="3240000"/>
            <wp:effectExtent l="0" t="0" r="0" b="0"/>
            <wp:docPr id="9" name="Picture 9" descr="ExtremeCase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remeCaseEField"/>
                    <pic:cNvPicPr>
                      <a:picLocks/>
                    </pic:cNvPicPr>
                  </pic:nvPicPr>
                  <pic:blipFill rotWithShape="1">
                    <a:blip r:embed="rId9" cstate="print">
                      <a:extLst>
                        <a:ext uri="{28A0092B-C50C-407E-A947-70E740481C1C}">
                          <a14:useLocalDpi xmlns:a14="http://schemas.microsoft.com/office/drawing/2010/main" val="0"/>
                        </a:ext>
                      </a:extLst>
                    </a:blip>
                    <a:srcRect l="49727"/>
                    <a:stretch/>
                  </pic:blipFill>
                  <pic:spPr bwMode="auto">
                    <a:xfrm>
                      <a:off x="0" y="0"/>
                      <a:ext cx="4348878" cy="3240000"/>
                    </a:xfrm>
                    <a:prstGeom prst="rect">
                      <a:avLst/>
                    </a:prstGeom>
                    <a:noFill/>
                    <a:ln>
                      <a:noFill/>
                    </a:ln>
                    <a:extLst>
                      <a:ext uri="{53640926-AAD7-44D8-BBD7-CCE9431645EC}">
                        <a14:shadowObscured xmlns:a14="http://schemas.microsoft.com/office/drawing/2010/main"/>
                      </a:ext>
                    </a:extLst>
                  </pic:spPr>
                </pic:pic>
              </a:graphicData>
            </a:graphic>
          </wp:inline>
        </w:drawing>
      </w:r>
    </w:p>
    <w:p w:rsidR="00386321" w:rsidRDefault="00386321" w:rsidP="00386321">
      <w:pPr>
        <w:pStyle w:val="insertpicture"/>
        <w:rPr>
          <w:lang w:val="sv-SE"/>
        </w:rPr>
      </w:pPr>
      <w:r w:rsidRPr="00516551">
        <w:rPr>
          <w:noProof/>
          <w:lang w:eastAsia="ko-KR"/>
        </w:rPr>
        <w:drawing>
          <wp:inline distT="0" distB="0" distL="0" distR="0" wp14:anchorId="20105BE1" wp14:editId="2EA18C59">
            <wp:extent cx="4181390" cy="3240000"/>
            <wp:effectExtent l="0" t="0" r="0" b="0"/>
            <wp:docPr id="11" name="Picture 9" descr="ExtremeCase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remeCaseEField"/>
                    <pic:cNvPicPr>
                      <a:picLocks/>
                    </pic:cNvPicPr>
                  </pic:nvPicPr>
                  <pic:blipFill rotWithShape="1">
                    <a:blip r:embed="rId9" cstate="print">
                      <a:extLst>
                        <a:ext uri="{28A0092B-C50C-407E-A947-70E740481C1C}">
                          <a14:useLocalDpi xmlns:a14="http://schemas.microsoft.com/office/drawing/2010/main" val="0"/>
                        </a:ext>
                      </a:extLst>
                    </a:blip>
                    <a:srcRect r="51713"/>
                    <a:stretch/>
                  </pic:blipFill>
                  <pic:spPr bwMode="auto">
                    <a:xfrm>
                      <a:off x="0" y="0"/>
                      <a:ext cx="4181390" cy="32400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86321" w:rsidRDefault="00386321" w:rsidP="00386321">
      <w:pPr>
        <w:pStyle w:val="insertpicture"/>
        <w:rPr>
          <w:lang w:val="sv-SE"/>
        </w:rPr>
      </w:pPr>
    </w:p>
    <w:p w:rsidR="003F3DE0" w:rsidRPr="00137DE1" w:rsidRDefault="007D2CB6" w:rsidP="00386321">
      <w:pPr>
        <w:spacing w:line="276" w:lineRule="auto"/>
      </w:pPr>
      <w:r>
        <w:rPr>
          <w:b/>
        </w:rPr>
        <w:t>Figure S3</w:t>
      </w:r>
      <w:r w:rsidR="00386321" w:rsidRPr="00137DE1">
        <w:rPr>
          <w:b/>
        </w:rPr>
        <w:t>.</w:t>
      </w:r>
      <w:r w:rsidR="00386321" w:rsidRPr="00137DE1">
        <w:t xml:space="preserve"> Particle trajectories (black lines) plotted together with the gas flow profile (color contour) and the electric field lines (grey lines) for a wide inlet and a narrow inlet. The deposition spot does not depend on the width of the inlet nor the gas velocity, as illustrated here. The deposition spot can both be thinner and wider than the width of the inlet nozzle.</w:t>
      </w:r>
    </w:p>
    <w:sectPr w:rsidR="003F3DE0" w:rsidRPr="00137DE1" w:rsidSect="005F1392">
      <w:footerReference w:type="even" r:id="rId10"/>
      <w:footerReference w:type="default" r:id="rId11"/>
      <w:pgSz w:w="11907" w:h="16839" w:code="9"/>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65" w:rsidRDefault="00C47989">
      <w:pPr>
        <w:spacing w:after="0" w:line="240" w:lineRule="auto"/>
      </w:pPr>
      <w:r>
        <w:separator/>
      </w:r>
    </w:p>
  </w:endnote>
  <w:endnote w:type="continuationSeparator" w:id="0">
    <w:p w:rsidR="005C0965" w:rsidRDefault="00C4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04400"/>
      <w:docPartObj>
        <w:docPartGallery w:val="Page Numbers (Bottom of Page)"/>
        <w:docPartUnique/>
      </w:docPartObj>
    </w:sdtPr>
    <w:sdtEndPr/>
    <w:sdtContent>
      <w:p w:rsidR="00EB60C7" w:rsidRDefault="00561E6A">
        <w:pPr>
          <w:pStyle w:val="Footer"/>
        </w:pPr>
        <w:r>
          <w:fldChar w:fldCharType="begin"/>
        </w:r>
        <w:r>
          <w:instrText>PAGE   \* MERGEFORMAT</w:instrText>
        </w:r>
        <w:r>
          <w:fldChar w:fldCharType="separate"/>
        </w:r>
        <w:r>
          <w:rPr>
            <w:noProof/>
          </w:rPr>
          <w:t>46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90574"/>
      <w:docPartObj>
        <w:docPartGallery w:val="Page Numbers (Bottom of Page)"/>
        <w:docPartUnique/>
      </w:docPartObj>
    </w:sdtPr>
    <w:sdtEndPr>
      <w:rPr>
        <w:noProof/>
      </w:rPr>
    </w:sdtEndPr>
    <w:sdtContent>
      <w:p w:rsidR="00EB60C7" w:rsidRPr="00331994" w:rsidRDefault="00561E6A" w:rsidP="005F1392">
        <w:pPr>
          <w:pStyle w:val="Footer"/>
          <w:jc w:val="right"/>
        </w:pPr>
        <w:r>
          <w:fldChar w:fldCharType="begin"/>
        </w:r>
        <w:r>
          <w:instrText xml:space="preserve"> PAGE   \* MERGEFORMAT </w:instrText>
        </w:r>
        <w:r>
          <w:fldChar w:fldCharType="separate"/>
        </w:r>
        <w:r w:rsidR="0044131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65" w:rsidRDefault="00C47989">
      <w:pPr>
        <w:spacing w:after="0" w:line="240" w:lineRule="auto"/>
      </w:pPr>
      <w:r>
        <w:separator/>
      </w:r>
    </w:p>
  </w:footnote>
  <w:footnote w:type="continuationSeparator" w:id="0">
    <w:p w:rsidR="005C0965" w:rsidRDefault="00C47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8E"/>
    <w:rsid w:val="001055F1"/>
    <w:rsid w:val="00137DE1"/>
    <w:rsid w:val="00192FA8"/>
    <w:rsid w:val="001F3336"/>
    <w:rsid w:val="00264A46"/>
    <w:rsid w:val="00344684"/>
    <w:rsid w:val="00386321"/>
    <w:rsid w:val="003B61A7"/>
    <w:rsid w:val="003F3DE0"/>
    <w:rsid w:val="00441312"/>
    <w:rsid w:val="00561E6A"/>
    <w:rsid w:val="005C0965"/>
    <w:rsid w:val="007C2214"/>
    <w:rsid w:val="007D2CB6"/>
    <w:rsid w:val="007E3A44"/>
    <w:rsid w:val="0081179C"/>
    <w:rsid w:val="0088001A"/>
    <w:rsid w:val="008A4639"/>
    <w:rsid w:val="008F0E25"/>
    <w:rsid w:val="00902371"/>
    <w:rsid w:val="009234E5"/>
    <w:rsid w:val="00AB398C"/>
    <w:rsid w:val="00C45A26"/>
    <w:rsid w:val="00C47989"/>
    <w:rsid w:val="00EA748E"/>
    <w:rsid w:val="00F425DC"/>
    <w:rsid w:val="00F854C4"/>
    <w:rsid w:val="00FA2D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6321"/>
    <w:pPr>
      <w:spacing w:after="120" w:line="260" w:lineRule="exact"/>
      <w:jc w:val="both"/>
    </w:pPr>
    <w:rPr>
      <w:rFonts w:ascii="Times New Roman" w:hAnsi="Times New Roman"/>
      <w:szCs w:val="24"/>
      <w:lang w:eastAsia="sv-SE"/>
    </w:rPr>
  </w:style>
  <w:style w:type="paragraph" w:styleId="Heading1">
    <w:name w:val="heading 1"/>
    <w:basedOn w:val="Normal"/>
    <w:next w:val="Normal"/>
    <w:link w:val="Heading1Char"/>
    <w:uiPriority w:val="9"/>
    <w:qFormat/>
    <w:rsid w:val="00386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line 2"/>
    <w:basedOn w:val="Heading1"/>
    <w:next w:val="Normal"/>
    <w:link w:val="Heading2Char"/>
    <w:uiPriority w:val="9"/>
    <w:qFormat/>
    <w:rsid w:val="00386321"/>
    <w:pPr>
      <w:keepNext w:val="0"/>
      <w:keepLines w:val="0"/>
      <w:widowControl w:val="0"/>
      <w:suppressAutoHyphens/>
      <w:spacing w:before="600" w:after="240" w:line="240" w:lineRule="auto"/>
      <w:jc w:val="left"/>
      <w:outlineLvl w:val="1"/>
    </w:pPr>
    <w:rPr>
      <w:rFonts w:eastAsiaTheme="minorEastAsia" w:cs="Times New Roman"/>
      <w:b w:val="0"/>
      <w:bCs w:val="0"/>
      <w:color w:val="auto"/>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2 Char"/>
    <w:basedOn w:val="DefaultParagraphFont"/>
    <w:link w:val="Heading2"/>
    <w:uiPriority w:val="9"/>
    <w:rsid w:val="00386321"/>
    <w:rPr>
      <w:rFonts w:asciiTheme="majorHAnsi" w:hAnsiTheme="majorHAnsi" w:cs="Times New Roman"/>
      <w:sz w:val="32"/>
      <w:szCs w:val="24"/>
      <w:lang w:eastAsia="sv-SE"/>
    </w:rPr>
  </w:style>
  <w:style w:type="paragraph" w:customStyle="1" w:styleId="insertpicture">
    <w:name w:val="insert picture"/>
    <w:basedOn w:val="Normal"/>
    <w:qFormat/>
    <w:rsid w:val="00386321"/>
    <w:pPr>
      <w:spacing w:before="240" w:after="240" w:line="240" w:lineRule="auto"/>
      <w:jc w:val="center"/>
    </w:pPr>
    <w:rPr>
      <w:rFonts w:asciiTheme="majorHAnsi" w:hAnsiTheme="majorHAnsi" w:cs="Times New Roman"/>
      <w:sz w:val="20"/>
    </w:rPr>
  </w:style>
  <w:style w:type="paragraph" w:styleId="Footer">
    <w:name w:val="footer"/>
    <w:basedOn w:val="Normal"/>
    <w:link w:val="FooterChar"/>
    <w:uiPriority w:val="99"/>
    <w:unhideWhenUsed/>
    <w:rsid w:val="003863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86321"/>
    <w:rPr>
      <w:rFonts w:ascii="Times New Roman" w:hAnsi="Times New Roman"/>
      <w:szCs w:val="24"/>
      <w:lang w:eastAsia="sv-SE"/>
    </w:rPr>
  </w:style>
  <w:style w:type="table" w:styleId="TableGrid">
    <w:name w:val="Table Grid"/>
    <w:basedOn w:val="TableNormal"/>
    <w:uiPriority w:val="59"/>
    <w:rsid w:val="00386321"/>
    <w:pPr>
      <w:spacing w:after="0" w:line="240" w:lineRule="auto"/>
    </w:pPr>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6321"/>
    <w:rPr>
      <w:rFonts w:asciiTheme="majorHAnsi" w:eastAsiaTheme="majorEastAsia" w:hAnsiTheme="majorHAnsi" w:cstheme="majorBidi"/>
      <w:b/>
      <w:bCs/>
      <w:color w:val="365F91" w:themeColor="accent1" w:themeShade="BF"/>
      <w:sz w:val="28"/>
      <w:szCs w:val="28"/>
      <w:lang w:eastAsia="sv-SE"/>
    </w:rPr>
  </w:style>
  <w:style w:type="paragraph" w:styleId="BalloonText">
    <w:name w:val="Balloon Text"/>
    <w:basedOn w:val="Normal"/>
    <w:link w:val="BalloonTextChar"/>
    <w:uiPriority w:val="99"/>
    <w:semiHidden/>
    <w:unhideWhenUsed/>
    <w:rsid w:val="0038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21"/>
    <w:rPr>
      <w:rFonts w:ascii="Tahoma" w:hAnsi="Tahoma" w:cs="Tahoma"/>
      <w:sz w:val="16"/>
      <w:szCs w:val="16"/>
      <w:lang w:eastAsia="sv-SE"/>
    </w:rPr>
  </w:style>
  <w:style w:type="paragraph" w:customStyle="1" w:styleId="Articletitle">
    <w:name w:val="Article title"/>
    <w:basedOn w:val="Normal"/>
    <w:next w:val="Normal"/>
    <w:qFormat/>
    <w:rsid w:val="00386321"/>
    <w:pPr>
      <w:spacing w:line="360" w:lineRule="auto"/>
      <w:jc w:val="left"/>
    </w:pPr>
    <w:rPr>
      <w:rFonts w:eastAsia="Times New Roman" w:cs="Times New Roman"/>
      <w:b/>
      <w:sz w:val="28"/>
      <w:lang w:val="en-GB" w:eastAsia="en-GB"/>
    </w:rPr>
  </w:style>
  <w:style w:type="paragraph" w:customStyle="1" w:styleId="Authornames">
    <w:name w:val="Author names"/>
    <w:basedOn w:val="Normal"/>
    <w:next w:val="Normal"/>
    <w:qFormat/>
    <w:rsid w:val="00386321"/>
    <w:pPr>
      <w:spacing w:before="240" w:after="0" w:line="360" w:lineRule="auto"/>
      <w:jc w:val="left"/>
    </w:pPr>
    <w:rPr>
      <w:rFonts w:eastAsia="Times New Roman" w:cs="Times New Roman"/>
      <w:sz w:val="28"/>
      <w:lang w:val="en-GB" w:eastAsia="en-GB"/>
    </w:rPr>
  </w:style>
  <w:style w:type="paragraph" w:customStyle="1" w:styleId="Affiliation">
    <w:name w:val="Affiliation"/>
    <w:basedOn w:val="Normal"/>
    <w:qFormat/>
    <w:rsid w:val="00386321"/>
    <w:pPr>
      <w:spacing w:before="240" w:after="0" w:line="360" w:lineRule="auto"/>
      <w:jc w:val="left"/>
    </w:pPr>
    <w:rPr>
      <w:rFonts w:eastAsia="Times New Roman" w:cs="Times New Roman"/>
      <w:i/>
      <w:sz w:val="24"/>
      <w:lang w:val="en-GB" w:eastAsia="en-GB"/>
    </w:rPr>
  </w:style>
  <w:style w:type="paragraph" w:customStyle="1" w:styleId="Correspondencedetails">
    <w:name w:val="Correspondence details"/>
    <w:basedOn w:val="Normal"/>
    <w:qFormat/>
    <w:rsid w:val="00386321"/>
    <w:pPr>
      <w:spacing w:before="240" w:after="0" w:line="360" w:lineRule="auto"/>
      <w:jc w:val="left"/>
    </w:pPr>
    <w:rPr>
      <w:rFonts w:eastAsia="Times New Roman" w:cs="Times New Roman"/>
      <w:sz w:val="24"/>
      <w:lang w:val="en-GB" w:eastAsia="en-GB"/>
    </w:rPr>
  </w:style>
  <w:style w:type="character" w:styleId="PlaceholderText">
    <w:name w:val="Placeholder Text"/>
    <w:basedOn w:val="DefaultParagraphFont"/>
    <w:uiPriority w:val="99"/>
    <w:semiHidden/>
    <w:rsid w:val="001055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6321"/>
    <w:pPr>
      <w:spacing w:after="120" w:line="260" w:lineRule="exact"/>
      <w:jc w:val="both"/>
    </w:pPr>
    <w:rPr>
      <w:rFonts w:ascii="Times New Roman" w:hAnsi="Times New Roman"/>
      <w:szCs w:val="24"/>
      <w:lang w:eastAsia="sv-SE"/>
    </w:rPr>
  </w:style>
  <w:style w:type="paragraph" w:styleId="Heading1">
    <w:name w:val="heading 1"/>
    <w:basedOn w:val="Normal"/>
    <w:next w:val="Normal"/>
    <w:link w:val="Heading1Char"/>
    <w:uiPriority w:val="9"/>
    <w:qFormat/>
    <w:rsid w:val="00386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line 2"/>
    <w:basedOn w:val="Heading1"/>
    <w:next w:val="Normal"/>
    <w:link w:val="Heading2Char"/>
    <w:uiPriority w:val="9"/>
    <w:qFormat/>
    <w:rsid w:val="00386321"/>
    <w:pPr>
      <w:keepNext w:val="0"/>
      <w:keepLines w:val="0"/>
      <w:widowControl w:val="0"/>
      <w:suppressAutoHyphens/>
      <w:spacing w:before="600" w:after="240" w:line="240" w:lineRule="auto"/>
      <w:jc w:val="left"/>
      <w:outlineLvl w:val="1"/>
    </w:pPr>
    <w:rPr>
      <w:rFonts w:eastAsiaTheme="minorEastAsia" w:cs="Times New Roman"/>
      <w:b w:val="0"/>
      <w:bCs w:val="0"/>
      <w:color w:val="auto"/>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2 Char"/>
    <w:basedOn w:val="DefaultParagraphFont"/>
    <w:link w:val="Heading2"/>
    <w:uiPriority w:val="9"/>
    <w:rsid w:val="00386321"/>
    <w:rPr>
      <w:rFonts w:asciiTheme="majorHAnsi" w:hAnsiTheme="majorHAnsi" w:cs="Times New Roman"/>
      <w:sz w:val="32"/>
      <w:szCs w:val="24"/>
      <w:lang w:eastAsia="sv-SE"/>
    </w:rPr>
  </w:style>
  <w:style w:type="paragraph" w:customStyle="1" w:styleId="insertpicture">
    <w:name w:val="insert picture"/>
    <w:basedOn w:val="Normal"/>
    <w:qFormat/>
    <w:rsid w:val="00386321"/>
    <w:pPr>
      <w:spacing w:before="240" w:after="240" w:line="240" w:lineRule="auto"/>
      <w:jc w:val="center"/>
    </w:pPr>
    <w:rPr>
      <w:rFonts w:asciiTheme="majorHAnsi" w:hAnsiTheme="majorHAnsi" w:cs="Times New Roman"/>
      <w:sz w:val="20"/>
    </w:rPr>
  </w:style>
  <w:style w:type="paragraph" w:styleId="Footer">
    <w:name w:val="footer"/>
    <w:basedOn w:val="Normal"/>
    <w:link w:val="FooterChar"/>
    <w:uiPriority w:val="99"/>
    <w:unhideWhenUsed/>
    <w:rsid w:val="003863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86321"/>
    <w:rPr>
      <w:rFonts w:ascii="Times New Roman" w:hAnsi="Times New Roman"/>
      <w:szCs w:val="24"/>
      <w:lang w:eastAsia="sv-SE"/>
    </w:rPr>
  </w:style>
  <w:style w:type="table" w:styleId="TableGrid">
    <w:name w:val="Table Grid"/>
    <w:basedOn w:val="TableNormal"/>
    <w:uiPriority w:val="59"/>
    <w:rsid w:val="00386321"/>
    <w:pPr>
      <w:spacing w:after="0" w:line="240" w:lineRule="auto"/>
    </w:pPr>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6321"/>
    <w:rPr>
      <w:rFonts w:asciiTheme="majorHAnsi" w:eastAsiaTheme="majorEastAsia" w:hAnsiTheme="majorHAnsi" w:cstheme="majorBidi"/>
      <w:b/>
      <w:bCs/>
      <w:color w:val="365F91" w:themeColor="accent1" w:themeShade="BF"/>
      <w:sz w:val="28"/>
      <w:szCs w:val="28"/>
      <w:lang w:eastAsia="sv-SE"/>
    </w:rPr>
  </w:style>
  <w:style w:type="paragraph" w:styleId="BalloonText">
    <w:name w:val="Balloon Text"/>
    <w:basedOn w:val="Normal"/>
    <w:link w:val="BalloonTextChar"/>
    <w:uiPriority w:val="99"/>
    <w:semiHidden/>
    <w:unhideWhenUsed/>
    <w:rsid w:val="0038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21"/>
    <w:rPr>
      <w:rFonts w:ascii="Tahoma" w:hAnsi="Tahoma" w:cs="Tahoma"/>
      <w:sz w:val="16"/>
      <w:szCs w:val="16"/>
      <w:lang w:eastAsia="sv-SE"/>
    </w:rPr>
  </w:style>
  <w:style w:type="paragraph" w:customStyle="1" w:styleId="Articletitle">
    <w:name w:val="Article title"/>
    <w:basedOn w:val="Normal"/>
    <w:next w:val="Normal"/>
    <w:qFormat/>
    <w:rsid w:val="00386321"/>
    <w:pPr>
      <w:spacing w:line="360" w:lineRule="auto"/>
      <w:jc w:val="left"/>
    </w:pPr>
    <w:rPr>
      <w:rFonts w:eastAsia="Times New Roman" w:cs="Times New Roman"/>
      <w:b/>
      <w:sz w:val="28"/>
      <w:lang w:val="en-GB" w:eastAsia="en-GB"/>
    </w:rPr>
  </w:style>
  <w:style w:type="paragraph" w:customStyle="1" w:styleId="Authornames">
    <w:name w:val="Author names"/>
    <w:basedOn w:val="Normal"/>
    <w:next w:val="Normal"/>
    <w:qFormat/>
    <w:rsid w:val="00386321"/>
    <w:pPr>
      <w:spacing w:before="240" w:after="0" w:line="360" w:lineRule="auto"/>
      <w:jc w:val="left"/>
    </w:pPr>
    <w:rPr>
      <w:rFonts w:eastAsia="Times New Roman" w:cs="Times New Roman"/>
      <w:sz w:val="28"/>
      <w:lang w:val="en-GB" w:eastAsia="en-GB"/>
    </w:rPr>
  </w:style>
  <w:style w:type="paragraph" w:customStyle="1" w:styleId="Affiliation">
    <w:name w:val="Affiliation"/>
    <w:basedOn w:val="Normal"/>
    <w:qFormat/>
    <w:rsid w:val="00386321"/>
    <w:pPr>
      <w:spacing w:before="240" w:after="0" w:line="360" w:lineRule="auto"/>
      <w:jc w:val="left"/>
    </w:pPr>
    <w:rPr>
      <w:rFonts w:eastAsia="Times New Roman" w:cs="Times New Roman"/>
      <w:i/>
      <w:sz w:val="24"/>
      <w:lang w:val="en-GB" w:eastAsia="en-GB"/>
    </w:rPr>
  </w:style>
  <w:style w:type="paragraph" w:customStyle="1" w:styleId="Correspondencedetails">
    <w:name w:val="Correspondence details"/>
    <w:basedOn w:val="Normal"/>
    <w:qFormat/>
    <w:rsid w:val="00386321"/>
    <w:pPr>
      <w:spacing w:before="240" w:after="0" w:line="360" w:lineRule="auto"/>
      <w:jc w:val="left"/>
    </w:pPr>
    <w:rPr>
      <w:rFonts w:eastAsia="Times New Roman" w:cs="Times New Roman"/>
      <w:sz w:val="24"/>
      <w:lang w:val="en-GB" w:eastAsia="en-GB"/>
    </w:rPr>
  </w:style>
  <w:style w:type="character" w:styleId="PlaceholderText">
    <w:name w:val="Placeholder Text"/>
    <w:basedOn w:val="DefaultParagraphFont"/>
    <w:uiPriority w:val="99"/>
    <w:semiHidden/>
    <w:rsid w:val="001055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Preger</dc:creator>
  <cp:lastModifiedBy>Calle Preger</cp:lastModifiedBy>
  <cp:revision>2</cp:revision>
  <dcterms:created xsi:type="dcterms:W3CDTF">2020-01-09T08:44:00Z</dcterms:created>
  <dcterms:modified xsi:type="dcterms:W3CDTF">2020-01-09T08:44:00Z</dcterms:modified>
</cp:coreProperties>
</file>