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22B6B" w14:textId="4C86A9B0" w:rsidR="00B12BC3" w:rsidRPr="007C4336" w:rsidRDefault="00B12BC3" w:rsidP="00491F9F">
      <w:pPr>
        <w:pStyle w:val="Tabletitle"/>
        <w:rPr>
          <w:rFonts w:asciiTheme="majorBidi" w:hAnsiTheme="majorBidi" w:cstheme="majorBidi"/>
          <w:color w:val="000000" w:themeColor="text1"/>
          <w:lang w:val="en-US"/>
        </w:rPr>
      </w:pPr>
      <w:r w:rsidRPr="007C4336">
        <w:rPr>
          <w:rFonts w:asciiTheme="majorBidi" w:hAnsiTheme="majorBidi" w:cstheme="majorBidi"/>
          <w:color w:val="000000" w:themeColor="text1"/>
          <w:lang w:val="en-US"/>
        </w:rPr>
        <w:t xml:space="preserve">Supplementary Table </w:t>
      </w:r>
      <w:r w:rsidR="00E9479F">
        <w:rPr>
          <w:rFonts w:asciiTheme="majorBidi" w:hAnsiTheme="majorBidi" w:cstheme="majorBidi"/>
          <w:color w:val="000000" w:themeColor="text1"/>
          <w:lang w:val="en-US"/>
        </w:rPr>
        <w:t>1</w:t>
      </w:r>
      <w:r w:rsidRPr="007C4336">
        <w:rPr>
          <w:rFonts w:asciiTheme="majorBidi" w:hAnsiTheme="majorBidi" w:cstheme="majorBidi"/>
          <w:color w:val="000000" w:themeColor="text1"/>
          <w:lang w:val="en-US"/>
        </w:rPr>
        <w:t xml:space="preserve">. Algorithm to calculate the proportion of subjects who achieved target blood pressure level </w:t>
      </w:r>
      <w:r w:rsidRPr="007C4336">
        <w:rPr>
          <w:rFonts w:asciiTheme="majorBidi" w:hAnsiTheme="majorBidi" w:cstheme="majorBidi"/>
          <w:color w:val="000000" w:themeColor="text1"/>
          <w:lang w:val="en-US" w:eastAsia="ja-JP"/>
        </w:rPr>
        <w:t xml:space="preserve">in The Japanese </w:t>
      </w:r>
      <w:r w:rsidRPr="007C4336">
        <w:rPr>
          <w:rFonts w:asciiTheme="majorBidi" w:hAnsiTheme="majorBidi" w:cstheme="majorBidi"/>
          <w:color w:val="000000" w:themeColor="text1"/>
          <w:lang w:val="en-US"/>
        </w:rPr>
        <w:t>Society of Hypertension Guidelines for the Management of Hypertension 2014 (JSH</w:t>
      </w:r>
      <w:r w:rsidR="00CF7B76" w:rsidRPr="007C4336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Pr="007C4336">
        <w:rPr>
          <w:rFonts w:asciiTheme="majorBidi" w:hAnsiTheme="majorBidi" w:cstheme="majorBidi"/>
          <w:color w:val="000000" w:themeColor="text1"/>
          <w:lang w:val="en-US"/>
        </w:rPr>
        <w:t>2014)</w:t>
      </w:r>
      <w:r w:rsidR="00CF7B76" w:rsidRPr="007C4336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Pr="007C4336">
        <w:rPr>
          <w:rFonts w:asciiTheme="majorBidi" w:hAnsiTheme="majorBidi" w:cstheme="majorBidi"/>
          <w:color w:val="000000" w:themeColor="text1"/>
          <w:lang w:val="en-US"/>
        </w:rPr>
        <w:t>and 2019 (JSH</w:t>
      </w:r>
      <w:r w:rsidR="00CF7B76" w:rsidRPr="007C4336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Pr="007C4336">
        <w:rPr>
          <w:rFonts w:asciiTheme="majorBidi" w:hAnsiTheme="majorBidi" w:cstheme="majorBidi"/>
          <w:color w:val="000000" w:themeColor="text1"/>
          <w:lang w:val="en-US"/>
        </w:rPr>
        <w:t>2019), and target blood pressure in JSH</w:t>
      </w:r>
      <w:r w:rsidR="00CF7B76" w:rsidRPr="007C4336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Pr="007C4336">
        <w:rPr>
          <w:rFonts w:asciiTheme="majorBidi" w:hAnsiTheme="majorBidi" w:cstheme="majorBidi"/>
          <w:color w:val="000000" w:themeColor="text1"/>
          <w:lang w:val="en-US"/>
        </w:rPr>
        <w:t>2014</w:t>
      </w:r>
      <w:r w:rsidR="00CF7B76" w:rsidRPr="007C4336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Pr="007C4336">
        <w:rPr>
          <w:rFonts w:asciiTheme="majorBidi" w:hAnsiTheme="majorBidi" w:cstheme="majorBidi"/>
          <w:color w:val="000000" w:themeColor="text1"/>
          <w:lang w:val="en-US"/>
        </w:rPr>
        <w:t>and 2019</w:t>
      </w:r>
    </w:p>
    <w:p w14:paraId="0488568E" w14:textId="64E9ACBC" w:rsidR="00B12BC3" w:rsidRPr="007C4336" w:rsidRDefault="00C24F58" w:rsidP="00491F9F">
      <w:pPr>
        <w:rPr>
          <w:rFonts w:asciiTheme="majorBidi" w:hAnsiTheme="majorBidi" w:cstheme="majorBidi"/>
          <w:sz w:val="24"/>
          <w:szCs w:val="24"/>
        </w:rPr>
      </w:pPr>
      <w:r w:rsidRPr="007C4336">
        <w:rPr>
          <w:rFonts w:asciiTheme="majorBidi" w:hAnsiTheme="majorBidi" w:cstheme="majorBidi"/>
          <w:sz w:val="24"/>
          <w:szCs w:val="24"/>
          <w:lang w:eastAsia="en-GB"/>
        </w:rPr>
        <w:t xml:space="preserve">Supplementary Table </w:t>
      </w:r>
      <w:r w:rsidR="00E9479F">
        <w:rPr>
          <w:rFonts w:asciiTheme="majorBidi" w:hAnsiTheme="majorBidi" w:cstheme="majorBidi"/>
          <w:sz w:val="24"/>
          <w:szCs w:val="24"/>
          <w:lang w:eastAsia="en-GB"/>
        </w:rPr>
        <w:t>1</w:t>
      </w:r>
      <w:r w:rsidRPr="007C4336">
        <w:rPr>
          <w:rFonts w:asciiTheme="majorBidi" w:hAnsiTheme="majorBidi" w:cstheme="majorBidi"/>
          <w:sz w:val="24"/>
          <w:szCs w:val="24"/>
          <w:lang w:eastAsia="en-GB"/>
        </w:rPr>
        <w:t xml:space="preserve">A. </w:t>
      </w:r>
      <w:r w:rsidR="00B12BC3" w:rsidRPr="007C4336">
        <w:rPr>
          <w:rFonts w:asciiTheme="majorBidi" w:hAnsiTheme="majorBidi" w:cstheme="majorBidi"/>
          <w:sz w:val="24"/>
          <w:szCs w:val="24"/>
          <w:lang w:eastAsia="en-GB"/>
        </w:rPr>
        <w:t>JSH 2014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37"/>
        <w:gridCol w:w="1433"/>
        <w:gridCol w:w="1386"/>
        <w:gridCol w:w="1166"/>
        <w:gridCol w:w="1135"/>
        <w:gridCol w:w="1577"/>
        <w:gridCol w:w="1116"/>
        <w:gridCol w:w="1735"/>
        <w:gridCol w:w="1463"/>
      </w:tblGrid>
      <w:tr w:rsidR="00723874" w:rsidRPr="007C4336" w14:paraId="36E19247" w14:textId="77777777" w:rsidTr="001A3845">
        <w:trPr>
          <w:trHeight w:val="319"/>
        </w:trPr>
        <w:tc>
          <w:tcPr>
            <w:tcW w:w="2937" w:type="dxa"/>
            <w:vMerge w:val="restart"/>
            <w:noWrap/>
            <w:hideMark/>
          </w:tcPr>
          <w:p w14:paraId="7D6D3F47" w14:textId="77777777" w:rsidR="00723874" w:rsidRPr="007C4336" w:rsidRDefault="00723874" w:rsidP="00491F9F">
            <w:pPr>
              <w:pStyle w:val="Figurecaption"/>
              <w:spacing w:before="0" w:line="240" w:lineRule="auto"/>
              <w:jc w:val="both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Patients</w:t>
            </w:r>
          </w:p>
        </w:tc>
        <w:tc>
          <w:tcPr>
            <w:tcW w:w="1433" w:type="dxa"/>
            <w:vMerge w:val="restart"/>
            <w:noWrap/>
            <w:hideMark/>
          </w:tcPr>
          <w:p w14:paraId="632181C0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Target office blood pressure (mmHg)</w:t>
            </w:r>
          </w:p>
        </w:tc>
        <w:tc>
          <w:tcPr>
            <w:tcW w:w="1386" w:type="dxa"/>
            <w:vMerge w:val="restart"/>
            <w:noWrap/>
            <w:hideMark/>
          </w:tcPr>
          <w:p w14:paraId="177B7F70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Target home blood pressure (mmHg)</w:t>
            </w:r>
          </w:p>
        </w:tc>
        <w:tc>
          <w:tcPr>
            <w:tcW w:w="8192" w:type="dxa"/>
            <w:gridSpan w:val="6"/>
          </w:tcPr>
          <w:p w14:paraId="77D4B99C" w14:textId="0E53E89B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Conditions</w:t>
            </w:r>
          </w:p>
        </w:tc>
      </w:tr>
      <w:tr w:rsidR="00723874" w:rsidRPr="007C4336" w14:paraId="520F2C4E" w14:textId="77777777" w:rsidTr="00491F9F">
        <w:trPr>
          <w:trHeight w:val="847"/>
        </w:trPr>
        <w:tc>
          <w:tcPr>
            <w:tcW w:w="2937" w:type="dxa"/>
            <w:vMerge/>
            <w:hideMark/>
          </w:tcPr>
          <w:p w14:paraId="06B58A55" w14:textId="77777777" w:rsidR="00723874" w:rsidRPr="007C4336" w:rsidRDefault="00723874" w:rsidP="00491F9F">
            <w:pPr>
              <w:pStyle w:val="Figurecaption"/>
              <w:spacing w:before="0" w:line="240" w:lineRule="auto"/>
              <w:jc w:val="both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433" w:type="dxa"/>
            <w:vMerge/>
            <w:hideMark/>
          </w:tcPr>
          <w:p w14:paraId="7D889EDD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386" w:type="dxa"/>
            <w:vMerge/>
            <w:hideMark/>
          </w:tcPr>
          <w:p w14:paraId="7D438921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66" w:type="dxa"/>
          </w:tcPr>
          <w:p w14:paraId="7AE8EFAF" w14:textId="39E1612E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Adults younger than 75 years</w:t>
            </w:r>
          </w:p>
        </w:tc>
        <w:tc>
          <w:tcPr>
            <w:tcW w:w="1135" w:type="dxa"/>
          </w:tcPr>
          <w:p w14:paraId="573F6931" w14:textId="04788593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Older patients aged 75 and over</w:t>
            </w:r>
          </w:p>
        </w:tc>
        <w:tc>
          <w:tcPr>
            <w:tcW w:w="1577" w:type="dxa"/>
            <w:hideMark/>
          </w:tcPr>
          <w:p w14:paraId="07FB6130" w14:textId="16EB2D8E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Patients with coronary artery disease</w:t>
            </w:r>
          </w:p>
        </w:tc>
        <w:tc>
          <w:tcPr>
            <w:tcW w:w="1116" w:type="dxa"/>
            <w:hideMark/>
          </w:tcPr>
          <w:p w14:paraId="51CC3060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Diabetic patients</w:t>
            </w:r>
          </w:p>
        </w:tc>
        <w:tc>
          <w:tcPr>
            <w:tcW w:w="1735" w:type="dxa"/>
            <w:hideMark/>
          </w:tcPr>
          <w:p w14:paraId="2168A6B9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Patients with cerebrovascular disease</w:t>
            </w:r>
          </w:p>
        </w:tc>
        <w:tc>
          <w:tcPr>
            <w:tcW w:w="1463" w:type="dxa"/>
            <w:hideMark/>
          </w:tcPr>
          <w:p w14:paraId="46D0C480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Patients with CKD</w:t>
            </w:r>
          </w:p>
        </w:tc>
      </w:tr>
      <w:tr w:rsidR="00723874" w:rsidRPr="007C4336" w14:paraId="09A2856C" w14:textId="77777777" w:rsidTr="00491F9F">
        <w:trPr>
          <w:trHeight w:val="315"/>
        </w:trPr>
        <w:tc>
          <w:tcPr>
            <w:tcW w:w="2937" w:type="dxa"/>
            <w:noWrap/>
            <w:hideMark/>
          </w:tcPr>
          <w:p w14:paraId="2B2382F4" w14:textId="77777777" w:rsidR="00723874" w:rsidRPr="007C4336" w:rsidRDefault="00723874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Adults younger than 75 years</w:t>
            </w:r>
          </w:p>
        </w:tc>
        <w:tc>
          <w:tcPr>
            <w:tcW w:w="1433" w:type="dxa"/>
            <w:noWrap/>
            <w:hideMark/>
          </w:tcPr>
          <w:p w14:paraId="0C63A395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&lt;140/90</w:t>
            </w:r>
          </w:p>
        </w:tc>
        <w:tc>
          <w:tcPr>
            <w:tcW w:w="1386" w:type="dxa"/>
            <w:noWrap/>
            <w:hideMark/>
          </w:tcPr>
          <w:p w14:paraId="658755E8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&lt;135/85</w:t>
            </w:r>
          </w:p>
        </w:tc>
        <w:tc>
          <w:tcPr>
            <w:tcW w:w="1166" w:type="dxa"/>
          </w:tcPr>
          <w:p w14:paraId="15BE1A0A" w14:textId="77DD15E6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A</w:t>
            </w:r>
          </w:p>
        </w:tc>
        <w:tc>
          <w:tcPr>
            <w:tcW w:w="1135" w:type="dxa"/>
          </w:tcPr>
          <w:p w14:paraId="191E029B" w14:textId="29B23669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C</w:t>
            </w:r>
          </w:p>
        </w:tc>
        <w:tc>
          <w:tcPr>
            <w:tcW w:w="1577" w:type="dxa"/>
            <w:noWrap/>
            <w:hideMark/>
          </w:tcPr>
          <w:p w14:paraId="1A6CC792" w14:textId="36B35704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116" w:type="dxa"/>
            <w:noWrap/>
            <w:hideMark/>
          </w:tcPr>
          <w:p w14:paraId="5A30FBB0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</w:t>
            </w:r>
          </w:p>
        </w:tc>
        <w:tc>
          <w:tcPr>
            <w:tcW w:w="1735" w:type="dxa"/>
            <w:noWrap/>
            <w:hideMark/>
          </w:tcPr>
          <w:p w14:paraId="24346C00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463" w:type="dxa"/>
            <w:noWrap/>
            <w:hideMark/>
          </w:tcPr>
          <w:p w14:paraId="0A200668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</w:tr>
      <w:tr w:rsidR="00723874" w:rsidRPr="007C4336" w14:paraId="192A05F6" w14:textId="77777777" w:rsidTr="00491F9F">
        <w:trPr>
          <w:trHeight w:val="315"/>
        </w:trPr>
        <w:tc>
          <w:tcPr>
            <w:tcW w:w="2937" w:type="dxa"/>
            <w:noWrap/>
            <w:hideMark/>
          </w:tcPr>
          <w:p w14:paraId="3AE53835" w14:textId="77777777" w:rsidR="00723874" w:rsidRPr="007C4336" w:rsidRDefault="00723874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Patients with coronary artery disease</w:t>
            </w:r>
          </w:p>
        </w:tc>
        <w:tc>
          <w:tcPr>
            <w:tcW w:w="1433" w:type="dxa"/>
            <w:noWrap/>
            <w:hideMark/>
          </w:tcPr>
          <w:p w14:paraId="06AA1709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&lt;140/90</w:t>
            </w:r>
          </w:p>
        </w:tc>
        <w:tc>
          <w:tcPr>
            <w:tcW w:w="1386" w:type="dxa"/>
            <w:noWrap/>
            <w:hideMark/>
          </w:tcPr>
          <w:p w14:paraId="46425636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&lt;135/85</w:t>
            </w:r>
          </w:p>
        </w:tc>
        <w:tc>
          <w:tcPr>
            <w:tcW w:w="1166" w:type="dxa"/>
          </w:tcPr>
          <w:p w14:paraId="5DFD80CC" w14:textId="404D4DEB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A</w:t>
            </w:r>
          </w:p>
        </w:tc>
        <w:tc>
          <w:tcPr>
            <w:tcW w:w="1135" w:type="dxa"/>
          </w:tcPr>
          <w:p w14:paraId="2D079DD2" w14:textId="34DE334F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C</w:t>
            </w:r>
          </w:p>
        </w:tc>
        <w:tc>
          <w:tcPr>
            <w:tcW w:w="1577" w:type="dxa"/>
            <w:noWrap/>
            <w:hideMark/>
          </w:tcPr>
          <w:p w14:paraId="5CB43A6C" w14:textId="2F56B918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A</w:t>
            </w:r>
          </w:p>
        </w:tc>
        <w:tc>
          <w:tcPr>
            <w:tcW w:w="1116" w:type="dxa"/>
            <w:noWrap/>
            <w:hideMark/>
          </w:tcPr>
          <w:p w14:paraId="09322AF6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</w:t>
            </w:r>
          </w:p>
        </w:tc>
        <w:tc>
          <w:tcPr>
            <w:tcW w:w="1735" w:type="dxa"/>
            <w:noWrap/>
            <w:hideMark/>
          </w:tcPr>
          <w:p w14:paraId="64A6DE28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463" w:type="dxa"/>
            <w:noWrap/>
            <w:hideMark/>
          </w:tcPr>
          <w:p w14:paraId="70A5869C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</w:tr>
      <w:tr w:rsidR="00723874" w:rsidRPr="007C4336" w14:paraId="671A0BC9" w14:textId="77777777" w:rsidTr="00491F9F">
        <w:trPr>
          <w:trHeight w:val="315"/>
        </w:trPr>
        <w:tc>
          <w:tcPr>
            <w:tcW w:w="2937" w:type="dxa"/>
            <w:noWrap/>
            <w:hideMark/>
          </w:tcPr>
          <w:p w14:paraId="7C33686F" w14:textId="77777777" w:rsidR="00723874" w:rsidRPr="007C4336" w:rsidRDefault="00723874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Diabetic patients</w:t>
            </w:r>
          </w:p>
        </w:tc>
        <w:tc>
          <w:tcPr>
            <w:tcW w:w="1433" w:type="dxa"/>
            <w:noWrap/>
            <w:hideMark/>
          </w:tcPr>
          <w:p w14:paraId="5B3A61C2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&lt;130/80</w:t>
            </w:r>
          </w:p>
        </w:tc>
        <w:tc>
          <w:tcPr>
            <w:tcW w:w="1386" w:type="dxa"/>
            <w:noWrap/>
            <w:hideMark/>
          </w:tcPr>
          <w:p w14:paraId="69C53DFE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&lt;125/75</w:t>
            </w:r>
          </w:p>
        </w:tc>
        <w:tc>
          <w:tcPr>
            <w:tcW w:w="1166" w:type="dxa"/>
          </w:tcPr>
          <w:p w14:paraId="6153E493" w14:textId="70B30915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A</w:t>
            </w:r>
          </w:p>
        </w:tc>
        <w:tc>
          <w:tcPr>
            <w:tcW w:w="1135" w:type="dxa"/>
          </w:tcPr>
          <w:p w14:paraId="267AE95E" w14:textId="4B633D62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C</w:t>
            </w:r>
          </w:p>
        </w:tc>
        <w:tc>
          <w:tcPr>
            <w:tcW w:w="1577" w:type="dxa"/>
            <w:noWrap/>
            <w:hideMark/>
          </w:tcPr>
          <w:p w14:paraId="3D7BF44C" w14:textId="183E3B70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</w:t>
            </w:r>
          </w:p>
        </w:tc>
        <w:tc>
          <w:tcPr>
            <w:tcW w:w="1116" w:type="dxa"/>
            <w:noWrap/>
            <w:hideMark/>
          </w:tcPr>
          <w:p w14:paraId="5757CA25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A</w:t>
            </w:r>
          </w:p>
        </w:tc>
        <w:tc>
          <w:tcPr>
            <w:tcW w:w="1735" w:type="dxa"/>
            <w:noWrap/>
            <w:hideMark/>
          </w:tcPr>
          <w:p w14:paraId="5DF2D2AB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</w:t>
            </w:r>
          </w:p>
        </w:tc>
        <w:tc>
          <w:tcPr>
            <w:tcW w:w="1463" w:type="dxa"/>
            <w:noWrap/>
            <w:hideMark/>
          </w:tcPr>
          <w:p w14:paraId="4788D32C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</w:t>
            </w:r>
          </w:p>
        </w:tc>
      </w:tr>
      <w:tr w:rsidR="00723874" w:rsidRPr="007C4336" w14:paraId="4A9A8123" w14:textId="77777777" w:rsidTr="00491F9F">
        <w:trPr>
          <w:trHeight w:val="315"/>
        </w:trPr>
        <w:tc>
          <w:tcPr>
            <w:tcW w:w="2937" w:type="dxa"/>
            <w:noWrap/>
            <w:hideMark/>
          </w:tcPr>
          <w:p w14:paraId="6D42FED3" w14:textId="77777777" w:rsidR="00723874" w:rsidRPr="007C4336" w:rsidRDefault="00723874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Older patients aged 75 and over</w:t>
            </w:r>
          </w:p>
        </w:tc>
        <w:tc>
          <w:tcPr>
            <w:tcW w:w="1433" w:type="dxa"/>
            <w:noWrap/>
            <w:hideMark/>
          </w:tcPr>
          <w:p w14:paraId="3E36D891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&lt;150/90</w:t>
            </w:r>
          </w:p>
        </w:tc>
        <w:tc>
          <w:tcPr>
            <w:tcW w:w="1386" w:type="dxa"/>
            <w:noWrap/>
            <w:hideMark/>
          </w:tcPr>
          <w:p w14:paraId="591F0C83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&lt;145/85</w:t>
            </w:r>
          </w:p>
        </w:tc>
        <w:tc>
          <w:tcPr>
            <w:tcW w:w="1166" w:type="dxa"/>
          </w:tcPr>
          <w:p w14:paraId="1CACE26D" w14:textId="33DFBF14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C</w:t>
            </w:r>
          </w:p>
        </w:tc>
        <w:tc>
          <w:tcPr>
            <w:tcW w:w="1135" w:type="dxa"/>
          </w:tcPr>
          <w:p w14:paraId="3BB1457A" w14:textId="3E84131C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A</w:t>
            </w:r>
          </w:p>
        </w:tc>
        <w:tc>
          <w:tcPr>
            <w:tcW w:w="1577" w:type="dxa"/>
            <w:noWrap/>
            <w:hideMark/>
          </w:tcPr>
          <w:p w14:paraId="25EED484" w14:textId="54577F08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116" w:type="dxa"/>
            <w:noWrap/>
            <w:hideMark/>
          </w:tcPr>
          <w:p w14:paraId="565B9A2D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735" w:type="dxa"/>
            <w:noWrap/>
            <w:hideMark/>
          </w:tcPr>
          <w:p w14:paraId="1336A277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463" w:type="dxa"/>
            <w:noWrap/>
            <w:hideMark/>
          </w:tcPr>
          <w:p w14:paraId="32037B35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</w:tr>
      <w:tr w:rsidR="00723874" w:rsidRPr="007C4336" w14:paraId="1AA98D5E" w14:textId="77777777" w:rsidTr="00491F9F">
        <w:trPr>
          <w:trHeight w:val="315"/>
        </w:trPr>
        <w:tc>
          <w:tcPr>
            <w:tcW w:w="2937" w:type="dxa"/>
            <w:noWrap/>
            <w:hideMark/>
          </w:tcPr>
          <w:p w14:paraId="2458F03C" w14:textId="77777777" w:rsidR="00723874" w:rsidRPr="007C4336" w:rsidRDefault="00723874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Patients with cerebrovascular disease </w:t>
            </w:r>
          </w:p>
        </w:tc>
        <w:tc>
          <w:tcPr>
            <w:tcW w:w="1433" w:type="dxa"/>
            <w:noWrap/>
            <w:hideMark/>
          </w:tcPr>
          <w:p w14:paraId="03050372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&lt;140/90</w:t>
            </w:r>
          </w:p>
        </w:tc>
        <w:tc>
          <w:tcPr>
            <w:tcW w:w="1386" w:type="dxa"/>
            <w:noWrap/>
            <w:hideMark/>
          </w:tcPr>
          <w:p w14:paraId="7261D120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&lt;135/85</w:t>
            </w:r>
          </w:p>
        </w:tc>
        <w:tc>
          <w:tcPr>
            <w:tcW w:w="1166" w:type="dxa"/>
          </w:tcPr>
          <w:p w14:paraId="0CDC0FCA" w14:textId="371B3AFD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A</w:t>
            </w:r>
          </w:p>
        </w:tc>
        <w:tc>
          <w:tcPr>
            <w:tcW w:w="1135" w:type="dxa"/>
          </w:tcPr>
          <w:p w14:paraId="4A780121" w14:textId="3C98656E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C</w:t>
            </w:r>
          </w:p>
        </w:tc>
        <w:tc>
          <w:tcPr>
            <w:tcW w:w="1577" w:type="dxa"/>
            <w:noWrap/>
            <w:hideMark/>
          </w:tcPr>
          <w:p w14:paraId="09E5456F" w14:textId="1AC31E8F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116" w:type="dxa"/>
            <w:noWrap/>
            <w:hideMark/>
          </w:tcPr>
          <w:p w14:paraId="3BA57B68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</w:t>
            </w:r>
          </w:p>
        </w:tc>
        <w:tc>
          <w:tcPr>
            <w:tcW w:w="1735" w:type="dxa"/>
            <w:noWrap/>
            <w:hideMark/>
          </w:tcPr>
          <w:p w14:paraId="567C1494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A</w:t>
            </w:r>
          </w:p>
        </w:tc>
        <w:tc>
          <w:tcPr>
            <w:tcW w:w="1463" w:type="dxa"/>
            <w:noWrap/>
            <w:hideMark/>
          </w:tcPr>
          <w:p w14:paraId="712E5CC3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</w:tr>
      <w:tr w:rsidR="00723874" w:rsidRPr="007C4336" w14:paraId="0AE17E6E" w14:textId="77777777" w:rsidTr="00491F9F">
        <w:trPr>
          <w:trHeight w:val="315"/>
        </w:trPr>
        <w:tc>
          <w:tcPr>
            <w:tcW w:w="2937" w:type="dxa"/>
            <w:noWrap/>
            <w:hideMark/>
          </w:tcPr>
          <w:p w14:paraId="75A1119B" w14:textId="77777777" w:rsidR="00723874" w:rsidRPr="007C4336" w:rsidRDefault="00723874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Patients with CKD </w:t>
            </w:r>
          </w:p>
        </w:tc>
        <w:tc>
          <w:tcPr>
            <w:tcW w:w="1433" w:type="dxa"/>
            <w:noWrap/>
            <w:hideMark/>
          </w:tcPr>
          <w:p w14:paraId="3F2D6BEF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&lt;140/90</w:t>
            </w:r>
          </w:p>
        </w:tc>
        <w:tc>
          <w:tcPr>
            <w:tcW w:w="1386" w:type="dxa"/>
            <w:noWrap/>
            <w:hideMark/>
          </w:tcPr>
          <w:p w14:paraId="4C9276C8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&lt;135/85</w:t>
            </w:r>
          </w:p>
        </w:tc>
        <w:tc>
          <w:tcPr>
            <w:tcW w:w="1166" w:type="dxa"/>
          </w:tcPr>
          <w:p w14:paraId="1955610A" w14:textId="2AB2CB7C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A</w:t>
            </w:r>
          </w:p>
        </w:tc>
        <w:tc>
          <w:tcPr>
            <w:tcW w:w="1135" w:type="dxa"/>
          </w:tcPr>
          <w:p w14:paraId="67C61BA3" w14:textId="7ABB167C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C</w:t>
            </w:r>
          </w:p>
        </w:tc>
        <w:tc>
          <w:tcPr>
            <w:tcW w:w="1577" w:type="dxa"/>
            <w:noWrap/>
            <w:hideMark/>
          </w:tcPr>
          <w:p w14:paraId="1F0AE8E8" w14:textId="78D03D21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116" w:type="dxa"/>
            <w:noWrap/>
            <w:hideMark/>
          </w:tcPr>
          <w:p w14:paraId="0095C8D4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</w:t>
            </w:r>
          </w:p>
        </w:tc>
        <w:tc>
          <w:tcPr>
            <w:tcW w:w="1735" w:type="dxa"/>
            <w:noWrap/>
            <w:hideMark/>
          </w:tcPr>
          <w:p w14:paraId="0D461781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463" w:type="dxa"/>
            <w:noWrap/>
            <w:hideMark/>
          </w:tcPr>
          <w:p w14:paraId="550062F7" w14:textId="77777777" w:rsidR="00723874" w:rsidRPr="007C4336" w:rsidRDefault="00723874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A</w:t>
            </w:r>
          </w:p>
        </w:tc>
      </w:tr>
    </w:tbl>
    <w:p w14:paraId="75593596" w14:textId="3ED5D9EB" w:rsidR="00034B47" w:rsidRPr="007C4336" w:rsidRDefault="004A586D" w:rsidP="00491F9F">
      <w:pPr>
        <w:pStyle w:val="Acknowledgements"/>
        <w:rPr>
          <w:sz w:val="24"/>
        </w:rPr>
      </w:pPr>
      <w:r w:rsidRPr="007C4336">
        <w:rPr>
          <w:rFonts w:asciiTheme="majorBidi" w:hAnsiTheme="majorBidi" w:cstheme="majorBidi"/>
          <w:color w:val="000000" w:themeColor="text1"/>
          <w:lang w:val="en-US" w:eastAsia="ja-JP"/>
        </w:rPr>
        <w:t>Abbreviation: A, Patient categories with target blood pressure; B, this condition is not essential for calculation of the proportion of subjects who achieved target blood pressure. ; C, this condition excluded in calculation. CKD, chronic kidney disease.</w:t>
      </w:r>
      <w:r w:rsidR="00034B47" w:rsidRPr="007C4336">
        <w:rPr>
          <w:lang w:val="en-US" w:eastAsia="ja-JP"/>
        </w:rPr>
        <w:br w:type="page"/>
      </w:r>
    </w:p>
    <w:p w14:paraId="3F0034CB" w14:textId="27679B50" w:rsidR="00B12BC3" w:rsidRPr="007C4336" w:rsidRDefault="00C24F58" w:rsidP="00491F9F">
      <w:pPr>
        <w:pStyle w:val="Tabletitle"/>
        <w:rPr>
          <w:rFonts w:asciiTheme="majorBidi" w:hAnsiTheme="majorBidi" w:cstheme="majorBidi"/>
          <w:color w:val="000000" w:themeColor="text1"/>
          <w:lang w:val="en-US" w:eastAsia="ja-JP"/>
        </w:rPr>
      </w:pPr>
      <w:r w:rsidRPr="007C4336">
        <w:rPr>
          <w:rFonts w:asciiTheme="majorBidi" w:hAnsiTheme="majorBidi" w:cstheme="majorBidi"/>
          <w:color w:val="000000" w:themeColor="text1"/>
          <w:lang w:val="en-US" w:eastAsia="ja-JP"/>
        </w:rPr>
        <w:lastRenderedPageBreak/>
        <w:t xml:space="preserve">Supplementary Table </w:t>
      </w:r>
      <w:r w:rsidR="00E9479F">
        <w:rPr>
          <w:rFonts w:asciiTheme="majorBidi" w:hAnsiTheme="majorBidi" w:cstheme="majorBidi"/>
          <w:color w:val="000000" w:themeColor="text1"/>
          <w:lang w:val="en-US" w:eastAsia="ja-JP"/>
        </w:rPr>
        <w:t>1</w:t>
      </w:r>
      <w:r w:rsidRPr="007C4336">
        <w:rPr>
          <w:rFonts w:asciiTheme="majorBidi" w:hAnsiTheme="majorBidi" w:cstheme="majorBidi"/>
          <w:color w:val="000000" w:themeColor="text1"/>
          <w:lang w:val="en-US" w:eastAsia="ja-JP"/>
        </w:rPr>
        <w:t xml:space="preserve">B. </w:t>
      </w:r>
      <w:r w:rsidR="00B12BC3" w:rsidRPr="007C4336">
        <w:rPr>
          <w:rFonts w:asciiTheme="majorBidi" w:hAnsiTheme="majorBidi" w:cstheme="majorBidi"/>
          <w:color w:val="000000" w:themeColor="text1"/>
          <w:lang w:val="en-US" w:eastAsia="ja-JP"/>
        </w:rPr>
        <w:t>JSH2019</w:t>
      </w:r>
    </w:p>
    <w:tbl>
      <w:tblPr>
        <w:tblStyle w:val="aa"/>
        <w:tblW w:w="14029" w:type="dxa"/>
        <w:tblLayout w:type="fixed"/>
        <w:tblLook w:val="04A0" w:firstRow="1" w:lastRow="0" w:firstColumn="1" w:lastColumn="0" w:noHBand="0" w:noVBand="1"/>
      </w:tblPr>
      <w:tblGrid>
        <w:gridCol w:w="2813"/>
        <w:gridCol w:w="1123"/>
        <w:gridCol w:w="1053"/>
        <w:gridCol w:w="1280"/>
        <w:gridCol w:w="1280"/>
        <w:gridCol w:w="1280"/>
        <w:gridCol w:w="1202"/>
        <w:gridCol w:w="1358"/>
        <w:gridCol w:w="1665"/>
        <w:gridCol w:w="975"/>
      </w:tblGrid>
      <w:tr w:rsidR="00FB514E" w:rsidRPr="007C4336" w14:paraId="09152206" w14:textId="77777777" w:rsidTr="001A3845">
        <w:trPr>
          <w:trHeight w:val="301"/>
        </w:trPr>
        <w:tc>
          <w:tcPr>
            <w:tcW w:w="2813" w:type="dxa"/>
            <w:vMerge w:val="restart"/>
            <w:noWrap/>
            <w:hideMark/>
          </w:tcPr>
          <w:p w14:paraId="05F62518" w14:textId="77777777" w:rsidR="00FB514E" w:rsidRPr="007C4336" w:rsidRDefault="00FB514E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Patients</w:t>
            </w:r>
          </w:p>
        </w:tc>
        <w:tc>
          <w:tcPr>
            <w:tcW w:w="1123" w:type="dxa"/>
            <w:vMerge w:val="restart"/>
            <w:noWrap/>
            <w:hideMark/>
          </w:tcPr>
          <w:p w14:paraId="4EF9B8EC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Target office blood pressure (mmHg)</w:t>
            </w:r>
          </w:p>
        </w:tc>
        <w:tc>
          <w:tcPr>
            <w:tcW w:w="1053" w:type="dxa"/>
            <w:vMerge w:val="restart"/>
            <w:noWrap/>
            <w:hideMark/>
          </w:tcPr>
          <w:p w14:paraId="5D382035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Target home blood pressure (mmHg)</w:t>
            </w:r>
          </w:p>
        </w:tc>
        <w:tc>
          <w:tcPr>
            <w:tcW w:w="9040" w:type="dxa"/>
            <w:gridSpan w:val="7"/>
          </w:tcPr>
          <w:p w14:paraId="4D386F5D" w14:textId="2F6436C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Conditions</w:t>
            </w:r>
          </w:p>
        </w:tc>
      </w:tr>
      <w:tr w:rsidR="00FB514E" w:rsidRPr="007C4336" w14:paraId="546EB551" w14:textId="77777777" w:rsidTr="001A3845">
        <w:trPr>
          <w:trHeight w:val="1508"/>
        </w:trPr>
        <w:tc>
          <w:tcPr>
            <w:tcW w:w="2813" w:type="dxa"/>
            <w:vMerge/>
            <w:hideMark/>
          </w:tcPr>
          <w:p w14:paraId="0AC6EE7D" w14:textId="77777777" w:rsidR="00FB514E" w:rsidRPr="007C4336" w:rsidRDefault="00FB514E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23" w:type="dxa"/>
            <w:vMerge/>
            <w:hideMark/>
          </w:tcPr>
          <w:p w14:paraId="0CB7EEA1" w14:textId="77777777" w:rsidR="00FB514E" w:rsidRPr="007C4336" w:rsidRDefault="00FB514E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053" w:type="dxa"/>
            <w:vMerge/>
            <w:hideMark/>
          </w:tcPr>
          <w:p w14:paraId="074A5954" w14:textId="77777777" w:rsidR="00FB514E" w:rsidRPr="007C4336" w:rsidRDefault="00FB514E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280" w:type="dxa"/>
          </w:tcPr>
          <w:p w14:paraId="74623256" w14:textId="6D287401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Adults younger than 75 years</w:t>
            </w:r>
          </w:p>
        </w:tc>
        <w:tc>
          <w:tcPr>
            <w:tcW w:w="1280" w:type="dxa"/>
          </w:tcPr>
          <w:p w14:paraId="3B57C0DC" w14:textId="5F9CA2FB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Older patients aged 75 and over</w:t>
            </w:r>
          </w:p>
        </w:tc>
        <w:tc>
          <w:tcPr>
            <w:tcW w:w="1280" w:type="dxa"/>
            <w:hideMark/>
          </w:tcPr>
          <w:p w14:paraId="331ADEFE" w14:textId="48428792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Patients with coronary artery disease</w:t>
            </w:r>
          </w:p>
        </w:tc>
        <w:tc>
          <w:tcPr>
            <w:tcW w:w="1202" w:type="dxa"/>
            <w:hideMark/>
          </w:tcPr>
          <w:p w14:paraId="28E988FF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Diabetic patients</w:t>
            </w:r>
          </w:p>
        </w:tc>
        <w:tc>
          <w:tcPr>
            <w:tcW w:w="1358" w:type="dxa"/>
            <w:hideMark/>
          </w:tcPr>
          <w:p w14:paraId="2239667F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Patients using antithrombotic drugs</w:t>
            </w:r>
          </w:p>
        </w:tc>
        <w:tc>
          <w:tcPr>
            <w:tcW w:w="1665" w:type="dxa"/>
            <w:hideMark/>
          </w:tcPr>
          <w:p w14:paraId="0F1DD109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Patients with cerebrovascular disease</w:t>
            </w:r>
          </w:p>
        </w:tc>
        <w:tc>
          <w:tcPr>
            <w:tcW w:w="975" w:type="dxa"/>
            <w:hideMark/>
          </w:tcPr>
          <w:p w14:paraId="05E8F0E8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Patients with CKD</w:t>
            </w:r>
          </w:p>
        </w:tc>
      </w:tr>
      <w:tr w:rsidR="00FB514E" w:rsidRPr="007C4336" w14:paraId="07C12D99" w14:textId="77777777" w:rsidTr="001A3845">
        <w:trPr>
          <w:trHeight w:val="301"/>
        </w:trPr>
        <w:tc>
          <w:tcPr>
            <w:tcW w:w="2813" w:type="dxa"/>
            <w:noWrap/>
            <w:hideMark/>
          </w:tcPr>
          <w:p w14:paraId="362ED7BE" w14:textId="77777777" w:rsidR="00FB514E" w:rsidRPr="007C4336" w:rsidRDefault="00FB514E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Adults younger than 75 years</w:t>
            </w:r>
          </w:p>
        </w:tc>
        <w:tc>
          <w:tcPr>
            <w:tcW w:w="1123" w:type="dxa"/>
            <w:noWrap/>
            <w:hideMark/>
          </w:tcPr>
          <w:p w14:paraId="3E175C68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&lt;130/80</w:t>
            </w:r>
          </w:p>
        </w:tc>
        <w:tc>
          <w:tcPr>
            <w:tcW w:w="1053" w:type="dxa"/>
            <w:noWrap/>
            <w:hideMark/>
          </w:tcPr>
          <w:p w14:paraId="2140C718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&lt;125/75</w:t>
            </w:r>
          </w:p>
        </w:tc>
        <w:tc>
          <w:tcPr>
            <w:tcW w:w="1280" w:type="dxa"/>
          </w:tcPr>
          <w:p w14:paraId="77F2EEE7" w14:textId="78B34B9E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A</w:t>
            </w:r>
          </w:p>
        </w:tc>
        <w:tc>
          <w:tcPr>
            <w:tcW w:w="1280" w:type="dxa"/>
          </w:tcPr>
          <w:p w14:paraId="664750DC" w14:textId="75EA3FCC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432909AC" w14:textId="308E8314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202" w:type="dxa"/>
            <w:noWrap/>
            <w:hideMark/>
          </w:tcPr>
          <w:p w14:paraId="1864E626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358" w:type="dxa"/>
            <w:noWrap/>
            <w:hideMark/>
          </w:tcPr>
          <w:p w14:paraId="71DE1166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665" w:type="dxa"/>
            <w:noWrap/>
            <w:hideMark/>
          </w:tcPr>
          <w:p w14:paraId="6F4E6ED6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</w:t>
            </w:r>
          </w:p>
        </w:tc>
        <w:tc>
          <w:tcPr>
            <w:tcW w:w="975" w:type="dxa"/>
            <w:noWrap/>
            <w:hideMark/>
          </w:tcPr>
          <w:p w14:paraId="2EFF0074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</w:t>
            </w:r>
          </w:p>
        </w:tc>
      </w:tr>
      <w:tr w:rsidR="00FB514E" w:rsidRPr="007C4336" w14:paraId="1A597B9D" w14:textId="77777777" w:rsidTr="001A3845">
        <w:trPr>
          <w:trHeight w:val="301"/>
        </w:trPr>
        <w:tc>
          <w:tcPr>
            <w:tcW w:w="2813" w:type="dxa"/>
            <w:noWrap/>
            <w:hideMark/>
          </w:tcPr>
          <w:p w14:paraId="18FEF6B0" w14:textId="77777777" w:rsidR="00FB514E" w:rsidRPr="007C4336" w:rsidRDefault="00FB514E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Patients with coronary artery disease</w:t>
            </w:r>
          </w:p>
        </w:tc>
        <w:tc>
          <w:tcPr>
            <w:tcW w:w="1123" w:type="dxa"/>
            <w:noWrap/>
            <w:hideMark/>
          </w:tcPr>
          <w:p w14:paraId="084A88F2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&lt;130/80</w:t>
            </w:r>
          </w:p>
        </w:tc>
        <w:tc>
          <w:tcPr>
            <w:tcW w:w="1053" w:type="dxa"/>
            <w:noWrap/>
            <w:hideMark/>
          </w:tcPr>
          <w:p w14:paraId="2E745893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&lt;125/75</w:t>
            </w:r>
          </w:p>
        </w:tc>
        <w:tc>
          <w:tcPr>
            <w:tcW w:w="1280" w:type="dxa"/>
          </w:tcPr>
          <w:p w14:paraId="22EC218D" w14:textId="1168EF74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A</w:t>
            </w:r>
          </w:p>
        </w:tc>
        <w:tc>
          <w:tcPr>
            <w:tcW w:w="1280" w:type="dxa"/>
          </w:tcPr>
          <w:p w14:paraId="6C2204AA" w14:textId="369E6E92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2634A257" w14:textId="58F5E368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A</w:t>
            </w:r>
          </w:p>
        </w:tc>
        <w:tc>
          <w:tcPr>
            <w:tcW w:w="1202" w:type="dxa"/>
            <w:noWrap/>
            <w:hideMark/>
          </w:tcPr>
          <w:p w14:paraId="4C44B61A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358" w:type="dxa"/>
            <w:noWrap/>
            <w:hideMark/>
          </w:tcPr>
          <w:p w14:paraId="030ADCC4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665" w:type="dxa"/>
            <w:noWrap/>
            <w:hideMark/>
          </w:tcPr>
          <w:p w14:paraId="52C3EC19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</w:t>
            </w:r>
          </w:p>
        </w:tc>
        <w:tc>
          <w:tcPr>
            <w:tcW w:w="975" w:type="dxa"/>
            <w:noWrap/>
            <w:hideMark/>
          </w:tcPr>
          <w:p w14:paraId="41454AF5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</w:t>
            </w:r>
          </w:p>
        </w:tc>
      </w:tr>
      <w:tr w:rsidR="00FB514E" w:rsidRPr="007C4336" w14:paraId="1A76BEC2" w14:textId="77777777" w:rsidTr="001A3845">
        <w:trPr>
          <w:trHeight w:val="301"/>
        </w:trPr>
        <w:tc>
          <w:tcPr>
            <w:tcW w:w="2813" w:type="dxa"/>
            <w:noWrap/>
            <w:hideMark/>
          </w:tcPr>
          <w:p w14:paraId="75E7EB02" w14:textId="77777777" w:rsidR="00FB514E" w:rsidRPr="007C4336" w:rsidRDefault="00FB514E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Diabetic patients</w:t>
            </w:r>
          </w:p>
        </w:tc>
        <w:tc>
          <w:tcPr>
            <w:tcW w:w="1123" w:type="dxa"/>
            <w:noWrap/>
            <w:hideMark/>
          </w:tcPr>
          <w:p w14:paraId="5D2F95AC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&lt;130/80</w:t>
            </w:r>
          </w:p>
        </w:tc>
        <w:tc>
          <w:tcPr>
            <w:tcW w:w="1053" w:type="dxa"/>
            <w:noWrap/>
            <w:hideMark/>
          </w:tcPr>
          <w:p w14:paraId="058DE1B2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&lt;125/75</w:t>
            </w:r>
          </w:p>
        </w:tc>
        <w:tc>
          <w:tcPr>
            <w:tcW w:w="1280" w:type="dxa"/>
          </w:tcPr>
          <w:p w14:paraId="5BB7E5AC" w14:textId="01B6DCC8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A</w:t>
            </w:r>
          </w:p>
        </w:tc>
        <w:tc>
          <w:tcPr>
            <w:tcW w:w="1280" w:type="dxa"/>
          </w:tcPr>
          <w:p w14:paraId="2BA2E0F2" w14:textId="77049B72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4C9B4ECF" w14:textId="7019DF92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202" w:type="dxa"/>
            <w:noWrap/>
            <w:hideMark/>
          </w:tcPr>
          <w:p w14:paraId="7D2B31D0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A</w:t>
            </w:r>
          </w:p>
        </w:tc>
        <w:tc>
          <w:tcPr>
            <w:tcW w:w="1358" w:type="dxa"/>
            <w:noWrap/>
            <w:hideMark/>
          </w:tcPr>
          <w:p w14:paraId="7D22F7DD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665" w:type="dxa"/>
            <w:noWrap/>
            <w:hideMark/>
          </w:tcPr>
          <w:p w14:paraId="418BCA81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</w:t>
            </w:r>
          </w:p>
        </w:tc>
        <w:tc>
          <w:tcPr>
            <w:tcW w:w="975" w:type="dxa"/>
            <w:noWrap/>
            <w:hideMark/>
          </w:tcPr>
          <w:p w14:paraId="2AE47C06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</w:t>
            </w:r>
          </w:p>
        </w:tc>
      </w:tr>
      <w:tr w:rsidR="00FB514E" w:rsidRPr="007C4336" w14:paraId="206A5573" w14:textId="77777777" w:rsidTr="001A3845">
        <w:trPr>
          <w:trHeight w:val="301"/>
        </w:trPr>
        <w:tc>
          <w:tcPr>
            <w:tcW w:w="2813" w:type="dxa"/>
            <w:noWrap/>
            <w:hideMark/>
          </w:tcPr>
          <w:p w14:paraId="5880E461" w14:textId="77777777" w:rsidR="00FB514E" w:rsidRPr="007C4336" w:rsidRDefault="00FB514E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Patients using antithrombotic drugs </w:t>
            </w:r>
          </w:p>
        </w:tc>
        <w:tc>
          <w:tcPr>
            <w:tcW w:w="1123" w:type="dxa"/>
            <w:noWrap/>
            <w:hideMark/>
          </w:tcPr>
          <w:p w14:paraId="63C63726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&lt;130/80</w:t>
            </w:r>
          </w:p>
        </w:tc>
        <w:tc>
          <w:tcPr>
            <w:tcW w:w="1053" w:type="dxa"/>
            <w:noWrap/>
            <w:hideMark/>
          </w:tcPr>
          <w:p w14:paraId="463EABCF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&lt;125/75</w:t>
            </w:r>
          </w:p>
        </w:tc>
        <w:tc>
          <w:tcPr>
            <w:tcW w:w="1280" w:type="dxa"/>
          </w:tcPr>
          <w:p w14:paraId="56524EF4" w14:textId="2BEF90CD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A</w:t>
            </w:r>
          </w:p>
        </w:tc>
        <w:tc>
          <w:tcPr>
            <w:tcW w:w="1280" w:type="dxa"/>
          </w:tcPr>
          <w:p w14:paraId="6766343C" w14:textId="06CC5E6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7CDC3F31" w14:textId="229C75F6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202" w:type="dxa"/>
            <w:noWrap/>
            <w:hideMark/>
          </w:tcPr>
          <w:p w14:paraId="28712979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358" w:type="dxa"/>
            <w:noWrap/>
            <w:hideMark/>
          </w:tcPr>
          <w:p w14:paraId="1850C560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A</w:t>
            </w:r>
          </w:p>
        </w:tc>
        <w:tc>
          <w:tcPr>
            <w:tcW w:w="1665" w:type="dxa"/>
            <w:noWrap/>
            <w:hideMark/>
          </w:tcPr>
          <w:p w14:paraId="6DB0B31D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</w:t>
            </w:r>
          </w:p>
        </w:tc>
        <w:tc>
          <w:tcPr>
            <w:tcW w:w="975" w:type="dxa"/>
            <w:noWrap/>
            <w:hideMark/>
          </w:tcPr>
          <w:p w14:paraId="2ED44510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C</w:t>
            </w:r>
          </w:p>
        </w:tc>
      </w:tr>
      <w:tr w:rsidR="00FB514E" w:rsidRPr="007C4336" w14:paraId="23CB24BA" w14:textId="77777777" w:rsidTr="001A3845">
        <w:trPr>
          <w:trHeight w:val="301"/>
        </w:trPr>
        <w:tc>
          <w:tcPr>
            <w:tcW w:w="2813" w:type="dxa"/>
            <w:noWrap/>
            <w:hideMark/>
          </w:tcPr>
          <w:p w14:paraId="2A5CE011" w14:textId="77777777" w:rsidR="00FB514E" w:rsidRPr="007C4336" w:rsidRDefault="00FB514E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Older patients aged 75 and over</w:t>
            </w:r>
          </w:p>
        </w:tc>
        <w:tc>
          <w:tcPr>
            <w:tcW w:w="1123" w:type="dxa"/>
            <w:noWrap/>
            <w:hideMark/>
          </w:tcPr>
          <w:p w14:paraId="480CA3FF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&lt;140/90</w:t>
            </w:r>
          </w:p>
        </w:tc>
        <w:tc>
          <w:tcPr>
            <w:tcW w:w="1053" w:type="dxa"/>
            <w:noWrap/>
            <w:hideMark/>
          </w:tcPr>
          <w:p w14:paraId="27FC53D7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&lt;135/85</w:t>
            </w:r>
          </w:p>
        </w:tc>
        <w:tc>
          <w:tcPr>
            <w:tcW w:w="1280" w:type="dxa"/>
          </w:tcPr>
          <w:p w14:paraId="0E90DA06" w14:textId="79A5DE00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C</w:t>
            </w:r>
          </w:p>
        </w:tc>
        <w:tc>
          <w:tcPr>
            <w:tcW w:w="1280" w:type="dxa"/>
          </w:tcPr>
          <w:p w14:paraId="208CE349" w14:textId="694E3DCD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4515FD9F" w14:textId="56EEC1C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202" w:type="dxa"/>
            <w:noWrap/>
            <w:hideMark/>
          </w:tcPr>
          <w:p w14:paraId="77AFA270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358" w:type="dxa"/>
            <w:noWrap/>
            <w:hideMark/>
          </w:tcPr>
          <w:p w14:paraId="27F78F2F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665" w:type="dxa"/>
            <w:noWrap/>
            <w:hideMark/>
          </w:tcPr>
          <w:p w14:paraId="5F3CD883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975" w:type="dxa"/>
            <w:noWrap/>
            <w:hideMark/>
          </w:tcPr>
          <w:p w14:paraId="3C4AFCA5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</w:tr>
      <w:tr w:rsidR="00FB514E" w:rsidRPr="007C4336" w14:paraId="42449EBB" w14:textId="77777777" w:rsidTr="001A3845">
        <w:trPr>
          <w:trHeight w:val="301"/>
        </w:trPr>
        <w:tc>
          <w:tcPr>
            <w:tcW w:w="2813" w:type="dxa"/>
            <w:noWrap/>
            <w:hideMark/>
          </w:tcPr>
          <w:p w14:paraId="434CC4CB" w14:textId="77777777" w:rsidR="00FB514E" w:rsidRPr="007C4336" w:rsidRDefault="00FB514E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Patients with cerebrovascular disease </w:t>
            </w:r>
          </w:p>
        </w:tc>
        <w:tc>
          <w:tcPr>
            <w:tcW w:w="1123" w:type="dxa"/>
            <w:noWrap/>
            <w:hideMark/>
          </w:tcPr>
          <w:p w14:paraId="732675B0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&lt;140/90</w:t>
            </w:r>
          </w:p>
        </w:tc>
        <w:tc>
          <w:tcPr>
            <w:tcW w:w="1053" w:type="dxa"/>
            <w:noWrap/>
            <w:hideMark/>
          </w:tcPr>
          <w:p w14:paraId="257DC7E4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&lt;135/85</w:t>
            </w:r>
          </w:p>
        </w:tc>
        <w:tc>
          <w:tcPr>
            <w:tcW w:w="1280" w:type="dxa"/>
          </w:tcPr>
          <w:p w14:paraId="78E46FEF" w14:textId="6B42A1DB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B</w:t>
            </w:r>
          </w:p>
        </w:tc>
        <w:tc>
          <w:tcPr>
            <w:tcW w:w="1280" w:type="dxa"/>
          </w:tcPr>
          <w:p w14:paraId="6538EE69" w14:textId="76483223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B</w:t>
            </w:r>
          </w:p>
        </w:tc>
        <w:tc>
          <w:tcPr>
            <w:tcW w:w="1280" w:type="dxa"/>
            <w:noWrap/>
            <w:hideMark/>
          </w:tcPr>
          <w:p w14:paraId="381240BA" w14:textId="57F821E3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202" w:type="dxa"/>
            <w:noWrap/>
            <w:hideMark/>
          </w:tcPr>
          <w:p w14:paraId="2F4A00C1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358" w:type="dxa"/>
            <w:noWrap/>
            <w:hideMark/>
          </w:tcPr>
          <w:p w14:paraId="450BB624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665" w:type="dxa"/>
            <w:noWrap/>
            <w:hideMark/>
          </w:tcPr>
          <w:p w14:paraId="6D576E99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A</w:t>
            </w:r>
          </w:p>
        </w:tc>
        <w:tc>
          <w:tcPr>
            <w:tcW w:w="975" w:type="dxa"/>
            <w:noWrap/>
            <w:hideMark/>
          </w:tcPr>
          <w:p w14:paraId="4E3AD686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</w:tr>
      <w:tr w:rsidR="00FB514E" w:rsidRPr="007C4336" w14:paraId="0FA05343" w14:textId="77777777" w:rsidTr="001A3845">
        <w:trPr>
          <w:trHeight w:val="301"/>
        </w:trPr>
        <w:tc>
          <w:tcPr>
            <w:tcW w:w="2813" w:type="dxa"/>
            <w:noWrap/>
            <w:hideMark/>
          </w:tcPr>
          <w:p w14:paraId="5D8A53C8" w14:textId="77777777" w:rsidR="00FB514E" w:rsidRPr="007C4336" w:rsidRDefault="00FB514E" w:rsidP="00491F9F">
            <w:pPr>
              <w:pStyle w:val="Figurecaption"/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Patients with CKD </w:t>
            </w:r>
          </w:p>
        </w:tc>
        <w:tc>
          <w:tcPr>
            <w:tcW w:w="1123" w:type="dxa"/>
            <w:noWrap/>
            <w:hideMark/>
          </w:tcPr>
          <w:p w14:paraId="1EBD166C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&lt;140/90</w:t>
            </w:r>
          </w:p>
        </w:tc>
        <w:tc>
          <w:tcPr>
            <w:tcW w:w="1053" w:type="dxa"/>
            <w:noWrap/>
            <w:hideMark/>
          </w:tcPr>
          <w:p w14:paraId="5711DCE3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&lt;135/85</w:t>
            </w:r>
          </w:p>
        </w:tc>
        <w:tc>
          <w:tcPr>
            <w:tcW w:w="1280" w:type="dxa"/>
          </w:tcPr>
          <w:p w14:paraId="1DE4494B" w14:textId="4AB851FD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B</w:t>
            </w:r>
          </w:p>
        </w:tc>
        <w:tc>
          <w:tcPr>
            <w:tcW w:w="1280" w:type="dxa"/>
          </w:tcPr>
          <w:p w14:paraId="46B6CD3C" w14:textId="1C2E38B2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 w:eastAsia="ja-JP"/>
              </w:rPr>
              <w:t>B</w:t>
            </w:r>
          </w:p>
        </w:tc>
        <w:tc>
          <w:tcPr>
            <w:tcW w:w="1280" w:type="dxa"/>
            <w:noWrap/>
            <w:hideMark/>
          </w:tcPr>
          <w:p w14:paraId="2387415A" w14:textId="541F100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202" w:type="dxa"/>
            <w:noWrap/>
            <w:hideMark/>
          </w:tcPr>
          <w:p w14:paraId="16E2D4D1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358" w:type="dxa"/>
            <w:noWrap/>
            <w:hideMark/>
          </w:tcPr>
          <w:p w14:paraId="170B1578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1665" w:type="dxa"/>
            <w:noWrap/>
            <w:hideMark/>
          </w:tcPr>
          <w:p w14:paraId="1F435145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B</w:t>
            </w:r>
          </w:p>
        </w:tc>
        <w:tc>
          <w:tcPr>
            <w:tcW w:w="975" w:type="dxa"/>
            <w:noWrap/>
            <w:hideMark/>
          </w:tcPr>
          <w:p w14:paraId="74919224" w14:textId="77777777" w:rsidR="00FB514E" w:rsidRPr="007C4336" w:rsidRDefault="00FB514E" w:rsidP="00491F9F">
            <w:pPr>
              <w:pStyle w:val="Figurecaption"/>
              <w:spacing w:before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lang w:val="en-US"/>
              </w:rPr>
              <w:t>A</w:t>
            </w:r>
          </w:p>
        </w:tc>
      </w:tr>
    </w:tbl>
    <w:p w14:paraId="54CC28F4" w14:textId="3640A072" w:rsidR="00343038" w:rsidRPr="0017065C" w:rsidRDefault="0052058A" w:rsidP="00491F9F">
      <w:pPr>
        <w:pStyle w:val="Figurecaption"/>
        <w:spacing w:before="12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17065C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>Abbreviation: A, Patient categories with target blood pressure; B, this condition is not essential for calculation of the proportion of subjects who achieved target b</w:t>
      </w:r>
      <w:proofErr w:type="spellStart"/>
      <w:r w:rsidRPr="0017065C">
        <w:rPr>
          <w:rFonts w:asciiTheme="majorBidi" w:hAnsiTheme="majorBidi" w:cstheme="majorBidi"/>
          <w:color w:val="000000" w:themeColor="text1"/>
          <w:sz w:val="22"/>
          <w:szCs w:val="22"/>
        </w:rPr>
        <w:t>lood</w:t>
      </w:r>
      <w:proofErr w:type="spellEnd"/>
      <w:r w:rsidRPr="0017065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pressure. ; C, this condition excluded in calculation. CKD, chronic kidney disease.</w:t>
      </w:r>
    </w:p>
    <w:p w14:paraId="608EC04C" w14:textId="77777777" w:rsidR="00E9479F" w:rsidRDefault="00E9479F">
      <w:pPr>
        <w:widowControl/>
        <w:jc w:val="left"/>
        <w:rPr>
          <w:rFonts w:asciiTheme="majorBidi" w:hAnsiTheme="majorBidi" w:cstheme="majorBidi"/>
          <w:color w:val="000000" w:themeColor="text1"/>
          <w:sz w:val="22"/>
        </w:rPr>
        <w:sectPr w:rsidR="00E9479F" w:rsidSect="00D76B17">
          <w:footerReference w:type="default" r:id="rId8"/>
          <w:pgSz w:w="16838" w:h="11906" w:orient="landscape" w:code="9"/>
          <w:pgMar w:top="1440" w:right="1440" w:bottom="1440" w:left="1440" w:header="851" w:footer="176" w:gutter="0"/>
          <w:cols w:space="425"/>
          <w:docGrid w:type="lines" w:linePitch="360"/>
        </w:sectPr>
      </w:pPr>
    </w:p>
    <w:p w14:paraId="413C61A5" w14:textId="351FE7D5" w:rsidR="00E9479F" w:rsidRPr="007C4336" w:rsidRDefault="00E9479F" w:rsidP="00E9479F">
      <w:pPr>
        <w:pStyle w:val="Tabletitle"/>
        <w:rPr>
          <w:rFonts w:asciiTheme="majorBidi" w:hAnsiTheme="majorBidi" w:cstheme="majorBidi"/>
          <w:color w:val="000000" w:themeColor="text1"/>
          <w:lang w:val="en-US"/>
        </w:rPr>
      </w:pPr>
      <w:r w:rsidRPr="007C4336">
        <w:rPr>
          <w:rFonts w:asciiTheme="majorBidi" w:hAnsiTheme="majorBidi" w:cstheme="majorBidi"/>
          <w:color w:val="000000" w:themeColor="text1"/>
          <w:lang w:val="en-US"/>
        </w:rPr>
        <w:lastRenderedPageBreak/>
        <w:t xml:space="preserve">Supplementary Table </w:t>
      </w:r>
      <w:r>
        <w:rPr>
          <w:rFonts w:asciiTheme="majorBidi" w:hAnsiTheme="majorBidi" w:cstheme="majorBidi"/>
          <w:color w:val="000000" w:themeColor="text1"/>
          <w:lang w:val="en-US" w:eastAsia="ja-JP"/>
        </w:rPr>
        <w:t>2</w:t>
      </w:r>
      <w:r w:rsidRPr="007C4336">
        <w:rPr>
          <w:rFonts w:asciiTheme="majorBidi" w:hAnsiTheme="majorBidi" w:cstheme="majorBidi"/>
          <w:color w:val="000000" w:themeColor="text1"/>
          <w:lang w:val="en-US"/>
        </w:rPr>
        <w:t>. Clinical characteristics of patients for efficacy analysis</w:t>
      </w:r>
    </w:p>
    <w:tbl>
      <w:tblPr>
        <w:tblW w:w="96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3118"/>
        <w:gridCol w:w="709"/>
        <w:gridCol w:w="1877"/>
      </w:tblGrid>
      <w:tr w:rsidR="00E9479F" w:rsidRPr="007C4336" w14:paraId="585E7B49" w14:textId="77777777" w:rsidTr="00172BDC">
        <w:trPr>
          <w:trHeight w:val="319"/>
        </w:trPr>
        <w:tc>
          <w:tcPr>
            <w:tcW w:w="396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447ADB0C" w14:textId="77777777" w:rsidR="00E9479F" w:rsidRPr="007C4336" w:rsidRDefault="00E9479F" w:rsidP="00172BDC">
            <w:pPr>
              <w:widowControl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Items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3832289C" w14:textId="77777777" w:rsidR="00E9479F" w:rsidRPr="007C4336" w:rsidRDefault="00E9479F" w:rsidP="00172BDC">
            <w:pPr>
              <w:widowControl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Factors</w:t>
            </w:r>
          </w:p>
        </w:tc>
        <w:tc>
          <w:tcPr>
            <w:tcW w:w="258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774CCCEC" w14:textId="77777777" w:rsidR="00E9479F" w:rsidRPr="007C4336" w:rsidRDefault="00E9479F" w:rsidP="00172BDC">
            <w:pPr>
              <w:widowControl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Total (N=2372)</w:t>
            </w:r>
          </w:p>
        </w:tc>
      </w:tr>
      <w:tr w:rsidR="00E9479F" w:rsidRPr="007C4336" w14:paraId="7D50A3E0" w14:textId="77777777" w:rsidTr="00172BDC">
        <w:trPr>
          <w:trHeight w:val="242"/>
        </w:trPr>
        <w:tc>
          <w:tcPr>
            <w:tcW w:w="3969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3BAC7B9B" w14:textId="77777777" w:rsidR="00E9479F" w:rsidRPr="007C4336" w:rsidRDefault="00E9479F" w:rsidP="00172BDC">
            <w:pPr>
              <w:widowControl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630ECC36" w14:textId="77777777" w:rsidR="00E9479F" w:rsidRPr="007C4336" w:rsidRDefault="00E9479F" w:rsidP="00172BDC">
            <w:pPr>
              <w:widowControl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Male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49BD2AD4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1273</w:t>
            </w:r>
          </w:p>
        </w:tc>
        <w:tc>
          <w:tcPr>
            <w:tcW w:w="187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7920E07A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(53.7%)</w:t>
            </w:r>
          </w:p>
        </w:tc>
      </w:tr>
      <w:tr w:rsidR="00E9479F" w:rsidRPr="007C4336" w14:paraId="2F07546F" w14:textId="77777777" w:rsidTr="00172BDC">
        <w:trPr>
          <w:trHeight w:val="242"/>
        </w:trPr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</w:tcPr>
          <w:p w14:paraId="19ABB673" w14:textId="77777777" w:rsidR="00E9479F" w:rsidRPr="007C4336" w:rsidRDefault="00E9479F" w:rsidP="00172BDC">
            <w:pPr>
              <w:widowControl/>
              <w:textAlignment w:val="center"/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Age, years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</w:tcPr>
          <w:p w14:paraId="6B8306CF" w14:textId="77777777" w:rsidR="00E9479F" w:rsidRPr="007C4336" w:rsidRDefault="00E9479F" w:rsidP="00172BDC">
            <w:pPr>
              <w:widowControl/>
              <w:jc w:val="center"/>
              <w:textAlignment w:val="center"/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</w:tcPr>
          <w:p w14:paraId="1CA91369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67.5</w:t>
            </w:r>
          </w:p>
        </w:tc>
        <w:tc>
          <w:tcPr>
            <w:tcW w:w="187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D5A5F50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± </w:t>
            </w: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12.6</w:t>
            </w:r>
          </w:p>
        </w:tc>
      </w:tr>
      <w:tr w:rsidR="00E9479F" w:rsidRPr="007C4336" w14:paraId="6A08BFD6" w14:textId="77777777" w:rsidTr="00172BDC">
        <w:trPr>
          <w:trHeight w:val="24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473EEE08" w14:textId="77777777" w:rsidR="00E9479F" w:rsidRPr="007C4336" w:rsidRDefault="00E9479F" w:rsidP="00172BDC">
            <w:pPr>
              <w:widowControl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BMI, kg/m</w:t>
            </w:r>
            <w:r w:rsidRPr="007C433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543E7C3A" w14:textId="77777777" w:rsidR="00E9479F" w:rsidRPr="007C4336" w:rsidRDefault="00E9479F" w:rsidP="00172BDC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7C30964E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24.4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5" w:type="dxa"/>
              <w:bottom w:w="11" w:type="dxa"/>
              <w:right w:w="57" w:type="dxa"/>
            </w:tcMar>
            <w:vAlign w:val="center"/>
            <w:hideMark/>
          </w:tcPr>
          <w:p w14:paraId="6F033B59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± </w:t>
            </w:r>
            <w:r w:rsidRPr="007C4336"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  <w:t>3.9 (N=1785)</w:t>
            </w:r>
          </w:p>
        </w:tc>
      </w:tr>
      <w:tr w:rsidR="00E9479F" w:rsidRPr="007C4336" w14:paraId="697B3F3F" w14:textId="77777777" w:rsidTr="00172BDC">
        <w:trPr>
          <w:trHeight w:val="242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6CB47458" w14:textId="77777777" w:rsidR="00E9479F" w:rsidRPr="007C4336" w:rsidRDefault="00E9479F" w:rsidP="00172BDC">
            <w:pPr>
              <w:widowControl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Comorbidities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61E03A9E" w14:textId="77777777" w:rsidR="00E9479F" w:rsidRPr="007C4336" w:rsidRDefault="00E9479F" w:rsidP="00172BDC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7235B9E7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1656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1229D273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(69.8%)</w:t>
            </w:r>
          </w:p>
        </w:tc>
      </w:tr>
      <w:tr w:rsidR="00E9479F" w:rsidRPr="007C4336" w14:paraId="0D9E9AC6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383639F1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1359952A" w14:textId="77777777" w:rsidR="00E9479F" w:rsidRPr="007C4336" w:rsidRDefault="00E9479F" w:rsidP="00172BDC">
            <w:pPr>
              <w:widowControl/>
              <w:ind w:firstLineChars="100" w:firstLine="240"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Dyslipidemia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6EBC3217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832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44DA8149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(35.1%)</w:t>
            </w:r>
          </w:p>
        </w:tc>
      </w:tr>
      <w:tr w:rsidR="00E9479F" w:rsidRPr="007C4336" w14:paraId="15908CE6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18A45BD3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74636279" w14:textId="77777777" w:rsidR="00E9479F" w:rsidRPr="007C4336" w:rsidRDefault="00E9479F" w:rsidP="00172BDC">
            <w:pPr>
              <w:widowControl/>
              <w:ind w:firstLineChars="100" w:firstLine="240"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Ischemic heart disease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23C5BE56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251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74239ED0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(10.6%)</w:t>
            </w:r>
          </w:p>
        </w:tc>
      </w:tr>
      <w:tr w:rsidR="00E9479F" w:rsidRPr="007C4336" w14:paraId="01C18948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657A066E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1555909E" w14:textId="77777777" w:rsidR="00E9479F" w:rsidRPr="007C4336" w:rsidRDefault="00E9479F" w:rsidP="00172BDC">
            <w:pPr>
              <w:widowControl/>
              <w:ind w:firstLineChars="100" w:firstLine="240"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Diabetes mellitus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0E99AB08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448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38431D23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(18.9%)</w:t>
            </w:r>
          </w:p>
        </w:tc>
      </w:tr>
      <w:tr w:rsidR="00E9479F" w:rsidRPr="007C4336" w14:paraId="29CB1C37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78BC4028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68F636CB" w14:textId="77777777" w:rsidR="00E9479F" w:rsidRPr="007C4336" w:rsidRDefault="00E9479F" w:rsidP="00172BDC">
            <w:pPr>
              <w:widowControl/>
              <w:ind w:firstLineChars="100" w:firstLine="240"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Cerebrovascular disease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48A0E8AE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174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600B3A5E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(7.3%)</w:t>
            </w:r>
          </w:p>
        </w:tc>
      </w:tr>
      <w:tr w:rsidR="00E9479F" w:rsidRPr="007C4336" w14:paraId="24CE7B60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70062B51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37B8AB40" w14:textId="77777777" w:rsidR="00E9479F" w:rsidRPr="007C4336" w:rsidRDefault="00E9479F" w:rsidP="00172BDC">
            <w:pPr>
              <w:widowControl/>
              <w:ind w:firstLineChars="100" w:firstLine="240"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Chronic kidney disease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428E9496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264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72E70C44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(11.1%)</w:t>
            </w:r>
          </w:p>
        </w:tc>
      </w:tr>
      <w:tr w:rsidR="00E9479F" w:rsidRPr="007C4336" w14:paraId="26E6770D" w14:textId="77777777" w:rsidTr="00172BDC">
        <w:trPr>
          <w:trHeight w:val="242"/>
        </w:trPr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205FD04B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16C68C7D" w14:textId="77777777" w:rsidR="00E9479F" w:rsidRPr="007C4336" w:rsidRDefault="00E9479F" w:rsidP="00172BDC">
            <w:pPr>
              <w:widowControl/>
              <w:ind w:firstLineChars="100" w:firstLine="240"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Hyperuremia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5A085693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289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0CEE23F7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(12.2%)</w:t>
            </w:r>
          </w:p>
        </w:tc>
      </w:tr>
      <w:tr w:rsidR="00E9479F" w:rsidRPr="007C4336" w14:paraId="440E2912" w14:textId="77777777" w:rsidTr="00172BDC">
        <w:trPr>
          <w:trHeight w:val="242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7271E9AA" w14:textId="77777777" w:rsidR="00E9479F" w:rsidRPr="007C4336" w:rsidRDefault="00E9479F" w:rsidP="00172BDC">
            <w:pPr>
              <w:widowControl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Pre-treatment antihypertensive drugs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171E0497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ARB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75A2C2A2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1309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0011C062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(55.2%)</w:t>
            </w:r>
          </w:p>
        </w:tc>
      </w:tr>
      <w:tr w:rsidR="00E9479F" w:rsidRPr="007C4336" w14:paraId="124975D5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6E4A7D97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3AC10078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Valsartan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193BC3C1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315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24D17385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(13.3%)</w:t>
            </w:r>
          </w:p>
        </w:tc>
      </w:tr>
      <w:tr w:rsidR="00E9479F" w:rsidRPr="007C4336" w14:paraId="2EC84667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273A2EEB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7E26AC3C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CCB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2CAA62D9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1565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1F9EEBC9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(66.0%)</w:t>
            </w:r>
          </w:p>
        </w:tc>
      </w:tr>
      <w:tr w:rsidR="00E9479F" w:rsidRPr="007C4336" w14:paraId="7BD2D66B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5441A2BA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750C9415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Cilnidipine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7E99D3A6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6E598867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(26.2%)</w:t>
            </w:r>
          </w:p>
        </w:tc>
      </w:tr>
      <w:tr w:rsidR="00E9479F" w:rsidRPr="007C4336" w14:paraId="46815046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6278C293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4DCD7D68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ACE inhibitor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5F50F039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75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3F1C94B2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(3.2%)</w:t>
            </w:r>
          </w:p>
        </w:tc>
      </w:tr>
      <w:tr w:rsidR="00E9479F" w:rsidRPr="007C4336" w14:paraId="4137AA19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69F15E93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6BC622BD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α-</w:t>
            </w: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Blocker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2B2F97BC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68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5BDCD080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(2.9%)</w:t>
            </w:r>
          </w:p>
        </w:tc>
      </w:tr>
      <w:tr w:rsidR="00E9479F" w:rsidRPr="007C4336" w14:paraId="3A81D260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0F8554A1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090C6C46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β-</w:t>
            </w: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Blocker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3CA26D5B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207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3E4A112D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(8.7%)</w:t>
            </w:r>
          </w:p>
        </w:tc>
      </w:tr>
      <w:tr w:rsidR="00E9479F" w:rsidRPr="007C4336" w14:paraId="513CC1FA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21707D5A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73859C51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Diuretics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67CAB939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226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6730ABD4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(9.5%)</w:t>
            </w:r>
          </w:p>
        </w:tc>
      </w:tr>
      <w:tr w:rsidR="00E9479F" w:rsidRPr="007C4336" w14:paraId="61D6EC9A" w14:textId="77777777" w:rsidTr="00172BDC">
        <w:trPr>
          <w:trHeight w:val="242"/>
        </w:trPr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22EA651F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15360CD0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Others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55964407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30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00BCB0CA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(1.3%)</w:t>
            </w:r>
          </w:p>
        </w:tc>
      </w:tr>
      <w:tr w:rsidR="00E9479F" w:rsidRPr="007C4336" w14:paraId="02701907" w14:textId="77777777" w:rsidTr="00172BDC">
        <w:trPr>
          <w:trHeight w:val="242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0D3FCB22" w14:textId="77777777" w:rsidR="00E9479F" w:rsidRPr="007C4336" w:rsidRDefault="00E9479F" w:rsidP="00172BDC">
            <w:pPr>
              <w:widowControl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Concomitant antihypertensive drugs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6360879B" w14:textId="77777777" w:rsidR="00E9479F" w:rsidRPr="007C4336" w:rsidRDefault="00E9479F" w:rsidP="00172BDC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093F1E41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678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55784807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(28.6%)</w:t>
            </w:r>
          </w:p>
        </w:tc>
      </w:tr>
      <w:tr w:rsidR="00E9479F" w:rsidRPr="007C4336" w14:paraId="796F56E0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217CC4E9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4A9AEE4C" w14:textId="77777777" w:rsidR="00E9479F" w:rsidRPr="007C4336" w:rsidRDefault="00E9479F" w:rsidP="00172BDC">
            <w:pPr>
              <w:widowControl/>
              <w:ind w:firstLineChars="100" w:firstLine="240"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ARB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34B4A750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92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11836967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(3.9%)</w:t>
            </w:r>
          </w:p>
        </w:tc>
      </w:tr>
      <w:tr w:rsidR="00E9479F" w:rsidRPr="007C4336" w14:paraId="1B5095B4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3F64D400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1A25CAF6" w14:textId="77777777" w:rsidR="00E9479F" w:rsidRPr="007C4336" w:rsidRDefault="00E9479F" w:rsidP="00172BDC">
            <w:pPr>
              <w:widowControl/>
              <w:ind w:firstLineChars="100" w:firstLine="240"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CCB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36E7F35E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263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7B70393B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(11.1%)</w:t>
            </w:r>
          </w:p>
        </w:tc>
      </w:tr>
      <w:tr w:rsidR="00E9479F" w:rsidRPr="007C4336" w14:paraId="5CE52F3D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7D8BEB3C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7BCC5C9F" w14:textId="77777777" w:rsidR="00E9479F" w:rsidRPr="007C4336" w:rsidRDefault="00E9479F" w:rsidP="00172BDC">
            <w:pPr>
              <w:widowControl/>
              <w:ind w:firstLineChars="100" w:firstLine="240"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ACE inhibitor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6A0A3B77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24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2598403D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(1.0%)</w:t>
            </w:r>
          </w:p>
        </w:tc>
      </w:tr>
      <w:tr w:rsidR="00E9479F" w:rsidRPr="007C4336" w14:paraId="246CDE70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5F521126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6A68BE69" w14:textId="77777777" w:rsidR="00E9479F" w:rsidRPr="007C4336" w:rsidRDefault="00E9479F" w:rsidP="00172BDC">
            <w:pPr>
              <w:widowControl/>
              <w:ind w:firstLineChars="100" w:firstLine="240"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α–</w:t>
            </w: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Blocker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4F5DB9A8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83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59A83101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(3.5%)</w:t>
            </w:r>
          </w:p>
        </w:tc>
      </w:tr>
      <w:tr w:rsidR="00E9479F" w:rsidRPr="007C4336" w14:paraId="24498464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7F9E37D0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73D0318D" w14:textId="77777777" w:rsidR="00E9479F" w:rsidRPr="007C4336" w:rsidRDefault="00E9479F" w:rsidP="00172BDC">
            <w:pPr>
              <w:widowControl/>
              <w:ind w:firstLineChars="100" w:firstLine="240"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β–</w:t>
            </w: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Blocker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1509EC54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229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38BC20F7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(9.7%)</w:t>
            </w:r>
          </w:p>
        </w:tc>
      </w:tr>
      <w:tr w:rsidR="00E9479F" w:rsidRPr="007C4336" w14:paraId="153235CF" w14:textId="77777777" w:rsidTr="00172BDC">
        <w:trPr>
          <w:trHeight w:val="242"/>
        </w:trPr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3368AFF1" w14:textId="77777777" w:rsidR="00E9479F" w:rsidRPr="007C4336" w:rsidRDefault="00E9479F" w:rsidP="00172BDC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5232928E" w14:textId="77777777" w:rsidR="00E9479F" w:rsidRPr="007C4336" w:rsidRDefault="00E9479F" w:rsidP="00172BDC">
            <w:pPr>
              <w:widowControl/>
              <w:ind w:firstLineChars="100" w:firstLine="240"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Diuretics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792D41E6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206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58461F78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(8.7%)</w:t>
            </w:r>
          </w:p>
        </w:tc>
      </w:tr>
      <w:tr w:rsidR="00E9479F" w:rsidRPr="007C4336" w14:paraId="6DB68B17" w14:textId="77777777" w:rsidTr="00172BDC">
        <w:trPr>
          <w:trHeight w:val="242"/>
        </w:trPr>
        <w:tc>
          <w:tcPr>
            <w:tcW w:w="396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4246F94D" w14:textId="77777777" w:rsidR="00E9479F" w:rsidRPr="007C4336" w:rsidRDefault="00E9479F" w:rsidP="00172BDC">
            <w:pPr>
              <w:widowControl/>
              <w:jc w:val="center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  <w:hideMark/>
          </w:tcPr>
          <w:p w14:paraId="37D6D42B" w14:textId="77777777" w:rsidR="00E9479F" w:rsidRPr="007C4336" w:rsidRDefault="00E9479F" w:rsidP="00172BDC">
            <w:pPr>
              <w:widowControl/>
              <w:ind w:firstLineChars="100" w:firstLine="240"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Others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5" w:type="dxa"/>
            </w:tcMar>
            <w:vAlign w:val="center"/>
            <w:hideMark/>
          </w:tcPr>
          <w:p w14:paraId="47963D41" w14:textId="77777777" w:rsidR="00E9479F" w:rsidRPr="007C4336" w:rsidRDefault="00E9479F" w:rsidP="00172BDC">
            <w:pPr>
              <w:widowControl/>
              <w:jc w:val="righ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69B8B2F7" w14:textId="77777777" w:rsidR="00E9479F" w:rsidRPr="007C4336" w:rsidRDefault="00E9479F" w:rsidP="00172BDC">
            <w:pPr>
              <w:widowControl/>
              <w:jc w:val="left"/>
              <w:textAlignment w:val="center"/>
              <w:rPr>
                <w:rFonts w:asciiTheme="majorBidi" w:hAnsiTheme="majorBidi" w:cstheme="majorBidi"/>
                <w:color w:val="000000" w:themeColor="text1"/>
                <w:kern w:val="0"/>
                <w:sz w:val="24"/>
                <w:szCs w:val="24"/>
              </w:rPr>
            </w:pPr>
            <w:r w:rsidRPr="007C4336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(1.4%)</w:t>
            </w:r>
          </w:p>
        </w:tc>
      </w:tr>
    </w:tbl>
    <w:p w14:paraId="0F02D7A3" w14:textId="77777777" w:rsidR="00E9479F" w:rsidRPr="007C4336" w:rsidRDefault="00E9479F" w:rsidP="00E9479F">
      <w:pPr>
        <w:pStyle w:val="Acknowledgements"/>
        <w:rPr>
          <w:rFonts w:asciiTheme="majorBidi" w:hAnsiTheme="majorBidi" w:cstheme="majorBidi"/>
          <w:color w:val="000000" w:themeColor="text1"/>
          <w:szCs w:val="22"/>
          <w:lang w:val="en-US"/>
        </w:rPr>
      </w:pPr>
      <w:r w:rsidRPr="007C4336">
        <w:rPr>
          <w:szCs w:val="22"/>
        </w:rPr>
        <w:t>Abbreviations</w:t>
      </w:r>
      <w:r w:rsidRPr="007C4336">
        <w:rPr>
          <w:rFonts w:asciiTheme="majorBidi" w:hAnsiTheme="majorBidi" w:cstheme="majorBidi"/>
          <w:color w:val="000000" w:themeColor="text1"/>
          <w:szCs w:val="22"/>
          <w:lang w:val="en-US"/>
        </w:rPr>
        <w:t>: ACE, angiotensin-converting enzyme; ARB, angiotensin II receptor blocker; BMI, body mass index; CCB, calcium channel blocker.</w:t>
      </w:r>
    </w:p>
    <w:p w14:paraId="7B173971" w14:textId="77777777" w:rsidR="00E9479F" w:rsidRPr="007C4336" w:rsidRDefault="00E9479F" w:rsidP="00E9479F">
      <w:pPr>
        <w:pStyle w:val="Acknowledgements"/>
        <w:rPr>
          <w:rFonts w:asciiTheme="majorBidi" w:hAnsiTheme="majorBidi" w:cstheme="majorBidi"/>
          <w:color w:val="000000" w:themeColor="text1"/>
          <w:szCs w:val="22"/>
          <w:lang w:val="en-US"/>
        </w:rPr>
      </w:pPr>
      <w:proofErr w:type="gramStart"/>
      <w:r w:rsidRPr="007C4336">
        <w:rPr>
          <w:rFonts w:asciiTheme="majorBidi" w:hAnsiTheme="majorBidi" w:cstheme="majorBidi"/>
          <w:color w:val="000000" w:themeColor="text1"/>
          <w:szCs w:val="22"/>
          <w:lang w:val="en-US"/>
        </w:rPr>
        <w:t>β-Blocker</w:t>
      </w:r>
      <w:proofErr w:type="gramEnd"/>
      <w:r w:rsidRPr="007C4336">
        <w:rPr>
          <w:rFonts w:asciiTheme="majorBidi" w:hAnsiTheme="majorBidi" w:cstheme="majorBidi"/>
          <w:color w:val="000000" w:themeColor="text1"/>
          <w:szCs w:val="22"/>
          <w:lang w:val="en-US"/>
        </w:rPr>
        <w:t xml:space="preserve"> includes α</w:t>
      </w:r>
      <w:r w:rsidRPr="007C4336">
        <w:rPr>
          <w:rFonts w:asciiTheme="majorBidi" w:hAnsiTheme="majorBidi" w:cstheme="majorBidi"/>
          <w:bCs/>
          <w:color w:val="000000" w:themeColor="text1"/>
          <w:szCs w:val="22"/>
          <w:lang w:val="en-US"/>
        </w:rPr>
        <w:t>·β-</w:t>
      </w:r>
      <w:r w:rsidRPr="007C4336">
        <w:rPr>
          <w:rFonts w:asciiTheme="majorBidi" w:hAnsiTheme="majorBidi" w:cstheme="majorBidi"/>
          <w:color w:val="000000" w:themeColor="text1"/>
          <w:szCs w:val="22"/>
          <w:lang w:val="en-US"/>
        </w:rPr>
        <w:t>Blocker.</w:t>
      </w:r>
    </w:p>
    <w:p w14:paraId="51683FA8" w14:textId="00CC6FCB" w:rsidR="00E9479F" w:rsidRDefault="00E9479F" w:rsidP="00E9479F">
      <w:pPr>
        <w:widowControl/>
        <w:jc w:val="left"/>
        <w:rPr>
          <w:rFonts w:asciiTheme="majorBidi" w:hAnsiTheme="majorBidi" w:cstheme="majorBidi"/>
          <w:color w:val="000000" w:themeColor="text1"/>
        </w:rPr>
        <w:sectPr w:rsidR="00E9479F" w:rsidSect="00E9479F">
          <w:pgSz w:w="11906" w:h="16838" w:code="9"/>
          <w:pgMar w:top="1440" w:right="1440" w:bottom="1440" w:left="1440" w:header="851" w:footer="176" w:gutter="0"/>
          <w:cols w:space="425"/>
          <w:docGrid w:type="lines" w:linePitch="360"/>
        </w:sectPr>
      </w:pPr>
      <w:r w:rsidRPr="007C4336">
        <w:rPr>
          <w:rFonts w:asciiTheme="majorBidi" w:hAnsiTheme="majorBidi" w:cstheme="majorBidi"/>
          <w:color w:val="000000" w:themeColor="text1"/>
        </w:rPr>
        <w:t>Data are shown as the number</w:t>
      </w:r>
      <w:r>
        <w:rPr>
          <w:rFonts w:asciiTheme="majorBidi" w:hAnsiTheme="majorBidi" w:cstheme="majorBidi"/>
          <w:color w:val="000000" w:themeColor="text1"/>
        </w:rPr>
        <w:t xml:space="preserve"> of patients (%), the mean ± SD</w:t>
      </w:r>
      <w:r w:rsidR="00463414">
        <w:rPr>
          <w:rFonts w:asciiTheme="majorBidi" w:hAnsiTheme="majorBidi" w:cstheme="majorBidi"/>
          <w:color w:val="000000" w:themeColor="text1"/>
        </w:rPr>
        <w:t>.</w:t>
      </w:r>
      <w:bookmarkStart w:id="0" w:name="_GoBack"/>
      <w:bookmarkEnd w:id="0"/>
    </w:p>
    <w:p w14:paraId="1E3DABE3" w14:textId="77777777" w:rsidR="00E9479F" w:rsidRPr="00E9479F" w:rsidRDefault="00E9479F" w:rsidP="00E9479F">
      <w:pPr>
        <w:widowControl/>
        <w:jc w:val="left"/>
        <w:rPr>
          <w:rFonts w:asciiTheme="majorBidi" w:hAnsiTheme="majorBidi" w:cstheme="majorBidi"/>
          <w:color w:val="000000" w:themeColor="text1"/>
          <w:kern w:val="0"/>
          <w:sz w:val="22"/>
          <w:lang w:val="en-GB" w:eastAsia="en-GB"/>
        </w:rPr>
      </w:pPr>
      <w:r w:rsidRPr="00343038">
        <w:rPr>
          <w:rFonts w:ascii="Times New Roman" w:eastAsia="游明朝" w:hAnsi="Times New Roman" w:cs="Times New Roman"/>
          <w:bCs/>
          <w:color w:val="000000"/>
          <w:sz w:val="24"/>
          <w:szCs w:val="24"/>
        </w:rPr>
        <w:lastRenderedPageBreak/>
        <w:t xml:space="preserve">Supplementary Table </w:t>
      </w:r>
      <w:r>
        <w:rPr>
          <w:rFonts w:ascii="Times New Roman" w:eastAsia="游明朝" w:hAnsi="Times New Roman" w:cs="Times New Roman" w:hint="eastAsia"/>
          <w:bCs/>
          <w:color w:val="000000"/>
          <w:sz w:val="24"/>
          <w:szCs w:val="24"/>
        </w:rPr>
        <w:t>3</w:t>
      </w:r>
      <w:r w:rsidRPr="00343038">
        <w:rPr>
          <w:rFonts w:ascii="Times New Roman" w:eastAsia="游明朝" w:hAnsi="Times New Roman" w:cs="Times New Roman"/>
          <w:bCs/>
          <w:color w:val="000000"/>
          <w:sz w:val="24"/>
          <w:szCs w:val="24"/>
        </w:rPr>
        <w:t>. Change in office blood pressure by presence or absence of pre-treatment antihypertensive drugs</w:t>
      </w:r>
    </w:p>
    <w:tbl>
      <w:tblPr>
        <w:tblW w:w="13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1"/>
        <w:gridCol w:w="2032"/>
        <w:gridCol w:w="856"/>
        <w:gridCol w:w="738"/>
        <w:gridCol w:w="850"/>
        <w:gridCol w:w="992"/>
        <w:gridCol w:w="851"/>
        <w:gridCol w:w="850"/>
        <w:gridCol w:w="851"/>
        <w:gridCol w:w="992"/>
        <w:gridCol w:w="851"/>
        <w:gridCol w:w="708"/>
        <w:gridCol w:w="851"/>
        <w:gridCol w:w="1134"/>
      </w:tblGrid>
      <w:tr w:rsidR="00E9479F" w:rsidRPr="00343038" w14:paraId="3E09DFDC" w14:textId="77777777" w:rsidTr="00172BDC">
        <w:trPr>
          <w:trHeight w:val="76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D3CB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2A8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Pre-treatment antihypertensive drugs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DDB0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8DCB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Baseline</w:t>
            </w: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(mmHg)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6AF5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F40D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4F4B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 months</w:t>
            </w: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(mmHg)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CF68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967C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D462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Changes</w:t>
            </w: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(mmHg)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9C6D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Pvalue</w:t>
            </w: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1)</w:t>
            </w:r>
          </w:p>
        </w:tc>
      </w:tr>
      <w:tr w:rsidR="00E9479F" w:rsidRPr="00343038" w14:paraId="7C43ABB2" w14:textId="77777777" w:rsidTr="00172BDC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C1BB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SBP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EF5D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Present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80C1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27E7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C72C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19.1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BF4B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P&lt;0.01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980E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D3BEF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1A91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14.8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DEE2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P=0.34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2C0B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14E5B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-15.4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C0EA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±20.2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B243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P&lt;0.01</w:t>
            </w:r>
          </w:p>
        </w:tc>
      </w:tr>
      <w:tr w:rsidR="00E9479F" w:rsidRPr="00343038" w14:paraId="3E8994D8" w14:textId="77777777" w:rsidTr="00172BDC">
        <w:trPr>
          <w:trHeight w:val="375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D981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FDDB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Absent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AC26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E15BC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7E4D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23.9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E21DE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2FF2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A18C6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572C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15.1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DF465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B67C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68D30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-22.4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319F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±26.9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69AA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9479F" w:rsidRPr="00343038" w14:paraId="25BBECC5" w14:textId="77777777" w:rsidTr="00172BDC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0680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DBP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22C8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Present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3B08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7CB7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7E61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13.8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197E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P&lt;0.01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D0D6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68853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7ED0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11.0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E747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P=0.40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4FFC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72B13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380B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±12.9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CF84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P=0.01</w:t>
            </w:r>
          </w:p>
        </w:tc>
      </w:tr>
      <w:tr w:rsidR="00E9479F" w:rsidRPr="00343038" w14:paraId="4F9711B3" w14:textId="77777777" w:rsidTr="00172BDC">
        <w:trPr>
          <w:trHeight w:val="375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181C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BC25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Absent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A657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43BB5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825E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18.3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D3466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2EC2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E8C22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F560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11.9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C5BFD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B2E8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3863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-11.8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FA17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±15.3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332C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8EDD76" w14:textId="20F386F7" w:rsidR="00E9479F" w:rsidRPr="0017065C" w:rsidRDefault="00E9479F" w:rsidP="00E9479F">
      <w:pPr>
        <w:tabs>
          <w:tab w:val="left" w:pos="540"/>
        </w:tabs>
        <w:spacing w:before="240"/>
        <w:ind w:right="-272"/>
        <w:rPr>
          <w:rFonts w:ascii="Times New Roman" w:hAnsi="Times New Roman" w:cs="Times New Roman"/>
          <w:bCs/>
          <w:color w:val="000000"/>
          <w:sz w:val="22"/>
        </w:rPr>
      </w:pPr>
      <w:r w:rsidRPr="0017065C">
        <w:rPr>
          <w:rFonts w:ascii="Times New Roman" w:hAnsi="Times New Roman" w:cs="Times New Roman"/>
          <w:bCs/>
          <w:color w:val="000000"/>
          <w:sz w:val="22"/>
        </w:rPr>
        <w:t xml:space="preserve">Abbreviation: SBP, systolic blood pressure; DBP, diastolic blood pressure. </w:t>
      </w:r>
      <w:proofErr w:type="spellStart"/>
      <w:r w:rsidRPr="0017065C">
        <w:rPr>
          <w:rFonts w:ascii="Times New Roman" w:hAnsi="Times New Roman" w:cs="Times New Roman"/>
          <w:bCs/>
          <w:color w:val="000000"/>
          <w:sz w:val="22"/>
        </w:rPr>
        <w:t>Mean</w:t>
      </w:r>
      <w:r w:rsidRPr="0017065C">
        <w:rPr>
          <w:rFonts w:ascii="Times New Roman" w:hAnsi="Times New Roman" w:cs="Times New Roman"/>
          <w:color w:val="000000"/>
          <w:kern w:val="0"/>
          <w:sz w:val="22"/>
        </w:rPr>
        <w:t>±SD</w:t>
      </w:r>
      <w:proofErr w:type="spellEnd"/>
      <w:r w:rsidRPr="0017065C">
        <w:rPr>
          <w:rFonts w:ascii="Times New Roman" w:hAnsi="Times New Roman" w:cs="Times New Roman"/>
          <w:color w:val="000000"/>
          <w:kern w:val="0"/>
          <w:sz w:val="22"/>
        </w:rPr>
        <w:t>.</w:t>
      </w:r>
      <w:r w:rsidRPr="0017065C">
        <w:rPr>
          <w:rFonts w:ascii="Times New Roman" w:hAnsi="Times New Roman" w:cs="Times New Roman"/>
          <w:bCs/>
          <w:color w:val="000000"/>
          <w:sz w:val="22"/>
        </w:rPr>
        <w:t xml:space="preserve"> 1) Student’s t-test</w:t>
      </w:r>
      <w:r w:rsidR="00463414">
        <w:rPr>
          <w:rFonts w:ascii="Times New Roman" w:hAnsi="Times New Roman" w:cs="Times New Roman"/>
          <w:bCs/>
          <w:color w:val="000000"/>
          <w:sz w:val="22"/>
        </w:rPr>
        <w:t>.</w:t>
      </w:r>
    </w:p>
    <w:p w14:paraId="10D2E51E" w14:textId="77777777" w:rsidR="00E9479F" w:rsidRPr="00343038" w:rsidRDefault="00E9479F" w:rsidP="00E9479F">
      <w:pPr>
        <w:tabs>
          <w:tab w:val="left" w:pos="540"/>
        </w:tabs>
        <w:spacing w:line="360" w:lineRule="auto"/>
        <w:ind w:right="-2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5AC5D16" w14:textId="77777777" w:rsidR="00E9479F" w:rsidRPr="00343038" w:rsidRDefault="00E9479F" w:rsidP="00E9479F">
      <w:pPr>
        <w:tabs>
          <w:tab w:val="left" w:pos="540"/>
        </w:tabs>
        <w:spacing w:line="360" w:lineRule="auto"/>
        <w:ind w:right="-27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3038">
        <w:rPr>
          <w:rFonts w:ascii="Times New Roman" w:eastAsia="游明朝" w:hAnsi="Times New Roman" w:cs="Times New Roman"/>
          <w:bCs/>
          <w:color w:val="000000"/>
          <w:sz w:val="24"/>
          <w:szCs w:val="24"/>
        </w:rPr>
        <w:t xml:space="preserve">Supplementary Table </w:t>
      </w:r>
      <w:r>
        <w:rPr>
          <w:rFonts w:ascii="Times New Roman" w:eastAsia="游明朝" w:hAnsi="Times New Roman" w:cs="Times New Roman" w:hint="eastAsia"/>
          <w:bCs/>
          <w:color w:val="000000"/>
          <w:sz w:val="24"/>
          <w:szCs w:val="24"/>
        </w:rPr>
        <w:t>4</w:t>
      </w:r>
      <w:r w:rsidRPr="00343038">
        <w:rPr>
          <w:rFonts w:ascii="Times New Roman" w:eastAsia="游明朝" w:hAnsi="Times New Roman" w:cs="Times New Roman"/>
          <w:bCs/>
          <w:color w:val="000000"/>
          <w:sz w:val="24"/>
          <w:szCs w:val="24"/>
        </w:rPr>
        <w:t>.</w:t>
      </w:r>
      <w:r w:rsidRPr="003430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Change in office blood pressure by presence or absence of concomitant antihypertensive drugs</w:t>
      </w:r>
    </w:p>
    <w:tbl>
      <w:tblPr>
        <w:tblW w:w="13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2010"/>
        <w:gridCol w:w="851"/>
        <w:gridCol w:w="738"/>
        <w:gridCol w:w="850"/>
        <w:gridCol w:w="992"/>
        <w:gridCol w:w="851"/>
        <w:gridCol w:w="850"/>
        <w:gridCol w:w="993"/>
        <w:gridCol w:w="992"/>
        <w:gridCol w:w="709"/>
        <w:gridCol w:w="708"/>
        <w:gridCol w:w="851"/>
        <w:gridCol w:w="1134"/>
      </w:tblGrid>
      <w:tr w:rsidR="00E9479F" w:rsidRPr="00343038" w14:paraId="56A21428" w14:textId="77777777" w:rsidTr="00172BDC">
        <w:trPr>
          <w:trHeight w:val="77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B669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B46E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Concomitant antihypertensive drugs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DB71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6515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Baseline</w:t>
            </w: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(mmHg)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80D0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8F85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0A1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 months</w:t>
            </w: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(mmHg)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2CFD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9FC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3B9A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Changes</w:t>
            </w: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(mmHg)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61BB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1)</w:t>
            </w:r>
          </w:p>
        </w:tc>
      </w:tr>
      <w:tr w:rsidR="00E9479F" w:rsidRPr="00343038" w14:paraId="75CB0091" w14:textId="77777777" w:rsidTr="00172BDC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187A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SBP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C0E8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Present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7426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0B6EA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F211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22.0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65D2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P=0.34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F5A4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671F0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EA76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16.1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AEBF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P=0.98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B539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90B66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-15.5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0AAB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23.3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07F4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P=0.72</w:t>
            </w:r>
          </w:p>
        </w:tc>
      </w:tr>
      <w:tr w:rsidR="00E9479F" w:rsidRPr="00343038" w14:paraId="2DE9D0EE" w14:textId="77777777" w:rsidTr="00172BDC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AE4B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3135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Absent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C6C7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A71F9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2157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18.6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F62C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E1A8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FC49E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D264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14.3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1CDF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68FC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A5A73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-15.9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AB86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19.6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CDA91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9479F" w:rsidRPr="00343038" w14:paraId="1413EBDE" w14:textId="77777777" w:rsidTr="00172BDC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15A5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DBP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5D52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Present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C85C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36CC1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015A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15.0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C059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P&lt;0.01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EA54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D63BE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74.2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57F3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11.7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DCA5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P=0.01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77D6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D3B0A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B07E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13.9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C503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P=0.39</w:t>
            </w:r>
          </w:p>
        </w:tc>
      </w:tr>
      <w:tr w:rsidR="00E9479F" w:rsidRPr="00343038" w14:paraId="534634E6" w14:textId="77777777" w:rsidTr="00172BDC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6D27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5247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Absent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30DB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0AD6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A64E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13.9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4F41F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37C8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CA7F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57FB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10.8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1CF6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EEF8" w14:textId="77777777" w:rsidR="00E9479F" w:rsidRPr="00343038" w:rsidRDefault="00E9479F" w:rsidP="00172B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E85A0" w14:textId="77777777" w:rsidR="00E9479F" w:rsidRPr="00343038" w:rsidRDefault="00E9479F" w:rsidP="00172BDC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0352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430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± 12.7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14379" w14:textId="77777777" w:rsidR="00E9479F" w:rsidRPr="00343038" w:rsidRDefault="00E9479F" w:rsidP="00172BD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4CF0D5E" w14:textId="398D679B" w:rsidR="008E19C8" w:rsidRPr="00970467" w:rsidRDefault="00E9479F" w:rsidP="0017065C">
      <w:pPr>
        <w:widowControl/>
        <w:spacing w:before="24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970467">
        <w:rPr>
          <w:rFonts w:ascii="Times New Roman" w:hAnsi="Times New Roman" w:cs="Times New Roman"/>
          <w:bCs/>
          <w:color w:val="000000"/>
          <w:sz w:val="22"/>
        </w:rPr>
        <w:t xml:space="preserve">Abbreviation: SBP, systolic blood pressure; DBP, diastolic blood pressure. </w:t>
      </w:r>
      <w:proofErr w:type="spellStart"/>
      <w:r w:rsidRPr="00970467">
        <w:rPr>
          <w:rFonts w:ascii="Times New Roman" w:hAnsi="Times New Roman" w:cs="Times New Roman"/>
          <w:bCs/>
          <w:color w:val="000000"/>
          <w:sz w:val="22"/>
        </w:rPr>
        <w:t>Mean</w:t>
      </w:r>
      <w:r w:rsidRPr="00970467">
        <w:rPr>
          <w:rFonts w:ascii="Times New Roman" w:hAnsi="Times New Roman" w:cs="Times New Roman"/>
          <w:color w:val="000000"/>
          <w:sz w:val="22"/>
        </w:rPr>
        <w:t>±SD</w:t>
      </w:r>
      <w:proofErr w:type="spellEnd"/>
      <w:r w:rsidRPr="00970467">
        <w:rPr>
          <w:rFonts w:ascii="Times New Roman" w:hAnsi="Times New Roman" w:cs="Times New Roman"/>
          <w:color w:val="000000"/>
          <w:sz w:val="22"/>
        </w:rPr>
        <w:t xml:space="preserve">. </w:t>
      </w:r>
      <w:r w:rsidRPr="00970467">
        <w:rPr>
          <w:rFonts w:ascii="Times New Roman" w:hAnsi="Times New Roman" w:cs="Times New Roman"/>
          <w:bCs/>
          <w:color w:val="000000"/>
          <w:sz w:val="22"/>
        </w:rPr>
        <w:t>1) Student’s t-test</w:t>
      </w:r>
      <w:r w:rsidR="00463414">
        <w:rPr>
          <w:rFonts w:ascii="Times New Roman" w:hAnsi="Times New Roman" w:cs="Times New Roman"/>
          <w:bCs/>
          <w:color w:val="000000"/>
          <w:sz w:val="22"/>
        </w:rPr>
        <w:t>.</w:t>
      </w:r>
    </w:p>
    <w:sectPr w:rsidR="008E19C8" w:rsidRPr="00970467" w:rsidSect="00E9479F">
      <w:pgSz w:w="16838" w:h="11906" w:orient="landscape" w:code="9"/>
      <w:pgMar w:top="1440" w:right="1440" w:bottom="1440" w:left="1440" w:header="851" w:footer="176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07B170" w16cid:durableId="2161F045"/>
  <w16cid:commentId w16cid:paraId="2E974D57" w16cid:durableId="2161B169"/>
  <w16cid:commentId w16cid:paraId="798FB583" w16cid:durableId="2161B2F1"/>
  <w16cid:commentId w16cid:paraId="6D649727" w16cid:durableId="21630C64"/>
  <w16cid:commentId w16cid:paraId="1714BC22" w16cid:durableId="21686B0E"/>
  <w16cid:commentId w16cid:paraId="0A375CF6" w16cid:durableId="21686D4D"/>
  <w16cid:commentId w16cid:paraId="6FC70F9F" w16cid:durableId="21686B0F"/>
  <w16cid:commentId w16cid:paraId="6F8DCD2F" w16cid:durableId="21686B10"/>
  <w16cid:commentId w16cid:paraId="11760489" w16cid:durableId="21686B11"/>
  <w16cid:commentId w16cid:paraId="6DB62E2A" w16cid:durableId="21686B12"/>
  <w16cid:commentId w16cid:paraId="6AF84750" w16cid:durableId="21686B13"/>
  <w16cid:commentId w16cid:paraId="54661108" w16cid:durableId="21630C9F"/>
  <w16cid:commentId w16cid:paraId="3CD4197A" w16cid:durableId="2161B875"/>
  <w16cid:commentId w16cid:paraId="3345B41C" w16cid:durableId="21630E5F"/>
  <w16cid:commentId w16cid:paraId="0DB40AED" w16cid:durableId="21686B17"/>
  <w16cid:commentId w16cid:paraId="5B668F84" w16cid:durableId="21686B18"/>
  <w16cid:commentId w16cid:paraId="7386D785" w16cid:durableId="216213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29DB6" w14:textId="77777777" w:rsidR="00CE2B29" w:rsidRDefault="00CE2B29">
      <w:r>
        <w:separator/>
      </w:r>
    </w:p>
  </w:endnote>
  <w:endnote w:type="continuationSeparator" w:id="0">
    <w:p w14:paraId="11679988" w14:textId="77777777" w:rsidR="00CE2B29" w:rsidRDefault="00CE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FC82" w14:textId="75F487E2" w:rsidR="00CE2B29" w:rsidRPr="00245653" w:rsidRDefault="00CE2B29">
    <w:pPr>
      <w:pStyle w:val="a8"/>
      <w:jc w:val="center"/>
    </w:pPr>
  </w:p>
  <w:p w14:paraId="2963BE14" w14:textId="77777777" w:rsidR="00CE2B29" w:rsidRPr="00245653" w:rsidRDefault="00CE2B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EDDE8" w14:textId="77777777" w:rsidR="00CE2B29" w:rsidRDefault="00CE2B29">
      <w:r>
        <w:separator/>
      </w:r>
    </w:p>
  </w:footnote>
  <w:footnote w:type="continuationSeparator" w:id="0">
    <w:p w14:paraId="6C83EDE3" w14:textId="77777777" w:rsidR="00CE2B29" w:rsidRDefault="00CE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DA3"/>
    <w:multiLevelType w:val="multilevel"/>
    <w:tmpl w:val="8D380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A76406"/>
    <w:multiLevelType w:val="hybridMultilevel"/>
    <w:tmpl w:val="88406578"/>
    <w:lvl w:ilvl="0" w:tplc="819CCB7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702B16" w:tentative="1">
      <w:start w:val="1"/>
      <w:numFmt w:val="aiueoFullWidth"/>
      <w:lvlText w:val="(%2)"/>
      <w:lvlJc w:val="left"/>
      <w:pPr>
        <w:ind w:left="840" w:hanging="420"/>
      </w:pPr>
    </w:lvl>
    <w:lvl w:ilvl="2" w:tplc="6018F5F0" w:tentative="1">
      <w:start w:val="1"/>
      <w:numFmt w:val="decimalEnclosedCircle"/>
      <w:lvlText w:val="%3"/>
      <w:lvlJc w:val="left"/>
      <w:pPr>
        <w:ind w:left="1260" w:hanging="420"/>
      </w:pPr>
    </w:lvl>
    <w:lvl w:ilvl="3" w:tplc="BF800276" w:tentative="1">
      <w:start w:val="1"/>
      <w:numFmt w:val="decimal"/>
      <w:lvlText w:val="%4."/>
      <w:lvlJc w:val="left"/>
      <w:pPr>
        <w:ind w:left="1680" w:hanging="420"/>
      </w:pPr>
    </w:lvl>
    <w:lvl w:ilvl="4" w:tplc="A5C85DF6" w:tentative="1">
      <w:start w:val="1"/>
      <w:numFmt w:val="aiueoFullWidth"/>
      <w:lvlText w:val="(%5)"/>
      <w:lvlJc w:val="left"/>
      <w:pPr>
        <w:ind w:left="2100" w:hanging="420"/>
      </w:pPr>
    </w:lvl>
    <w:lvl w:ilvl="5" w:tplc="17964186" w:tentative="1">
      <w:start w:val="1"/>
      <w:numFmt w:val="decimalEnclosedCircle"/>
      <w:lvlText w:val="%6"/>
      <w:lvlJc w:val="left"/>
      <w:pPr>
        <w:ind w:left="2520" w:hanging="420"/>
      </w:pPr>
    </w:lvl>
    <w:lvl w:ilvl="6" w:tplc="37CC1AD4" w:tentative="1">
      <w:start w:val="1"/>
      <w:numFmt w:val="decimal"/>
      <w:lvlText w:val="%7."/>
      <w:lvlJc w:val="left"/>
      <w:pPr>
        <w:ind w:left="2940" w:hanging="420"/>
      </w:pPr>
    </w:lvl>
    <w:lvl w:ilvl="7" w:tplc="B9A80990" w:tentative="1">
      <w:start w:val="1"/>
      <w:numFmt w:val="aiueoFullWidth"/>
      <w:lvlText w:val="(%8)"/>
      <w:lvlJc w:val="left"/>
      <w:pPr>
        <w:ind w:left="3360" w:hanging="420"/>
      </w:pPr>
    </w:lvl>
    <w:lvl w:ilvl="8" w:tplc="21728A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782B22"/>
    <w:multiLevelType w:val="hybridMultilevel"/>
    <w:tmpl w:val="F0BE5B8A"/>
    <w:lvl w:ilvl="0" w:tplc="5CC2F9D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5C2136"/>
    <w:multiLevelType w:val="multilevel"/>
    <w:tmpl w:val="DBE20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6CC3A40"/>
    <w:multiLevelType w:val="multilevel"/>
    <w:tmpl w:val="F7C4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C71EC"/>
    <w:multiLevelType w:val="multilevel"/>
    <w:tmpl w:val="DBE20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5430EBB"/>
    <w:multiLevelType w:val="hybridMultilevel"/>
    <w:tmpl w:val="41025B0C"/>
    <w:lvl w:ilvl="0" w:tplc="8C4E1C7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sjA2NjQytzAyszRU0lEKTi0uzszPAykwqgUALFVry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is_review_method" w:val="Incompatible"/>
  </w:docVars>
  <w:rsids>
    <w:rsidRoot w:val="00B12BC3"/>
    <w:rsid w:val="000113DC"/>
    <w:rsid w:val="00032FF9"/>
    <w:rsid w:val="00034B47"/>
    <w:rsid w:val="000462B3"/>
    <w:rsid w:val="0004776E"/>
    <w:rsid w:val="00063EDC"/>
    <w:rsid w:val="00084396"/>
    <w:rsid w:val="00092DD0"/>
    <w:rsid w:val="000B4034"/>
    <w:rsid w:val="000D2899"/>
    <w:rsid w:val="000D7A0C"/>
    <w:rsid w:val="000E777C"/>
    <w:rsid w:val="000F4913"/>
    <w:rsid w:val="001022D8"/>
    <w:rsid w:val="00112B4B"/>
    <w:rsid w:val="001138BA"/>
    <w:rsid w:val="00114C72"/>
    <w:rsid w:val="001154D1"/>
    <w:rsid w:val="00120326"/>
    <w:rsid w:val="00150DC4"/>
    <w:rsid w:val="001510F9"/>
    <w:rsid w:val="00154C4C"/>
    <w:rsid w:val="0017065C"/>
    <w:rsid w:val="001724AC"/>
    <w:rsid w:val="0018618A"/>
    <w:rsid w:val="00191A5B"/>
    <w:rsid w:val="001A1CBF"/>
    <w:rsid w:val="001A3845"/>
    <w:rsid w:val="001B0889"/>
    <w:rsid w:val="001C012A"/>
    <w:rsid w:val="001D39C5"/>
    <w:rsid w:val="001D4DD2"/>
    <w:rsid w:val="001F1930"/>
    <w:rsid w:val="001F3088"/>
    <w:rsid w:val="002054B6"/>
    <w:rsid w:val="00211945"/>
    <w:rsid w:val="00245653"/>
    <w:rsid w:val="0026351A"/>
    <w:rsid w:val="002824E0"/>
    <w:rsid w:val="00282AC9"/>
    <w:rsid w:val="002B5A5C"/>
    <w:rsid w:val="002C0797"/>
    <w:rsid w:val="002C7EA5"/>
    <w:rsid w:val="002E728E"/>
    <w:rsid w:val="002F6EEB"/>
    <w:rsid w:val="0031051C"/>
    <w:rsid w:val="00313D4E"/>
    <w:rsid w:val="00323A7D"/>
    <w:rsid w:val="0033092D"/>
    <w:rsid w:val="00337804"/>
    <w:rsid w:val="00343038"/>
    <w:rsid w:val="00357DCB"/>
    <w:rsid w:val="0038237D"/>
    <w:rsid w:val="003A1DB3"/>
    <w:rsid w:val="003C5AF2"/>
    <w:rsid w:val="003D38EB"/>
    <w:rsid w:val="003E4FF1"/>
    <w:rsid w:val="00406909"/>
    <w:rsid w:val="00445C92"/>
    <w:rsid w:val="0045503E"/>
    <w:rsid w:val="00463414"/>
    <w:rsid w:val="0046686F"/>
    <w:rsid w:val="00482013"/>
    <w:rsid w:val="00485614"/>
    <w:rsid w:val="004857F1"/>
    <w:rsid w:val="00491F9F"/>
    <w:rsid w:val="004A0311"/>
    <w:rsid w:val="004A07E0"/>
    <w:rsid w:val="004A3AD9"/>
    <w:rsid w:val="004A586D"/>
    <w:rsid w:val="004B0AF6"/>
    <w:rsid w:val="004D0970"/>
    <w:rsid w:val="004D196F"/>
    <w:rsid w:val="004D2760"/>
    <w:rsid w:val="004D789C"/>
    <w:rsid w:val="004E536C"/>
    <w:rsid w:val="004F0BCA"/>
    <w:rsid w:val="004F116F"/>
    <w:rsid w:val="004F3EE7"/>
    <w:rsid w:val="004F6EDA"/>
    <w:rsid w:val="00501242"/>
    <w:rsid w:val="00512517"/>
    <w:rsid w:val="00512ED7"/>
    <w:rsid w:val="0052058A"/>
    <w:rsid w:val="005206CC"/>
    <w:rsid w:val="00523C35"/>
    <w:rsid w:val="00536E16"/>
    <w:rsid w:val="00541B81"/>
    <w:rsid w:val="00550CA2"/>
    <w:rsid w:val="00593677"/>
    <w:rsid w:val="00595CC9"/>
    <w:rsid w:val="005A24A5"/>
    <w:rsid w:val="005B2324"/>
    <w:rsid w:val="005B63AD"/>
    <w:rsid w:val="005D091D"/>
    <w:rsid w:val="005E2034"/>
    <w:rsid w:val="005E6041"/>
    <w:rsid w:val="005F6D5C"/>
    <w:rsid w:val="00613CAE"/>
    <w:rsid w:val="0063265B"/>
    <w:rsid w:val="00635282"/>
    <w:rsid w:val="00653415"/>
    <w:rsid w:val="00662227"/>
    <w:rsid w:val="00666CA9"/>
    <w:rsid w:val="00667F7A"/>
    <w:rsid w:val="00670A98"/>
    <w:rsid w:val="00684BFA"/>
    <w:rsid w:val="00691BCC"/>
    <w:rsid w:val="00694ED6"/>
    <w:rsid w:val="006A006F"/>
    <w:rsid w:val="006D1A3D"/>
    <w:rsid w:val="006D307F"/>
    <w:rsid w:val="006D566B"/>
    <w:rsid w:val="006E314D"/>
    <w:rsid w:val="006E53F7"/>
    <w:rsid w:val="006F1ABF"/>
    <w:rsid w:val="00701877"/>
    <w:rsid w:val="00702CA5"/>
    <w:rsid w:val="00707B3E"/>
    <w:rsid w:val="007119CB"/>
    <w:rsid w:val="00723874"/>
    <w:rsid w:val="00725A7B"/>
    <w:rsid w:val="007372A8"/>
    <w:rsid w:val="0074224D"/>
    <w:rsid w:val="00766D07"/>
    <w:rsid w:val="007740F2"/>
    <w:rsid w:val="00781B74"/>
    <w:rsid w:val="00797A31"/>
    <w:rsid w:val="007A0189"/>
    <w:rsid w:val="007A01DB"/>
    <w:rsid w:val="007A733F"/>
    <w:rsid w:val="007B5C9B"/>
    <w:rsid w:val="007C2368"/>
    <w:rsid w:val="007C31E3"/>
    <w:rsid w:val="007C4336"/>
    <w:rsid w:val="007F309C"/>
    <w:rsid w:val="007F5629"/>
    <w:rsid w:val="00804DAE"/>
    <w:rsid w:val="00812F36"/>
    <w:rsid w:val="008375AA"/>
    <w:rsid w:val="00842237"/>
    <w:rsid w:val="0085409D"/>
    <w:rsid w:val="0088255A"/>
    <w:rsid w:val="0088787A"/>
    <w:rsid w:val="00887D5D"/>
    <w:rsid w:val="00895D6F"/>
    <w:rsid w:val="008D79B4"/>
    <w:rsid w:val="008E19C8"/>
    <w:rsid w:val="008E3215"/>
    <w:rsid w:val="008F4FDD"/>
    <w:rsid w:val="008F7DA3"/>
    <w:rsid w:val="00916226"/>
    <w:rsid w:val="0093192C"/>
    <w:rsid w:val="009345EA"/>
    <w:rsid w:val="00936599"/>
    <w:rsid w:val="0094545D"/>
    <w:rsid w:val="00946D83"/>
    <w:rsid w:val="00963B64"/>
    <w:rsid w:val="00966B40"/>
    <w:rsid w:val="00970391"/>
    <w:rsid w:val="00970467"/>
    <w:rsid w:val="00973641"/>
    <w:rsid w:val="0098676D"/>
    <w:rsid w:val="009A176D"/>
    <w:rsid w:val="009B4548"/>
    <w:rsid w:val="009E5D42"/>
    <w:rsid w:val="009F0D87"/>
    <w:rsid w:val="009F31C3"/>
    <w:rsid w:val="009F4317"/>
    <w:rsid w:val="009F577F"/>
    <w:rsid w:val="00A22DFB"/>
    <w:rsid w:val="00A313AA"/>
    <w:rsid w:val="00A356EA"/>
    <w:rsid w:val="00A5492F"/>
    <w:rsid w:val="00A65A6D"/>
    <w:rsid w:val="00A740AC"/>
    <w:rsid w:val="00A7457C"/>
    <w:rsid w:val="00A77466"/>
    <w:rsid w:val="00A80B1F"/>
    <w:rsid w:val="00A8521F"/>
    <w:rsid w:val="00A901E1"/>
    <w:rsid w:val="00AA0D18"/>
    <w:rsid w:val="00AC474A"/>
    <w:rsid w:val="00AF19C4"/>
    <w:rsid w:val="00AF7B49"/>
    <w:rsid w:val="00B03261"/>
    <w:rsid w:val="00B0509E"/>
    <w:rsid w:val="00B12BC3"/>
    <w:rsid w:val="00B20EF6"/>
    <w:rsid w:val="00B452E6"/>
    <w:rsid w:val="00B50CE5"/>
    <w:rsid w:val="00B51BDE"/>
    <w:rsid w:val="00B637D0"/>
    <w:rsid w:val="00B73B6E"/>
    <w:rsid w:val="00B80265"/>
    <w:rsid w:val="00B85F29"/>
    <w:rsid w:val="00B86599"/>
    <w:rsid w:val="00B92210"/>
    <w:rsid w:val="00B950DF"/>
    <w:rsid w:val="00BB3CF0"/>
    <w:rsid w:val="00BD3E56"/>
    <w:rsid w:val="00BE3A2E"/>
    <w:rsid w:val="00BF4B3E"/>
    <w:rsid w:val="00C05941"/>
    <w:rsid w:val="00C24F58"/>
    <w:rsid w:val="00C2656E"/>
    <w:rsid w:val="00C3076B"/>
    <w:rsid w:val="00C372E2"/>
    <w:rsid w:val="00C4032A"/>
    <w:rsid w:val="00C458C3"/>
    <w:rsid w:val="00C46592"/>
    <w:rsid w:val="00C607F8"/>
    <w:rsid w:val="00C63AA1"/>
    <w:rsid w:val="00C76FA9"/>
    <w:rsid w:val="00C825CE"/>
    <w:rsid w:val="00C90948"/>
    <w:rsid w:val="00C930A8"/>
    <w:rsid w:val="00C939B7"/>
    <w:rsid w:val="00CA3344"/>
    <w:rsid w:val="00CB1879"/>
    <w:rsid w:val="00CC5380"/>
    <w:rsid w:val="00CC6C36"/>
    <w:rsid w:val="00CD2269"/>
    <w:rsid w:val="00CD7183"/>
    <w:rsid w:val="00CE2B29"/>
    <w:rsid w:val="00CE33BB"/>
    <w:rsid w:val="00CF7B76"/>
    <w:rsid w:val="00D048AF"/>
    <w:rsid w:val="00D20656"/>
    <w:rsid w:val="00D26F3D"/>
    <w:rsid w:val="00D32BAE"/>
    <w:rsid w:val="00D37D45"/>
    <w:rsid w:val="00D457F4"/>
    <w:rsid w:val="00D72603"/>
    <w:rsid w:val="00D74D3C"/>
    <w:rsid w:val="00D76B17"/>
    <w:rsid w:val="00D84B41"/>
    <w:rsid w:val="00D87D76"/>
    <w:rsid w:val="00D93D42"/>
    <w:rsid w:val="00DB6894"/>
    <w:rsid w:val="00DC1458"/>
    <w:rsid w:val="00DD3137"/>
    <w:rsid w:val="00DE0F9E"/>
    <w:rsid w:val="00DE1CBA"/>
    <w:rsid w:val="00DF28CB"/>
    <w:rsid w:val="00DF45E7"/>
    <w:rsid w:val="00DF656D"/>
    <w:rsid w:val="00E03DCE"/>
    <w:rsid w:val="00E047A7"/>
    <w:rsid w:val="00E117EE"/>
    <w:rsid w:val="00E43DA7"/>
    <w:rsid w:val="00E46874"/>
    <w:rsid w:val="00E56145"/>
    <w:rsid w:val="00E561A9"/>
    <w:rsid w:val="00E7024D"/>
    <w:rsid w:val="00E74FE2"/>
    <w:rsid w:val="00E75A23"/>
    <w:rsid w:val="00E81432"/>
    <w:rsid w:val="00E9479F"/>
    <w:rsid w:val="00EC4319"/>
    <w:rsid w:val="00EC7F9F"/>
    <w:rsid w:val="00EE5F0A"/>
    <w:rsid w:val="00F063BD"/>
    <w:rsid w:val="00F22851"/>
    <w:rsid w:val="00F34584"/>
    <w:rsid w:val="00F35A05"/>
    <w:rsid w:val="00F45B6F"/>
    <w:rsid w:val="00F51523"/>
    <w:rsid w:val="00F525F5"/>
    <w:rsid w:val="00F81952"/>
    <w:rsid w:val="00F90A48"/>
    <w:rsid w:val="00F90AE0"/>
    <w:rsid w:val="00F91DDE"/>
    <w:rsid w:val="00FA1577"/>
    <w:rsid w:val="00FB514E"/>
    <w:rsid w:val="00FD0F98"/>
    <w:rsid w:val="00FD2C87"/>
    <w:rsid w:val="00FD4556"/>
    <w:rsid w:val="00FE02E6"/>
    <w:rsid w:val="00FE2F90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796DC1"/>
  <w15:docId w15:val="{9777FDC7-DFB6-4BA9-901C-C16A421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9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12BC3"/>
    <w:pPr>
      <w:keepNext/>
      <w:widowControl/>
      <w:spacing w:before="360" w:after="60" w:line="360" w:lineRule="auto"/>
      <w:ind w:right="567"/>
      <w:contextualSpacing/>
      <w:jc w:val="left"/>
      <w:outlineLvl w:val="0"/>
    </w:pPr>
    <w:rPr>
      <w:rFonts w:ascii="Times New Roman" w:hAnsi="Times New Roman" w:cs="Arial"/>
      <w:b/>
      <w:bCs/>
      <w:kern w:val="32"/>
      <w:sz w:val="24"/>
      <w:szCs w:val="32"/>
      <w:lang w:val="en-GB" w:eastAsia="en-GB"/>
    </w:rPr>
  </w:style>
  <w:style w:type="paragraph" w:styleId="2">
    <w:name w:val="heading 2"/>
    <w:basedOn w:val="a"/>
    <w:next w:val="a"/>
    <w:link w:val="20"/>
    <w:qFormat/>
    <w:rsid w:val="00B12BC3"/>
    <w:pPr>
      <w:keepNext/>
      <w:widowControl/>
      <w:spacing w:before="360" w:after="60" w:line="360" w:lineRule="auto"/>
      <w:ind w:right="567"/>
      <w:contextualSpacing/>
      <w:jc w:val="left"/>
      <w:outlineLvl w:val="1"/>
    </w:pPr>
    <w:rPr>
      <w:rFonts w:ascii="Times New Roman" w:hAnsi="Times New Roman" w:cs="Arial"/>
      <w:b/>
      <w:bCs/>
      <w:i/>
      <w:iCs/>
      <w:kern w:val="0"/>
      <w:sz w:val="24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12BC3"/>
    <w:rPr>
      <w:rFonts w:ascii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20">
    <w:name w:val="見出し 2 (文字)"/>
    <w:basedOn w:val="a0"/>
    <w:link w:val="2"/>
    <w:rsid w:val="00B12BC3"/>
    <w:rPr>
      <w:rFonts w:ascii="Times New Roman" w:hAnsi="Times New Roman" w:cs="Arial"/>
      <w:b/>
      <w:bCs/>
      <w:i/>
      <w:iCs/>
      <w:kern w:val="0"/>
      <w:sz w:val="24"/>
      <w:szCs w:val="28"/>
      <w:lang w:val="en-GB" w:eastAsia="en-GB"/>
    </w:rPr>
  </w:style>
  <w:style w:type="character" w:styleId="a3">
    <w:name w:val="Hyperlink"/>
    <w:basedOn w:val="a0"/>
    <w:uiPriority w:val="99"/>
    <w:unhideWhenUsed/>
    <w:rsid w:val="00B12BC3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12BC3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34"/>
    <w:qFormat/>
    <w:rsid w:val="00B12BC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2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2BC3"/>
  </w:style>
  <w:style w:type="paragraph" w:styleId="a8">
    <w:name w:val="footer"/>
    <w:basedOn w:val="a"/>
    <w:link w:val="a9"/>
    <w:uiPriority w:val="99"/>
    <w:unhideWhenUsed/>
    <w:rsid w:val="00B12B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2BC3"/>
  </w:style>
  <w:style w:type="table" w:styleId="aa">
    <w:name w:val="Table Grid"/>
    <w:basedOn w:val="a1"/>
    <w:uiPriority w:val="39"/>
    <w:rsid w:val="00B1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B12BC3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2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2BC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unhideWhenUsed/>
    <w:rsid w:val="00B12BC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B12B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12BC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2B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12BC3"/>
    <w:rPr>
      <w:b/>
      <w:bCs/>
    </w:rPr>
  </w:style>
  <w:style w:type="paragraph" w:styleId="Web">
    <w:name w:val="Normal (Web)"/>
    <w:basedOn w:val="a"/>
    <w:uiPriority w:val="99"/>
    <w:semiHidden/>
    <w:unhideWhenUsed/>
    <w:rsid w:val="00B12B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Revision"/>
    <w:hidden/>
    <w:uiPriority w:val="99"/>
    <w:semiHidden/>
    <w:rsid w:val="00B12BC3"/>
  </w:style>
  <w:style w:type="character" w:customStyle="1" w:styleId="tlid-translation">
    <w:name w:val="tlid-translation"/>
    <w:basedOn w:val="a0"/>
    <w:rsid w:val="00B12BC3"/>
  </w:style>
  <w:style w:type="paragraph" w:customStyle="1" w:styleId="EndNoteBibliographyTitle">
    <w:name w:val="EndNote Bibliography Title"/>
    <w:basedOn w:val="a"/>
    <w:link w:val="EndNoteBibliographyTitle0"/>
    <w:rsid w:val="00B12BC3"/>
    <w:pPr>
      <w:jc w:val="center"/>
    </w:pPr>
    <w:rPr>
      <w:rFonts w:ascii="Century" w:eastAsia="游明朝" w:hAnsi="Century"/>
      <w:noProof/>
      <w:sz w:val="20"/>
    </w:rPr>
  </w:style>
  <w:style w:type="character" w:customStyle="1" w:styleId="a5">
    <w:name w:val="リスト段落 (文字)"/>
    <w:basedOn w:val="a0"/>
    <w:link w:val="a4"/>
    <w:uiPriority w:val="34"/>
    <w:rsid w:val="00B12BC3"/>
  </w:style>
  <w:style w:type="character" w:customStyle="1" w:styleId="EndNoteBibliographyTitle0">
    <w:name w:val="EndNote Bibliography Title (文字)"/>
    <w:basedOn w:val="a5"/>
    <w:link w:val="EndNoteBibliographyTitle"/>
    <w:rsid w:val="00B12BC3"/>
    <w:rPr>
      <w:rFonts w:ascii="Century" w:eastAsia="游明朝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B12BC3"/>
    <w:rPr>
      <w:rFonts w:ascii="Century" w:eastAsia="游明朝" w:hAnsi="Century"/>
      <w:noProof/>
      <w:sz w:val="20"/>
    </w:rPr>
  </w:style>
  <w:style w:type="character" w:customStyle="1" w:styleId="EndNoteBibliography0">
    <w:name w:val="EndNote Bibliography (文字)"/>
    <w:basedOn w:val="a5"/>
    <w:link w:val="EndNoteBibliography"/>
    <w:rsid w:val="00B12BC3"/>
    <w:rPr>
      <w:rFonts w:ascii="Century" w:eastAsia="游明朝" w:hAnsi="Century"/>
      <w:noProof/>
      <w:sz w:val="20"/>
    </w:rPr>
  </w:style>
  <w:style w:type="character" w:styleId="af4">
    <w:name w:val="Placeholder Text"/>
    <w:basedOn w:val="a0"/>
    <w:uiPriority w:val="99"/>
    <w:semiHidden/>
    <w:rsid w:val="00B12BC3"/>
    <w:rPr>
      <w:color w:val="808080"/>
    </w:rPr>
  </w:style>
  <w:style w:type="paragraph" w:customStyle="1" w:styleId="Authornames">
    <w:name w:val="Author names"/>
    <w:basedOn w:val="a"/>
    <w:next w:val="a"/>
    <w:qFormat/>
    <w:rsid w:val="00B12BC3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B12BC3"/>
    <w:pPr>
      <w:widowControl/>
      <w:spacing w:before="240" w:line="360" w:lineRule="auto"/>
      <w:jc w:val="left"/>
    </w:pPr>
    <w:rPr>
      <w:rFonts w:ascii="Times New Roman" w:hAnsi="Times New Roman" w:cs="Times New Roman"/>
      <w:i/>
      <w:kern w:val="0"/>
      <w:sz w:val="24"/>
      <w:szCs w:val="24"/>
      <w:lang w:val="en-GB" w:eastAsia="en-GB"/>
    </w:rPr>
  </w:style>
  <w:style w:type="paragraph" w:customStyle="1" w:styleId="Articletitle">
    <w:name w:val="Article title"/>
    <w:basedOn w:val="a"/>
    <w:next w:val="a"/>
    <w:qFormat/>
    <w:rsid w:val="00B12BC3"/>
    <w:pPr>
      <w:widowControl/>
      <w:spacing w:after="120" w:line="360" w:lineRule="auto"/>
      <w:jc w:val="left"/>
    </w:pPr>
    <w:rPr>
      <w:rFonts w:ascii="Times New Roman" w:hAnsi="Times New Roman" w:cs="Times New Roman"/>
      <w:b/>
      <w:kern w:val="0"/>
      <w:sz w:val="28"/>
      <w:szCs w:val="24"/>
      <w:lang w:val="en-GB" w:eastAsia="en-GB"/>
    </w:rPr>
  </w:style>
  <w:style w:type="paragraph" w:customStyle="1" w:styleId="Correspondencedetails">
    <w:name w:val="Correspondence details"/>
    <w:basedOn w:val="a"/>
    <w:qFormat/>
    <w:rsid w:val="00B12BC3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Abstract">
    <w:name w:val="Abstract"/>
    <w:basedOn w:val="a"/>
    <w:next w:val="a"/>
    <w:qFormat/>
    <w:rsid w:val="00B12BC3"/>
    <w:pPr>
      <w:widowControl/>
      <w:spacing w:before="360" w:after="300" w:line="360" w:lineRule="auto"/>
      <w:ind w:left="720" w:right="567"/>
      <w:jc w:val="left"/>
    </w:pPr>
    <w:rPr>
      <w:rFonts w:ascii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Keywords">
    <w:name w:val="Keywords"/>
    <w:basedOn w:val="a"/>
    <w:next w:val="a"/>
    <w:qFormat/>
    <w:rsid w:val="00B12BC3"/>
    <w:pPr>
      <w:widowControl/>
      <w:spacing w:before="240" w:after="240" w:line="360" w:lineRule="auto"/>
      <w:ind w:left="720" w:right="567"/>
      <w:jc w:val="left"/>
    </w:pPr>
    <w:rPr>
      <w:rFonts w:ascii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Newparagraph">
    <w:name w:val="New paragraph"/>
    <w:basedOn w:val="a"/>
    <w:qFormat/>
    <w:rsid w:val="00B12BC3"/>
    <w:pPr>
      <w:widowControl/>
      <w:spacing w:line="480" w:lineRule="auto"/>
      <w:ind w:firstLine="720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Tabletitle">
    <w:name w:val="Table title"/>
    <w:basedOn w:val="a"/>
    <w:next w:val="a"/>
    <w:qFormat/>
    <w:rsid w:val="00B12BC3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Figurecaption">
    <w:name w:val="Figure caption"/>
    <w:basedOn w:val="a"/>
    <w:next w:val="a"/>
    <w:qFormat/>
    <w:rsid w:val="00B12BC3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Footnotes">
    <w:name w:val="Footnotes"/>
    <w:basedOn w:val="a"/>
    <w:qFormat/>
    <w:rsid w:val="00B12BC3"/>
    <w:pPr>
      <w:widowControl/>
      <w:spacing w:before="120" w:line="360" w:lineRule="auto"/>
      <w:ind w:left="482" w:hanging="482"/>
      <w:contextualSpacing/>
      <w:jc w:val="left"/>
    </w:pPr>
    <w:rPr>
      <w:rFonts w:ascii="Times New Roman" w:hAnsi="Times New Roman" w:cs="Times New Roman"/>
      <w:kern w:val="0"/>
      <w:sz w:val="22"/>
      <w:szCs w:val="24"/>
      <w:lang w:val="en-GB" w:eastAsia="en-GB"/>
    </w:rPr>
  </w:style>
  <w:style w:type="character" w:styleId="af5">
    <w:name w:val="line number"/>
    <w:basedOn w:val="a0"/>
    <w:uiPriority w:val="99"/>
    <w:semiHidden/>
    <w:unhideWhenUsed/>
    <w:rsid w:val="00B12BC3"/>
  </w:style>
  <w:style w:type="character" w:customStyle="1" w:styleId="21">
    <w:name w:val="未解決のメンション2"/>
    <w:basedOn w:val="a0"/>
    <w:uiPriority w:val="99"/>
    <w:semiHidden/>
    <w:unhideWhenUsed/>
    <w:rsid w:val="004B0AF6"/>
    <w:rPr>
      <w:color w:val="605E5C"/>
      <w:shd w:val="clear" w:color="auto" w:fill="E1DFDD"/>
    </w:rPr>
  </w:style>
  <w:style w:type="paragraph" w:customStyle="1" w:styleId="Paragraph">
    <w:name w:val="Paragraph"/>
    <w:basedOn w:val="a"/>
    <w:next w:val="Newparagraph"/>
    <w:qFormat/>
    <w:rsid w:val="00EE5F0A"/>
    <w:pPr>
      <w:spacing w:before="240" w:line="48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Acknowledgements">
    <w:name w:val="Acknowledgements"/>
    <w:basedOn w:val="a"/>
    <w:next w:val="a"/>
    <w:qFormat/>
    <w:rsid w:val="007A01DB"/>
    <w:pPr>
      <w:widowControl/>
      <w:spacing w:before="120" w:line="360" w:lineRule="auto"/>
      <w:jc w:val="left"/>
    </w:pPr>
    <w:rPr>
      <w:rFonts w:ascii="Times New Roman" w:hAnsi="Times New Roman" w:cs="Times New Roman"/>
      <w:kern w:val="0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92B4-EF48-4EE7-89E8-3A8FC622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持田製薬株式会社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仁保　　健</dc:creator>
  <cp:keywords/>
  <dc:description/>
  <cp:lastModifiedBy>Saori Matsuda (松田 砂織) / ［メデ］育</cp:lastModifiedBy>
  <cp:revision>17</cp:revision>
  <cp:lastPrinted>2019-10-17T08:45:00Z</cp:lastPrinted>
  <dcterms:created xsi:type="dcterms:W3CDTF">2019-11-02T12:06:00Z</dcterms:created>
  <dcterms:modified xsi:type="dcterms:W3CDTF">2019-12-17T04:51:00Z</dcterms:modified>
</cp:coreProperties>
</file>