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B51" w:rsidRDefault="005009D4">
      <w:pPr>
        <w:snapToGrid w:val="0"/>
        <w:spacing w:line="480" w:lineRule="auto"/>
        <w:jc w:val="left"/>
        <w:rPr>
          <w:b/>
          <w:color w:val="000000"/>
          <w:kern w:val="0"/>
          <w:sz w:val="24"/>
          <w:szCs w:val="24"/>
          <w:lang w:val="en-US" w:eastAsia="en-US"/>
        </w:rPr>
      </w:pPr>
      <w:r w:rsidRPr="005009D4">
        <w:rPr>
          <w:b/>
          <w:color w:val="000000"/>
          <w:kern w:val="0"/>
          <w:sz w:val="24"/>
          <w:szCs w:val="24"/>
          <w:lang w:val="en-US" w:eastAsia="en-US"/>
        </w:rPr>
        <w:t>Identification and quantification of surfactin, a non–volatile lipopeptide in Moutai liquor</w:t>
      </w:r>
    </w:p>
    <w:p w:rsidR="00765B51" w:rsidRDefault="00765B51">
      <w:pPr>
        <w:snapToGrid w:val="0"/>
        <w:spacing w:line="480" w:lineRule="auto"/>
        <w:jc w:val="left"/>
        <w:rPr>
          <w:b/>
          <w:color w:val="000000"/>
          <w:kern w:val="0"/>
          <w:sz w:val="24"/>
          <w:szCs w:val="24"/>
          <w:lang w:val="en-US" w:eastAsia="en-US"/>
        </w:rPr>
      </w:pPr>
    </w:p>
    <w:p w:rsidR="00765B51" w:rsidRDefault="003E06AC">
      <w:pPr>
        <w:snapToGrid w:val="0"/>
        <w:spacing w:line="480" w:lineRule="auto"/>
        <w:jc w:val="left"/>
        <w:rPr>
          <w:b/>
          <w:color w:val="000000"/>
          <w:kern w:val="0"/>
          <w:sz w:val="24"/>
          <w:szCs w:val="24"/>
          <w:lang w:val="en-US" w:eastAsia="en-US"/>
        </w:rPr>
      </w:pPr>
      <w:bookmarkStart w:id="0" w:name="OLE_LINK3"/>
      <w:r>
        <w:rPr>
          <w:b/>
          <w:color w:val="000000"/>
          <w:kern w:val="0"/>
          <w:sz w:val="24"/>
          <w:szCs w:val="24"/>
          <w:lang w:val="en-US" w:eastAsia="en-US"/>
        </w:rPr>
        <w:t>Supplementary Information</w:t>
      </w:r>
    </w:p>
    <w:bookmarkEnd w:id="0"/>
    <w:p w:rsidR="00765B51" w:rsidRDefault="00765B51">
      <w:pPr>
        <w:snapToGrid w:val="0"/>
        <w:spacing w:line="480" w:lineRule="auto"/>
        <w:jc w:val="left"/>
        <w:rPr>
          <w:b/>
          <w:color w:val="000000"/>
          <w:kern w:val="0"/>
          <w:sz w:val="24"/>
          <w:szCs w:val="24"/>
          <w:lang w:val="en-US" w:eastAsia="en-US"/>
        </w:rPr>
      </w:pPr>
    </w:p>
    <w:p w:rsidR="00765B51" w:rsidRDefault="003E06AC">
      <w:pPr>
        <w:snapToGrid w:val="0"/>
        <w:spacing w:line="480" w:lineRule="auto"/>
        <w:jc w:val="left"/>
        <w:rPr>
          <w:b/>
          <w:color w:val="000000"/>
          <w:kern w:val="0"/>
          <w:sz w:val="24"/>
          <w:szCs w:val="24"/>
          <w:vertAlign w:val="superscript"/>
          <w:lang w:val="en-US"/>
        </w:rPr>
      </w:pPr>
      <w:r>
        <w:rPr>
          <w:b/>
          <w:color w:val="000000"/>
          <w:kern w:val="0"/>
          <w:sz w:val="24"/>
          <w:szCs w:val="24"/>
          <w:lang w:val="en-US" w:eastAsia="en-US"/>
        </w:rPr>
        <w:t>Zongxiao Chen,</w:t>
      </w:r>
      <w:r>
        <w:rPr>
          <w:rFonts w:hint="eastAsia"/>
          <w:b/>
          <w:color w:val="000000"/>
          <w:kern w:val="0"/>
          <w:sz w:val="24"/>
          <w:szCs w:val="24"/>
          <w:vertAlign w:val="superscript"/>
          <w:lang w:val="en-US"/>
        </w:rPr>
        <w:t>1</w:t>
      </w:r>
      <w:r>
        <w:rPr>
          <w:b/>
          <w:color w:val="000000"/>
          <w:kern w:val="0"/>
          <w:sz w:val="24"/>
          <w:szCs w:val="24"/>
          <w:lang w:val="en-US" w:eastAsia="en-US"/>
        </w:rPr>
        <w:t xml:space="preserve"> Qun Wu,</w:t>
      </w:r>
      <w:r>
        <w:rPr>
          <w:rFonts w:hint="eastAsia"/>
          <w:b/>
          <w:color w:val="000000"/>
          <w:kern w:val="0"/>
          <w:sz w:val="24"/>
          <w:szCs w:val="24"/>
          <w:vertAlign w:val="superscript"/>
          <w:lang w:val="en-US"/>
        </w:rPr>
        <w:t>3</w:t>
      </w:r>
      <w:r>
        <w:rPr>
          <w:b/>
          <w:color w:val="000000"/>
          <w:kern w:val="0"/>
          <w:sz w:val="24"/>
          <w:szCs w:val="24"/>
          <w:lang w:val="en-US" w:eastAsia="en-US"/>
        </w:rPr>
        <w:t>* Li Wang,</w:t>
      </w:r>
      <w:r>
        <w:rPr>
          <w:rFonts w:hint="eastAsia"/>
          <w:b/>
          <w:color w:val="000000"/>
          <w:kern w:val="0"/>
          <w:sz w:val="24"/>
          <w:szCs w:val="24"/>
          <w:vertAlign w:val="superscript"/>
          <w:lang w:val="en-US"/>
        </w:rPr>
        <w:t>2</w:t>
      </w:r>
      <w:r>
        <w:rPr>
          <w:b/>
          <w:color w:val="000000"/>
          <w:kern w:val="0"/>
          <w:sz w:val="24"/>
          <w:szCs w:val="24"/>
          <w:lang w:val="en-US"/>
        </w:rPr>
        <w:t xml:space="preserve"> </w:t>
      </w:r>
      <w:r>
        <w:rPr>
          <w:b/>
          <w:color w:val="000000"/>
          <w:kern w:val="0"/>
          <w:sz w:val="24"/>
          <w:szCs w:val="24"/>
          <w:lang w:val="en-US" w:eastAsia="en-US"/>
        </w:rPr>
        <w:t>Shuang Chen,</w:t>
      </w:r>
      <w:r>
        <w:rPr>
          <w:rFonts w:hint="eastAsia"/>
          <w:b/>
          <w:color w:val="000000"/>
          <w:kern w:val="0"/>
          <w:sz w:val="24"/>
          <w:szCs w:val="24"/>
          <w:vertAlign w:val="superscript"/>
          <w:lang w:val="en-US"/>
        </w:rPr>
        <w:t>3</w:t>
      </w:r>
      <w:r>
        <w:rPr>
          <w:b/>
          <w:color w:val="000000"/>
          <w:kern w:val="0"/>
          <w:sz w:val="24"/>
          <w:szCs w:val="24"/>
          <w:lang w:val="en-US"/>
        </w:rPr>
        <w:t xml:space="preserve"> </w:t>
      </w:r>
      <w:r>
        <w:rPr>
          <w:b/>
          <w:color w:val="000000"/>
          <w:kern w:val="0"/>
          <w:sz w:val="24"/>
          <w:szCs w:val="24"/>
          <w:lang w:val="en-US" w:eastAsia="en-US"/>
        </w:rPr>
        <w:t>Lin Lin,</w:t>
      </w:r>
      <w:r>
        <w:rPr>
          <w:rFonts w:hint="eastAsia"/>
          <w:b/>
          <w:color w:val="000000"/>
          <w:kern w:val="0"/>
          <w:sz w:val="24"/>
          <w:szCs w:val="24"/>
          <w:vertAlign w:val="superscript"/>
          <w:lang w:val="en-US"/>
        </w:rPr>
        <w:t>1</w:t>
      </w:r>
      <w:r>
        <w:rPr>
          <w:b/>
          <w:color w:val="000000"/>
          <w:kern w:val="0"/>
          <w:sz w:val="24"/>
          <w:szCs w:val="24"/>
          <w:vertAlign w:val="superscript"/>
          <w:lang w:val="en-US"/>
        </w:rPr>
        <w:t xml:space="preserve"> </w:t>
      </w:r>
      <w:r>
        <w:rPr>
          <w:b/>
          <w:color w:val="000000"/>
          <w:kern w:val="0"/>
          <w:sz w:val="24"/>
          <w:szCs w:val="24"/>
          <w:lang w:val="en-US" w:eastAsia="en-US"/>
        </w:rPr>
        <w:t>Heyu Wang</w:t>
      </w:r>
      <w:r>
        <w:rPr>
          <w:rFonts w:hint="eastAsia"/>
          <w:b/>
          <w:color w:val="000000"/>
          <w:kern w:val="0"/>
          <w:sz w:val="24"/>
          <w:szCs w:val="24"/>
          <w:vertAlign w:val="superscript"/>
          <w:lang w:val="en-US"/>
        </w:rPr>
        <w:t>1</w:t>
      </w:r>
      <w:r>
        <w:rPr>
          <w:b/>
          <w:color w:val="000000"/>
          <w:kern w:val="0"/>
          <w:sz w:val="24"/>
          <w:szCs w:val="24"/>
          <w:lang w:val="en-US" w:eastAsia="en-US"/>
        </w:rPr>
        <w:t xml:space="preserve"> </w:t>
      </w:r>
      <w:r>
        <w:rPr>
          <w:b/>
          <w:color w:val="000000"/>
          <w:kern w:val="0"/>
          <w:sz w:val="24"/>
          <w:szCs w:val="24"/>
          <w:lang w:val="en-US"/>
        </w:rPr>
        <w:t xml:space="preserve">&amp; </w:t>
      </w:r>
      <w:r>
        <w:rPr>
          <w:b/>
          <w:color w:val="000000"/>
          <w:kern w:val="0"/>
          <w:sz w:val="24"/>
          <w:szCs w:val="24"/>
          <w:lang w:val="en-US" w:eastAsia="en-US"/>
        </w:rPr>
        <w:t>Yan Xu</w:t>
      </w:r>
      <w:r>
        <w:rPr>
          <w:rFonts w:hint="eastAsia"/>
          <w:b/>
          <w:color w:val="000000"/>
          <w:kern w:val="0"/>
          <w:sz w:val="24"/>
          <w:szCs w:val="24"/>
          <w:vertAlign w:val="superscript"/>
          <w:lang w:val="en-US"/>
        </w:rPr>
        <w:t>3</w:t>
      </w:r>
    </w:p>
    <w:p w:rsidR="005009D4" w:rsidRDefault="005009D4">
      <w:pPr>
        <w:snapToGrid w:val="0"/>
        <w:spacing w:line="480" w:lineRule="auto"/>
        <w:jc w:val="left"/>
        <w:rPr>
          <w:bCs/>
          <w:color w:val="000000"/>
          <w:kern w:val="0"/>
          <w:sz w:val="24"/>
          <w:szCs w:val="24"/>
          <w:lang w:val="en-US"/>
        </w:rPr>
      </w:pPr>
    </w:p>
    <w:p w:rsidR="005009D4" w:rsidRDefault="003E06AC" w:rsidP="00ED11A0">
      <w:pPr>
        <w:snapToGrid w:val="0"/>
        <w:spacing w:line="480" w:lineRule="auto"/>
        <w:ind w:left="240" w:hangingChars="100" w:hanging="240"/>
        <w:jc w:val="left"/>
        <w:rPr>
          <w:color w:val="000000"/>
          <w:kern w:val="0"/>
          <w:sz w:val="24"/>
          <w:szCs w:val="24"/>
          <w:lang w:val="en-US"/>
        </w:rPr>
      </w:pPr>
      <w:r>
        <w:rPr>
          <w:rFonts w:hint="eastAsia"/>
          <w:color w:val="000000"/>
          <w:kern w:val="0"/>
          <w:sz w:val="24"/>
          <w:szCs w:val="24"/>
          <w:lang w:val="en-US"/>
        </w:rPr>
        <w:t>1</w:t>
      </w:r>
      <w:r>
        <w:rPr>
          <w:color w:val="000000"/>
          <w:kern w:val="0"/>
          <w:sz w:val="24"/>
          <w:szCs w:val="24"/>
          <w:lang w:val="en-US"/>
        </w:rPr>
        <w:t xml:space="preserve"> </w:t>
      </w:r>
      <w:r>
        <w:rPr>
          <w:color w:val="000000"/>
          <w:kern w:val="0"/>
          <w:sz w:val="24"/>
          <w:szCs w:val="24"/>
          <w:lang w:val="en-US" w:eastAsia="en-US"/>
        </w:rPr>
        <w:t>Kweichow Moutai Co., Ltd, Renhuai, Guizhou</w:t>
      </w:r>
      <w:r>
        <w:rPr>
          <w:color w:val="000000"/>
          <w:kern w:val="0"/>
          <w:sz w:val="24"/>
          <w:szCs w:val="24"/>
          <w:lang w:val="en-US"/>
        </w:rPr>
        <w:t xml:space="preserve"> </w:t>
      </w:r>
      <w:r>
        <w:rPr>
          <w:color w:val="000000"/>
          <w:kern w:val="0"/>
          <w:sz w:val="24"/>
          <w:szCs w:val="24"/>
          <w:lang w:val="en-US" w:eastAsia="en-US"/>
        </w:rPr>
        <w:t>564501,</w:t>
      </w:r>
      <w:r>
        <w:rPr>
          <w:color w:val="000000"/>
          <w:kern w:val="0"/>
          <w:sz w:val="24"/>
          <w:szCs w:val="24"/>
          <w:lang w:val="en-US"/>
        </w:rPr>
        <w:t xml:space="preserve"> </w:t>
      </w:r>
      <w:r>
        <w:rPr>
          <w:color w:val="000000"/>
          <w:kern w:val="0"/>
          <w:sz w:val="24"/>
          <w:szCs w:val="24"/>
          <w:lang w:val="en-US" w:eastAsia="en-US"/>
        </w:rPr>
        <w:t>China</w:t>
      </w:r>
      <w:r>
        <w:rPr>
          <w:color w:val="000000"/>
          <w:kern w:val="0"/>
          <w:sz w:val="24"/>
          <w:szCs w:val="24"/>
          <w:lang w:val="en-US"/>
        </w:rPr>
        <w:t>.</w:t>
      </w:r>
    </w:p>
    <w:p w:rsidR="005009D4" w:rsidRDefault="003E06AC" w:rsidP="00ED11A0">
      <w:pPr>
        <w:snapToGrid w:val="0"/>
        <w:spacing w:line="480" w:lineRule="auto"/>
        <w:ind w:left="240" w:hangingChars="100" w:hanging="240"/>
        <w:jc w:val="left"/>
        <w:rPr>
          <w:color w:val="000000"/>
          <w:kern w:val="0"/>
          <w:sz w:val="24"/>
          <w:szCs w:val="24"/>
          <w:lang w:val="en-US"/>
        </w:rPr>
      </w:pPr>
      <w:r>
        <w:rPr>
          <w:rFonts w:hint="eastAsia"/>
          <w:color w:val="000000"/>
          <w:kern w:val="0"/>
          <w:sz w:val="24"/>
          <w:szCs w:val="24"/>
          <w:lang w:val="en-US"/>
        </w:rPr>
        <w:t>2</w:t>
      </w:r>
      <w:r>
        <w:rPr>
          <w:color w:val="000000"/>
          <w:kern w:val="0"/>
          <w:sz w:val="24"/>
          <w:szCs w:val="24"/>
          <w:lang w:val="en-US"/>
        </w:rPr>
        <w:t xml:space="preserve"> </w:t>
      </w:r>
      <w:r>
        <w:rPr>
          <w:color w:val="000000"/>
          <w:kern w:val="0"/>
          <w:sz w:val="24"/>
          <w:szCs w:val="24"/>
          <w:lang w:val="en-US" w:eastAsia="en-US"/>
        </w:rPr>
        <w:t>Kweichow Moutai Group, Renhuai, Guizhou</w:t>
      </w:r>
      <w:r>
        <w:rPr>
          <w:color w:val="000000"/>
          <w:kern w:val="0"/>
          <w:sz w:val="24"/>
          <w:szCs w:val="24"/>
          <w:lang w:val="en-US"/>
        </w:rPr>
        <w:t xml:space="preserve"> </w:t>
      </w:r>
      <w:r>
        <w:rPr>
          <w:color w:val="000000"/>
          <w:kern w:val="0"/>
          <w:sz w:val="24"/>
          <w:szCs w:val="24"/>
          <w:lang w:val="en-US" w:eastAsia="en-US"/>
        </w:rPr>
        <w:t>564501, China</w:t>
      </w:r>
      <w:r>
        <w:rPr>
          <w:color w:val="000000"/>
          <w:kern w:val="0"/>
          <w:sz w:val="24"/>
          <w:szCs w:val="24"/>
          <w:lang w:val="en-US"/>
        </w:rPr>
        <w:t>.</w:t>
      </w:r>
    </w:p>
    <w:p w:rsidR="00765B51" w:rsidRDefault="003E06AC">
      <w:pPr>
        <w:snapToGrid w:val="0"/>
        <w:spacing w:line="480" w:lineRule="auto"/>
        <w:jc w:val="left"/>
        <w:rPr>
          <w:color w:val="000000"/>
          <w:kern w:val="0"/>
          <w:sz w:val="24"/>
          <w:szCs w:val="24"/>
          <w:lang w:val="en-US" w:eastAsia="en-US"/>
        </w:rPr>
      </w:pPr>
      <w:r>
        <w:rPr>
          <w:rFonts w:hint="eastAsia"/>
          <w:color w:val="000000"/>
          <w:kern w:val="0"/>
          <w:sz w:val="24"/>
          <w:szCs w:val="24"/>
          <w:lang w:val="en-US"/>
        </w:rPr>
        <w:t>3</w:t>
      </w:r>
      <w:r>
        <w:rPr>
          <w:color w:val="000000"/>
          <w:kern w:val="0"/>
          <w:sz w:val="24"/>
          <w:szCs w:val="24"/>
          <w:lang w:val="en-US" w:eastAsia="en-US"/>
        </w:rPr>
        <w:t xml:space="preserve"> </w:t>
      </w:r>
      <w:bookmarkStart w:id="1" w:name="OLE_LINK54"/>
      <w:bookmarkStart w:id="2" w:name="OLE_LINK44"/>
      <w:r>
        <w:rPr>
          <w:color w:val="000000"/>
          <w:kern w:val="0"/>
          <w:sz w:val="24"/>
          <w:szCs w:val="24"/>
          <w:lang w:val="en-US" w:eastAsia="en-US"/>
        </w:rPr>
        <w:t>State Key Laboratory of Food Science and Technology, Synergetic Innovation Center of Food Safety and Nutrition, Key Laboratory of Industrial Biotechnology of Ministry of Education, School of Biotechnology, Jiangnan Univ</w:t>
      </w:r>
      <w:r>
        <w:rPr>
          <w:color w:val="000000"/>
          <w:kern w:val="0"/>
          <w:sz w:val="24"/>
          <w:szCs w:val="24"/>
          <w:lang w:val="en-US"/>
        </w:rPr>
        <w:t>ersity</w:t>
      </w:r>
      <w:r>
        <w:rPr>
          <w:color w:val="000000"/>
          <w:kern w:val="0"/>
          <w:sz w:val="24"/>
          <w:szCs w:val="24"/>
          <w:lang w:val="en-US" w:eastAsia="en-US"/>
        </w:rPr>
        <w:t>, Wuxi, Jiangsu 214122, China.</w:t>
      </w:r>
      <w:bookmarkEnd w:id="1"/>
      <w:bookmarkEnd w:id="2"/>
    </w:p>
    <w:p w:rsidR="005009D4" w:rsidRDefault="005009D4">
      <w:pPr>
        <w:snapToGrid w:val="0"/>
        <w:spacing w:line="480" w:lineRule="auto"/>
        <w:jc w:val="left"/>
        <w:rPr>
          <w:color w:val="000000"/>
          <w:sz w:val="24"/>
          <w:szCs w:val="24"/>
          <w:lang w:val="en-US"/>
        </w:rPr>
      </w:pPr>
    </w:p>
    <w:p w:rsidR="00765B51" w:rsidRDefault="003E06AC">
      <w:pPr>
        <w:snapToGrid w:val="0"/>
        <w:spacing w:line="480" w:lineRule="auto"/>
        <w:jc w:val="left"/>
        <w:rPr>
          <w:color w:val="000000"/>
          <w:kern w:val="0"/>
          <w:sz w:val="24"/>
          <w:szCs w:val="24"/>
          <w:lang w:val="en-US" w:eastAsia="en-US"/>
        </w:rPr>
      </w:pPr>
      <w:r>
        <w:rPr>
          <w:color w:val="000000"/>
          <w:kern w:val="0"/>
          <w:sz w:val="24"/>
          <w:szCs w:val="24"/>
          <w:lang w:val="en-US" w:eastAsia="en-US"/>
        </w:rPr>
        <w:t>The work was carried out in Technique Center of Kweichow Moutai Co., Ltd., Renhuai, Guizhou, China and School of Biotechnology, Jiangnan University, Wuxi, Jiangsu, China.</w:t>
      </w:r>
    </w:p>
    <w:p w:rsidR="00765B51" w:rsidRDefault="003E06AC">
      <w:pPr>
        <w:widowControl/>
        <w:overflowPunct w:val="0"/>
        <w:autoSpaceDE w:val="0"/>
        <w:autoSpaceDN w:val="0"/>
        <w:adjustRightInd w:val="0"/>
        <w:spacing w:line="480" w:lineRule="auto"/>
        <w:jc w:val="left"/>
        <w:textAlignment w:val="baseline"/>
        <w:rPr>
          <w:color w:val="000000"/>
          <w:kern w:val="0"/>
          <w:sz w:val="24"/>
          <w:szCs w:val="24"/>
          <w:lang w:val="en-US" w:eastAsia="en-US"/>
        </w:rPr>
      </w:pPr>
      <w:r>
        <w:rPr>
          <w:b/>
          <w:color w:val="000000"/>
          <w:kern w:val="0"/>
          <w:sz w:val="24"/>
          <w:szCs w:val="24"/>
          <w:lang w:val="en-US" w:eastAsia="en-US"/>
        </w:rPr>
        <w:t>* Correspondence to</w:t>
      </w:r>
      <w:r>
        <w:rPr>
          <w:color w:val="000000"/>
          <w:kern w:val="0"/>
          <w:sz w:val="24"/>
          <w:szCs w:val="24"/>
          <w:lang w:val="en-US" w:eastAsia="en-US"/>
        </w:rPr>
        <w:t>:</w:t>
      </w:r>
      <w:bookmarkStart w:id="3" w:name="OLE_LINK48"/>
      <w:bookmarkStart w:id="4" w:name="OLE_LINK47"/>
      <w:r>
        <w:rPr>
          <w:color w:val="000000"/>
          <w:kern w:val="0"/>
          <w:sz w:val="24"/>
          <w:szCs w:val="24"/>
          <w:lang w:val="en-US"/>
        </w:rPr>
        <w:t xml:space="preserve"> Qun Wu, </w:t>
      </w:r>
      <w:r>
        <w:rPr>
          <w:color w:val="000000"/>
          <w:kern w:val="0"/>
          <w:sz w:val="24"/>
          <w:szCs w:val="24"/>
          <w:lang w:val="en-US" w:eastAsia="en-US"/>
        </w:rPr>
        <w:t>State Key Laboratory of Food Science and Technology, Synergetic Innovation Center of Food Safety and Nutrition, Key Laboratory of Industrial Biotechnology of Ministry of Education, School of Biotechnology, Jiangnan Univ</w:t>
      </w:r>
      <w:r>
        <w:rPr>
          <w:color w:val="000000"/>
          <w:kern w:val="0"/>
          <w:sz w:val="24"/>
          <w:szCs w:val="24"/>
          <w:lang w:val="en-US"/>
        </w:rPr>
        <w:t>ersity</w:t>
      </w:r>
      <w:r>
        <w:rPr>
          <w:color w:val="000000"/>
          <w:kern w:val="0"/>
          <w:sz w:val="24"/>
          <w:szCs w:val="24"/>
          <w:lang w:val="en-US" w:eastAsia="en-US"/>
        </w:rPr>
        <w:t>, Wuxi, Jiangsu 214122, China.</w:t>
      </w:r>
      <w:bookmarkEnd w:id="3"/>
      <w:bookmarkEnd w:id="4"/>
      <w:r>
        <w:rPr>
          <w:color w:val="000000"/>
          <w:kern w:val="0"/>
          <w:sz w:val="24"/>
          <w:szCs w:val="24"/>
          <w:lang w:val="en-US" w:eastAsia="en-US"/>
        </w:rPr>
        <w:t xml:space="preserve"> </w:t>
      </w:r>
    </w:p>
    <w:p w:rsidR="00765B51" w:rsidRDefault="003E06AC" w:rsidP="00ED11A0">
      <w:pPr>
        <w:widowControl/>
        <w:overflowPunct w:val="0"/>
        <w:autoSpaceDE w:val="0"/>
        <w:autoSpaceDN w:val="0"/>
        <w:adjustRightInd w:val="0"/>
        <w:spacing w:line="480" w:lineRule="auto"/>
        <w:jc w:val="left"/>
        <w:textAlignment w:val="baseline"/>
        <w:rPr>
          <w:color w:val="000000"/>
          <w:sz w:val="24"/>
          <w:szCs w:val="24"/>
          <w:lang w:val="en-US"/>
        </w:rPr>
      </w:pPr>
      <w:r>
        <w:rPr>
          <w:color w:val="000000"/>
          <w:kern w:val="0"/>
          <w:sz w:val="24"/>
          <w:szCs w:val="24"/>
          <w:lang w:val="en-US"/>
        </w:rPr>
        <w:t>E–</w:t>
      </w:r>
      <w:r>
        <w:rPr>
          <w:color w:val="000000"/>
          <w:kern w:val="0"/>
          <w:sz w:val="24"/>
          <w:szCs w:val="24"/>
          <w:lang w:val="en-US" w:eastAsia="en-US"/>
        </w:rPr>
        <w:t xml:space="preserve">mail address: </w:t>
      </w:r>
      <w:bookmarkStart w:id="5" w:name="OLE_LINK1"/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"mailto:yxu@jiangnan.edu.cn" </w:instrText>
      </w:r>
      <w:r>
        <w:rPr>
          <w:sz w:val="24"/>
          <w:szCs w:val="24"/>
        </w:rPr>
        <w:fldChar w:fldCharType="separate"/>
      </w:r>
      <w:r>
        <w:rPr>
          <w:color w:val="000000"/>
          <w:kern w:val="0"/>
          <w:sz w:val="24"/>
          <w:szCs w:val="24"/>
          <w:lang w:val="en-US"/>
        </w:rPr>
        <w:t>wuq</w:t>
      </w:r>
      <w:r>
        <w:rPr>
          <w:color w:val="000000"/>
          <w:kern w:val="0"/>
          <w:sz w:val="24"/>
          <w:szCs w:val="24"/>
          <w:lang w:val="en-US" w:eastAsia="en-US"/>
        </w:rPr>
        <w:t>@jiangnan.edu.cn</w:t>
      </w:r>
      <w:r>
        <w:rPr>
          <w:color w:val="000000"/>
          <w:kern w:val="0"/>
          <w:sz w:val="24"/>
          <w:szCs w:val="24"/>
          <w:lang w:val="en-US" w:eastAsia="en-US"/>
        </w:rPr>
        <w:fldChar w:fldCharType="end"/>
      </w:r>
      <w:r>
        <w:rPr>
          <w:color w:val="000000"/>
          <w:sz w:val="24"/>
          <w:szCs w:val="24"/>
          <w:lang w:val="en-US"/>
        </w:rPr>
        <w:t>.</w:t>
      </w:r>
      <w:bookmarkEnd w:id="5"/>
    </w:p>
    <w:p w:rsidR="00ED11A0" w:rsidRDefault="00ED11A0">
      <w:pPr>
        <w:snapToGrid w:val="0"/>
        <w:spacing w:line="480" w:lineRule="auto"/>
        <w:jc w:val="left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br w:type="page"/>
      </w:r>
    </w:p>
    <w:p w:rsidR="00765B51" w:rsidRPr="00ED11A0" w:rsidRDefault="003E06AC">
      <w:pPr>
        <w:snapToGrid w:val="0"/>
        <w:spacing w:line="480" w:lineRule="auto"/>
        <w:jc w:val="left"/>
        <w:rPr>
          <w:color w:val="000000"/>
          <w:sz w:val="24"/>
          <w:szCs w:val="24"/>
          <w:lang w:val="en-US"/>
        </w:rPr>
      </w:pPr>
      <w:r>
        <w:rPr>
          <w:b/>
          <w:color w:val="000000"/>
          <w:kern w:val="0"/>
          <w:sz w:val="24"/>
          <w:szCs w:val="24"/>
          <w:lang w:val="en-US" w:eastAsia="en-US"/>
        </w:rPr>
        <w:lastRenderedPageBreak/>
        <w:t>Summary</w:t>
      </w:r>
    </w:p>
    <w:p w:rsidR="00765B51" w:rsidRDefault="00765B51">
      <w:pPr>
        <w:snapToGrid w:val="0"/>
        <w:spacing w:line="480" w:lineRule="auto"/>
        <w:jc w:val="left"/>
        <w:rPr>
          <w:b/>
          <w:color w:val="000000"/>
          <w:kern w:val="0"/>
          <w:sz w:val="24"/>
          <w:szCs w:val="24"/>
          <w:lang w:val="en-US" w:eastAsia="en-US"/>
        </w:rPr>
      </w:pPr>
    </w:p>
    <w:p w:rsidR="00765B51" w:rsidRDefault="003E06AC">
      <w:pPr>
        <w:snapToGrid w:val="0"/>
        <w:spacing w:line="480" w:lineRule="auto"/>
        <w:jc w:val="left"/>
        <w:rPr>
          <w:bCs/>
          <w:color w:val="000000"/>
          <w:kern w:val="0"/>
          <w:sz w:val="24"/>
          <w:szCs w:val="24"/>
          <w:lang w:val="en-US"/>
        </w:rPr>
      </w:pPr>
      <w:r>
        <w:rPr>
          <w:bCs/>
          <w:color w:val="000000"/>
          <w:kern w:val="0"/>
          <w:sz w:val="24"/>
          <w:szCs w:val="24"/>
          <w:lang w:val="en-US" w:eastAsia="en-US"/>
        </w:rPr>
        <w:t xml:space="preserve">The supplementary information includes </w:t>
      </w:r>
      <w:r>
        <w:rPr>
          <w:bCs/>
          <w:color w:val="000000"/>
          <w:kern w:val="0"/>
          <w:sz w:val="24"/>
          <w:szCs w:val="24"/>
          <w:lang w:val="en-US"/>
        </w:rPr>
        <w:t>two</w:t>
      </w:r>
      <w:r>
        <w:rPr>
          <w:bCs/>
          <w:color w:val="000000"/>
          <w:kern w:val="0"/>
          <w:sz w:val="24"/>
          <w:szCs w:val="24"/>
          <w:lang w:val="en-US" w:eastAsia="en-US"/>
        </w:rPr>
        <w:t xml:space="preserve"> figures</w:t>
      </w:r>
      <w:r w:rsidR="003A0469">
        <w:rPr>
          <w:bCs/>
          <w:color w:val="000000"/>
          <w:kern w:val="0"/>
          <w:sz w:val="24"/>
          <w:szCs w:val="24"/>
          <w:lang w:val="en-US" w:eastAsia="en-US"/>
        </w:rPr>
        <w:t xml:space="preserve"> and three tables</w:t>
      </w:r>
      <w:r>
        <w:rPr>
          <w:bCs/>
          <w:color w:val="000000"/>
          <w:kern w:val="0"/>
          <w:sz w:val="24"/>
          <w:szCs w:val="24"/>
          <w:lang w:val="en-US"/>
        </w:rPr>
        <w:t>.</w:t>
      </w:r>
    </w:p>
    <w:p w:rsidR="00765B51" w:rsidRDefault="00765B51">
      <w:pPr>
        <w:snapToGrid w:val="0"/>
        <w:spacing w:line="480" w:lineRule="auto"/>
        <w:jc w:val="left"/>
        <w:rPr>
          <w:bCs/>
          <w:color w:val="000000"/>
          <w:kern w:val="0"/>
          <w:sz w:val="24"/>
          <w:szCs w:val="24"/>
          <w:lang w:val="en-US"/>
        </w:rPr>
      </w:pPr>
    </w:p>
    <w:p w:rsidR="00765B51" w:rsidRDefault="003E06AC">
      <w:pPr>
        <w:snapToGrid w:val="0"/>
        <w:spacing w:line="480" w:lineRule="auto"/>
        <w:jc w:val="center"/>
        <w:rPr>
          <w:sz w:val="24"/>
          <w:szCs w:val="24"/>
        </w:rPr>
      </w:pPr>
      <w:r>
        <w:rPr>
          <w:bCs/>
          <w:noProof/>
          <w:color w:val="000000"/>
          <w:kern w:val="0"/>
          <w:sz w:val="24"/>
          <w:szCs w:val="24"/>
          <w:lang w:val="en-US"/>
        </w:rPr>
        <w:drawing>
          <wp:inline distT="0" distB="0" distL="114300" distR="114300">
            <wp:extent cx="4916170" cy="2136140"/>
            <wp:effectExtent l="0" t="0" r="11430" b="10160"/>
            <wp:docPr id="2" name="图片 2" descr="Figure.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.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51" w:rsidRDefault="003E06AC">
      <w:pPr>
        <w:snapToGrid w:val="0"/>
        <w:spacing w:line="480" w:lineRule="auto"/>
        <w:jc w:val="left"/>
        <w:rPr>
          <w:color w:val="000000"/>
          <w:kern w:val="0"/>
          <w:sz w:val="24"/>
          <w:szCs w:val="24"/>
          <w:lang w:val="en-US" w:eastAsia="en-US"/>
        </w:rPr>
      </w:pPr>
      <w:r>
        <w:rPr>
          <w:b/>
          <w:color w:val="000000"/>
          <w:kern w:val="0"/>
          <w:sz w:val="24"/>
          <w:szCs w:val="24"/>
          <w:lang w:val="en-US" w:eastAsia="en-US"/>
        </w:rPr>
        <w:t>Fig</w:t>
      </w:r>
      <w:r>
        <w:rPr>
          <w:b/>
          <w:color w:val="000000"/>
          <w:kern w:val="0"/>
          <w:sz w:val="24"/>
          <w:szCs w:val="24"/>
          <w:lang w:val="en-US"/>
        </w:rPr>
        <w:t>ure</w:t>
      </w:r>
      <w:r>
        <w:rPr>
          <w:b/>
          <w:color w:val="000000"/>
          <w:kern w:val="0"/>
          <w:sz w:val="24"/>
          <w:szCs w:val="24"/>
          <w:lang w:val="en-US" w:eastAsia="en-US"/>
        </w:rPr>
        <w:t xml:space="preserve"> </w:t>
      </w:r>
      <w:r>
        <w:rPr>
          <w:b/>
          <w:color w:val="000000"/>
          <w:kern w:val="0"/>
          <w:sz w:val="24"/>
          <w:szCs w:val="24"/>
          <w:lang w:val="en-US"/>
        </w:rPr>
        <w:t>S</w:t>
      </w:r>
      <w:r>
        <w:rPr>
          <w:b/>
          <w:color w:val="000000"/>
          <w:kern w:val="0"/>
          <w:sz w:val="24"/>
          <w:szCs w:val="24"/>
          <w:lang w:val="en-US" w:eastAsia="en-US"/>
        </w:rPr>
        <w:t>1</w:t>
      </w:r>
      <w:r>
        <w:rPr>
          <w:b/>
          <w:color w:val="000000"/>
          <w:kern w:val="0"/>
          <w:sz w:val="24"/>
          <w:szCs w:val="24"/>
          <w:lang w:val="en-US"/>
        </w:rPr>
        <w:t>.</w:t>
      </w:r>
      <w:r>
        <w:rPr>
          <w:color w:val="000000"/>
          <w:kern w:val="0"/>
          <w:sz w:val="24"/>
          <w:szCs w:val="24"/>
          <w:lang w:val="en-US" w:eastAsia="en-US"/>
        </w:rPr>
        <w:t xml:space="preserve"> Determination of surfactin in Moutai liquor with different pretreatments by UPLC/MS. A</w:t>
      </w:r>
      <w:r>
        <w:rPr>
          <w:color w:val="000000"/>
          <w:kern w:val="0"/>
          <w:sz w:val="24"/>
          <w:szCs w:val="24"/>
          <w:lang w:val="en-US"/>
        </w:rPr>
        <w:t>:</w:t>
      </w:r>
      <w:r>
        <w:rPr>
          <w:color w:val="000000"/>
          <w:kern w:val="0"/>
          <w:sz w:val="24"/>
          <w:szCs w:val="24"/>
          <w:lang w:val="en-US" w:eastAsia="en-US"/>
        </w:rPr>
        <w:t xml:space="preserve"> Total ion chromatogram (TIC) of surfactin standard (0.5 μg </w:t>
      </w:r>
      <w:r>
        <w:rPr>
          <w:color w:val="000000"/>
          <w:kern w:val="0"/>
          <w:sz w:val="24"/>
          <w:szCs w:val="24"/>
          <w:lang w:val="en-US"/>
        </w:rPr>
        <w:t>L</w:t>
      </w:r>
      <w:r>
        <w:rPr>
          <w:color w:val="000000"/>
          <w:kern w:val="0"/>
          <w:sz w:val="24"/>
          <w:szCs w:val="24"/>
          <w:vertAlign w:val="superscript"/>
          <w:lang w:val="en-US"/>
        </w:rPr>
        <w:t>–1</w:t>
      </w:r>
      <w:r>
        <w:rPr>
          <w:color w:val="000000"/>
          <w:kern w:val="0"/>
          <w:sz w:val="24"/>
          <w:szCs w:val="24"/>
          <w:lang w:val="en-US" w:eastAsia="en-US"/>
        </w:rPr>
        <w:t>),</w:t>
      </w:r>
      <w:r>
        <w:rPr>
          <w:color w:val="000000"/>
          <w:kern w:val="0"/>
          <w:sz w:val="24"/>
          <w:szCs w:val="24"/>
          <w:lang w:val="en-US"/>
        </w:rPr>
        <w:t xml:space="preserve"> </w:t>
      </w:r>
      <w:r>
        <w:rPr>
          <w:color w:val="000000"/>
          <w:kern w:val="0"/>
          <w:sz w:val="24"/>
          <w:szCs w:val="24"/>
          <w:lang w:val="en-US" w:eastAsia="en-US"/>
        </w:rPr>
        <w:t>B</w:t>
      </w:r>
      <w:r>
        <w:rPr>
          <w:color w:val="000000"/>
          <w:kern w:val="0"/>
          <w:sz w:val="24"/>
          <w:szCs w:val="24"/>
          <w:lang w:val="en-US"/>
        </w:rPr>
        <w:t>:</w:t>
      </w:r>
      <w:r>
        <w:rPr>
          <w:color w:val="000000"/>
          <w:kern w:val="0"/>
          <w:sz w:val="24"/>
          <w:szCs w:val="24"/>
          <w:lang w:val="en-US" w:eastAsia="en-US"/>
        </w:rPr>
        <w:t xml:space="preserve"> TIC of liquor sample without pretreatment,</w:t>
      </w:r>
      <w:r>
        <w:rPr>
          <w:color w:val="000000"/>
          <w:kern w:val="0"/>
          <w:sz w:val="24"/>
          <w:szCs w:val="24"/>
          <w:lang w:val="en-US"/>
        </w:rPr>
        <w:t xml:space="preserve"> </w:t>
      </w:r>
      <w:r>
        <w:rPr>
          <w:color w:val="000000"/>
          <w:kern w:val="0"/>
          <w:sz w:val="24"/>
          <w:szCs w:val="24"/>
          <w:lang w:val="en-US" w:eastAsia="en-US"/>
        </w:rPr>
        <w:t>C and D</w:t>
      </w:r>
      <w:r>
        <w:rPr>
          <w:color w:val="000000"/>
          <w:kern w:val="0"/>
          <w:sz w:val="24"/>
          <w:szCs w:val="24"/>
          <w:lang w:val="en-US"/>
        </w:rPr>
        <w:t>:</w:t>
      </w:r>
      <w:r>
        <w:rPr>
          <w:color w:val="000000"/>
          <w:kern w:val="0"/>
          <w:sz w:val="24"/>
          <w:szCs w:val="24"/>
          <w:lang w:val="en-US" w:eastAsia="en-US"/>
        </w:rPr>
        <w:t xml:space="preserve"> TIC of liquor sample pre–treated with SPE procedure which was washed with 10 m</w:t>
      </w:r>
      <w:r>
        <w:rPr>
          <w:color w:val="000000"/>
          <w:kern w:val="0"/>
          <w:sz w:val="24"/>
          <w:szCs w:val="24"/>
          <w:lang w:val="en-US"/>
        </w:rPr>
        <w:t>L</w:t>
      </w:r>
      <w:r>
        <w:rPr>
          <w:color w:val="000000"/>
          <w:kern w:val="0"/>
          <w:sz w:val="24"/>
          <w:szCs w:val="24"/>
          <w:lang w:val="en-US" w:eastAsia="en-US"/>
        </w:rPr>
        <w:t>10% and 70% methanol respectively.</w:t>
      </w:r>
    </w:p>
    <w:p w:rsidR="00765B51" w:rsidRDefault="00765B51">
      <w:pPr>
        <w:snapToGrid w:val="0"/>
        <w:spacing w:line="480" w:lineRule="auto"/>
        <w:ind w:firstLineChars="100" w:firstLine="240"/>
        <w:jc w:val="left"/>
        <w:rPr>
          <w:color w:val="000000"/>
          <w:kern w:val="0"/>
          <w:sz w:val="24"/>
          <w:szCs w:val="24"/>
          <w:lang w:val="en-US" w:eastAsia="en-US"/>
        </w:rPr>
      </w:pPr>
    </w:p>
    <w:p w:rsidR="00765B51" w:rsidRDefault="003E06AC">
      <w:pPr>
        <w:snapToGrid w:val="0"/>
        <w:spacing w:line="480" w:lineRule="auto"/>
        <w:ind w:firstLineChars="100" w:firstLine="240"/>
        <w:jc w:val="center"/>
        <w:rPr>
          <w:color w:val="000000"/>
          <w:kern w:val="0"/>
          <w:sz w:val="24"/>
          <w:szCs w:val="24"/>
          <w:lang w:val="en-US"/>
        </w:rPr>
      </w:pPr>
      <w:r>
        <w:rPr>
          <w:noProof/>
          <w:color w:val="000000"/>
          <w:kern w:val="0"/>
          <w:sz w:val="24"/>
          <w:szCs w:val="24"/>
          <w:lang w:val="en-US"/>
        </w:rPr>
        <w:drawing>
          <wp:inline distT="0" distB="0" distL="114300" distR="114300">
            <wp:extent cx="3908425" cy="2319655"/>
            <wp:effectExtent l="0" t="0" r="3175" b="4445"/>
            <wp:docPr id="5" name="图片 5" descr="Figure.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.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B51" w:rsidRDefault="003E06AC">
      <w:pPr>
        <w:snapToGrid w:val="0"/>
        <w:spacing w:line="480" w:lineRule="auto"/>
        <w:jc w:val="left"/>
        <w:rPr>
          <w:color w:val="000000"/>
          <w:kern w:val="0"/>
          <w:sz w:val="24"/>
          <w:szCs w:val="24"/>
          <w:lang w:val="en-US"/>
        </w:rPr>
      </w:pPr>
      <w:r>
        <w:rPr>
          <w:b/>
          <w:color w:val="000000"/>
          <w:kern w:val="0"/>
          <w:sz w:val="24"/>
          <w:szCs w:val="24"/>
          <w:lang w:val="en-US" w:eastAsia="en-US"/>
        </w:rPr>
        <w:t>Fig</w:t>
      </w:r>
      <w:r>
        <w:rPr>
          <w:b/>
          <w:color w:val="000000"/>
          <w:kern w:val="0"/>
          <w:sz w:val="24"/>
          <w:szCs w:val="24"/>
          <w:lang w:val="en-US"/>
        </w:rPr>
        <w:t>ure S</w:t>
      </w:r>
      <w:r>
        <w:rPr>
          <w:b/>
          <w:color w:val="000000"/>
          <w:kern w:val="0"/>
          <w:sz w:val="24"/>
          <w:szCs w:val="24"/>
          <w:lang w:val="en-US" w:eastAsia="en-US"/>
        </w:rPr>
        <w:t>2</w:t>
      </w:r>
      <w:r>
        <w:rPr>
          <w:b/>
          <w:color w:val="000000"/>
          <w:kern w:val="0"/>
          <w:sz w:val="24"/>
          <w:szCs w:val="24"/>
          <w:lang w:val="en-US"/>
        </w:rPr>
        <w:t>.</w:t>
      </w:r>
      <w:r>
        <w:rPr>
          <w:bCs/>
          <w:color w:val="000000"/>
          <w:kern w:val="0"/>
          <w:sz w:val="24"/>
          <w:szCs w:val="24"/>
          <w:lang w:val="en-US"/>
        </w:rPr>
        <w:t xml:space="preserve"> </w:t>
      </w:r>
      <w:r>
        <w:rPr>
          <w:color w:val="000000"/>
          <w:kern w:val="0"/>
          <w:sz w:val="24"/>
          <w:szCs w:val="24"/>
          <w:lang w:val="en-US"/>
        </w:rPr>
        <w:t xml:space="preserve">The elution efficiency of </w:t>
      </w:r>
      <w:r>
        <w:rPr>
          <w:color w:val="000000"/>
          <w:kern w:val="0"/>
          <w:sz w:val="24"/>
          <w:szCs w:val="24"/>
          <w:lang w:val="en-US" w:eastAsia="en-US"/>
        </w:rPr>
        <w:t>different contents of methanol</w:t>
      </w:r>
      <w:r>
        <w:rPr>
          <w:color w:val="000000"/>
          <w:kern w:val="0"/>
          <w:sz w:val="24"/>
          <w:szCs w:val="24"/>
          <w:lang w:val="en-US"/>
        </w:rPr>
        <w:t>.</w:t>
      </w:r>
    </w:p>
    <w:p w:rsidR="00765B51" w:rsidRDefault="00765B51">
      <w:pPr>
        <w:pStyle w:val="body"/>
        <w:spacing w:line="480" w:lineRule="auto"/>
        <w:ind w:left="482" w:hangingChars="200" w:hanging="482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65B51" w:rsidRDefault="003E06AC">
      <w:pPr>
        <w:pStyle w:val="body"/>
        <w:spacing w:line="480" w:lineRule="auto"/>
        <w:ind w:left="482" w:hangingChars="200" w:hanging="482"/>
        <w:jc w:val="left"/>
        <w:rPr>
          <w:rFonts w:ascii="Times New Roman" w:hAnsi="Times New Roman" w:cs="Times New Roman"/>
          <w:b/>
          <w:sz w:val="24"/>
          <w:szCs w:val="24"/>
          <w:lang w:eastAsia="zh-CN"/>
        </w:rPr>
      </w:pPr>
      <w:bookmarkStart w:id="6" w:name="OLE_LINK4"/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b/>
          <w:sz w:val="24"/>
          <w:szCs w:val="24"/>
          <w:lang w:eastAsia="zh-CN"/>
        </w:rPr>
        <w:t>S1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"/>
        </w:rPr>
        <w:t>The information of primers</w:t>
      </w:r>
      <w:r>
        <w:rPr>
          <w:rFonts w:ascii="Times New Roman" w:hAnsi="Times New Roman" w:cs="Times New Roman" w:hint="eastAsia"/>
          <w:sz w:val="24"/>
          <w:szCs w:val="24"/>
          <w:lang w:eastAsia="zh-CN" w:bidi="ar"/>
        </w:rPr>
        <w:t>.</w:t>
      </w:r>
    </w:p>
    <w:tbl>
      <w:tblPr>
        <w:tblStyle w:val="a5"/>
        <w:tblW w:w="8046" w:type="dxa"/>
        <w:jc w:val="center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9"/>
        <w:gridCol w:w="3456"/>
        <w:gridCol w:w="2171"/>
      </w:tblGrid>
      <w:tr w:rsidR="00765B51">
        <w:trPr>
          <w:jc w:val="center"/>
        </w:trPr>
        <w:tc>
          <w:tcPr>
            <w:tcW w:w="2419" w:type="dxa"/>
            <w:tcBorders>
              <w:bottom w:val="single" w:sz="4" w:space="0" w:color="auto"/>
            </w:tcBorders>
            <w:vAlign w:val="center"/>
          </w:tcPr>
          <w:p w:rsidR="00765B51" w:rsidRDefault="003E06AC">
            <w:pPr>
              <w:pStyle w:val="body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>Primer</w:t>
            </w:r>
          </w:p>
        </w:tc>
        <w:tc>
          <w:tcPr>
            <w:tcW w:w="3456" w:type="dxa"/>
            <w:tcBorders>
              <w:bottom w:val="single" w:sz="4" w:space="0" w:color="auto"/>
            </w:tcBorders>
            <w:vAlign w:val="center"/>
          </w:tcPr>
          <w:p w:rsidR="00765B51" w:rsidRDefault="003E06AC">
            <w:pPr>
              <w:pStyle w:val="body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>Sequences (5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’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>-3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’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171" w:type="dxa"/>
            <w:tcBorders>
              <w:bottom w:val="single" w:sz="4" w:space="0" w:color="auto"/>
            </w:tcBorders>
            <w:vAlign w:val="center"/>
          </w:tcPr>
          <w:p w:rsidR="00765B51" w:rsidRDefault="003E06AC">
            <w:pPr>
              <w:pStyle w:val="body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 xml:space="preserve">Primer size </w:t>
            </w:r>
          </w:p>
        </w:tc>
      </w:tr>
      <w:tr w:rsidR="00765B51">
        <w:trPr>
          <w:jc w:val="center"/>
        </w:trPr>
        <w:tc>
          <w:tcPr>
            <w:tcW w:w="2419" w:type="dxa"/>
            <w:tcBorders>
              <w:top w:val="single" w:sz="4" w:space="0" w:color="auto"/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27F</w:t>
            </w:r>
          </w:p>
        </w:tc>
        <w:tc>
          <w:tcPr>
            <w:tcW w:w="3456" w:type="dxa"/>
            <w:tcBorders>
              <w:top w:val="single" w:sz="4" w:space="0" w:color="auto"/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/>
              </w:rPr>
              <w:t>AGAGTTTGATCCTGGCTCA</w:t>
            </w:r>
          </w:p>
        </w:tc>
        <w:tc>
          <w:tcPr>
            <w:tcW w:w="2171" w:type="dxa"/>
            <w:tcBorders>
              <w:top w:val="single" w:sz="4" w:space="0" w:color="auto"/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/>
              </w:rPr>
              <w:t>19 bp</w:t>
            </w:r>
          </w:p>
        </w:tc>
      </w:tr>
      <w:tr w:rsidR="00765B51">
        <w:trPr>
          <w:jc w:val="center"/>
        </w:trPr>
        <w:tc>
          <w:tcPr>
            <w:tcW w:w="2419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1492R</w:t>
            </w:r>
          </w:p>
        </w:tc>
        <w:tc>
          <w:tcPr>
            <w:tcW w:w="3456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/>
              </w:rPr>
              <w:t>GGTTACCTTGTTACGACTT</w:t>
            </w:r>
          </w:p>
        </w:tc>
        <w:tc>
          <w:tcPr>
            <w:tcW w:w="2171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/>
              </w:rPr>
              <w:t>19 bp</w:t>
            </w:r>
          </w:p>
        </w:tc>
      </w:tr>
      <w:bookmarkEnd w:id="6"/>
    </w:tbl>
    <w:p w:rsidR="00765B51" w:rsidRDefault="00765B51">
      <w:pPr>
        <w:pStyle w:val="body"/>
        <w:spacing w:line="48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65B51" w:rsidRDefault="003E06AC">
      <w:pPr>
        <w:pStyle w:val="body"/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b/>
          <w:sz w:val="24"/>
          <w:szCs w:val="24"/>
          <w:lang w:eastAsia="zh-CN"/>
        </w:rPr>
        <w:t xml:space="preserve">S2 </w:t>
      </w:r>
      <w:r>
        <w:rPr>
          <w:rFonts w:ascii="Times New Roman" w:hAnsi="Times New Roman" w:cs="Times New Roman"/>
          <w:sz w:val="24"/>
          <w:szCs w:val="24"/>
        </w:rPr>
        <w:t>Concentrations of surfactin (μg 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>
        <w:rPr>
          <w:rFonts w:ascii="Times New Roman" w:hAnsi="Times New Roman" w:cs="Times New Roman"/>
          <w:sz w:val="24"/>
          <w:szCs w:val="24"/>
        </w:rPr>
        <w:t>) in Moutai liquor.</w:t>
      </w:r>
    </w:p>
    <w:tbl>
      <w:tblPr>
        <w:tblW w:w="8623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1282"/>
        <w:gridCol w:w="1080"/>
        <w:gridCol w:w="923"/>
        <w:gridCol w:w="1225"/>
        <w:gridCol w:w="1845"/>
        <w:gridCol w:w="1246"/>
      </w:tblGrid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Sample no.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rFonts w:eastAsia="仿宋_GB2312"/>
                <w:b/>
                <w:snapToGrid w:val="0"/>
                <w:color w:val="000000"/>
                <w:sz w:val="24"/>
                <w:szCs w:val="24"/>
              </w:rPr>
              <w:t>Brand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Alcohol content (vol%)</w:t>
            </w:r>
          </w:p>
        </w:tc>
        <w:tc>
          <w:tcPr>
            <w:tcW w:w="923" w:type="dxa"/>
            <w:tcBorders>
              <w:top w:val="single" w:sz="12" w:space="0" w:color="auto"/>
              <w:bottom w:val="single" w:sz="4" w:space="0" w:color="auto"/>
            </w:tcBorders>
          </w:tcPr>
          <w:p w:rsidR="00765B51" w:rsidRDefault="003E06AC">
            <w:pPr>
              <w:widowControl/>
              <w:adjustRightInd w:val="0"/>
              <w:snapToGrid w:val="0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Time (years)</w:t>
            </w:r>
          </w:p>
        </w:tc>
        <w:tc>
          <w:tcPr>
            <w:tcW w:w="122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Storage time (years)</w:t>
            </w:r>
          </w:p>
        </w:tc>
        <w:tc>
          <w:tcPr>
            <w:tcW w:w="184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Total surfactin</w:t>
            </w:r>
            <w:r>
              <w:rPr>
                <w:b/>
                <w:snapToGrid w:val="0"/>
                <w:color w:val="000000"/>
                <w:sz w:val="24"/>
                <w:szCs w:val="24"/>
                <w:vertAlign w:val="superscript"/>
              </w:rPr>
              <w:t>a</w:t>
            </w:r>
          </w:p>
          <w:p w:rsidR="00765B51" w:rsidRDefault="003E06AC">
            <w:pPr>
              <w:widowControl/>
              <w:adjustRightInd w:val="0"/>
              <w:snapToGrid w:val="0"/>
              <w:jc w:val="left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(</w:t>
            </w:r>
            <w:r>
              <w:rPr>
                <w:b/>
                <w:color w:val="000000"/>
                <w:kern w:val="0"/>
                <w:sz w:val="24"/>
                <w:szCs w:val="24"/>
                <w:lang w:val="en-US" w:eastAsia="en-US"/>
              </w:rPr>
              <w:t>μg</w:t>
            </w:r>
            <w:r>
              <w:rPr>
                <w:b/>
                <w:snapToGrid w:val="0"/>
                <w:color w:val="000000"/>
                <w:sz w:val="24"/>
                <w:szCs w:val="24"/>
              </w:rPr>
              <w:t xml:space="preserve"> L</w:t>
            </w:r>
            <w:r>
              <w:rPr>
                <w:b/>
                <w:snapToGrid w:val="0"/>
                <w:color w:val="000000"/>
                <w:sz w:val="24"/>
                <w:szCs w:val="24"/>
                <w:vertAlign w:val="superscript"/>
              </w:rPr>
              <w:t>–1</w:t>
            </w:r>
            <w:r>
              <w:rPr>
                <w:b/>
                <w:snapToGrid w:val="0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RSD</w:t>
            </w:r>
            <w:r>
              <w:rPr>
                <w:b/>
                <w:snapToGrid w:val="0"/>
                <w:color w:val="000000"/>
                <w:sz w:val="24"/>
                <w:szCs w:val="24"/>
                <w:vertAlign w:val="superscript"/>
              </w:rPr>
              <w:t>b</w:t>
            </w:r>
            <w:r>
              <w:rPr>
                <w:b/>
                <w:snapToGrid w:val="0"/>
                <w:color w:val="000000"/>
                <w:sz w:val="24"/>
                <w:szCs w:val="24"/>
              </w:rPr>
              <w:t xml:space="preserve"> (%)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single" w:sz="4" w:space="0" w:color="auto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rFonts w:eastAsia="仿宋_GB2312"/>
                <w:color w:val="000000"/>
                <w:kern w:val="0"/>
                <w:sz w:val="24"/>
                <w:szCs w:val="24"/>
                <w:lang w:val="en-US" w:eastAsia="en-US"/>
              </w:rPr>
              <w:t>Kweichow Moutai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single" w:sz="4" w:space="0" w:color="auto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225" w:type="dxa"/>
            <w:tcBorders>
              <w:top w:val="single" w:sz="4" w:space="0" w:color="auto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5" w:type="dxa"/>
            <w:tcBorders>
              <w:top w:val="single" w:sz="4" w:space="0" w:color="auto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246" w:type="dxa"/>
            <w:tcBorders>
              <w:top w:val="single" w:sz="4" w:space="0" w:color="auto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0.97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jc w:val="left"/>
              <w:rPr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2.57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3.12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3.27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1.76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1.98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0.05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4.20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5.18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jc w:val="left"/>
              <w:rPr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4.60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4.15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0.31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3.44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1</w:t>
            </w: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2.88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5.06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0.08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2.78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0.16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2.08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1.89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1</w:t>
            </w: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3.32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3.66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bookmarkStart w:id="7" w:name="OLE_LINK19"/>
            <w:bookmarkStart w:id="8" w:name="OLE_LINK16"/>
            <w:r>
              <w:rPr>
                <w:snapToGrid w:val="0"/>
                <w:color w:val="000000"/>
                <w:sz w:val="24"/>
                <w:szCs w:val="24"/>
              </w:rPr>
              <w:t>2017</w:t>
            </w:r>
            <w:bookmarkEnd w:id="7"/>
            <w:bookmarkEnd w:id="8"/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4.68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5.49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4.02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2.24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2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2.90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25" w:type="dxa"/>
            <w:tcBorders>
              <w:top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2.66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25" w:type="dxa"/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3.10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82" w:type="dxa"/>
            <w:vMerge/>
            <w:tcBorders>
              <w:top w:val="nil"/>
              <w:bottom w:val="nil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25" w:type="dxa"/>
            <w:tcBorders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1246" w:type="dxa"/>
            <w:tcBorders>
              <w:top w:val="nil"/>
              <w:bottom w:val="nil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3.52</w:t>
            </w:r>
          </w:p>
        </w:tc>
      </w:tr>
      <w:tr w:rsidR="00765B51" w:rsidTr="00F11564">
        <w:trPr>
          <w:cantSplit/>
          <w:trHeight w:val="454"/>
          <w:jc w:val="center"/>
        </w:trPr>
        <w:tc>
          <w:tcPr>
            <w:tcW w:w="1022" w:type="dxa"/>
            <w:tcBorders>
              <w:top w:val="nil"/>
              <w:bottom w:val="single" w:sz="12" w:space="0" w:color="auto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  <w:lang w:val="en-US"/>
              </w:rPr>
            </w:pPr>
            <w:bookmarkStart w:id="9" w:name="OLE_LINK2" w:colFirst="2" w:colLast="3"/>
            <w:r>
              <w:rPr>
                <w:rFonts w:hint="eastAsia"/>
                <w:snapToGrid w:val="0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282" w:type="dxa"/>
            <w:vMerge/>
            <w:tcBorders>
              <w:top w:val="nil"/>
              <w:bottom w:val="single" w:sz="12" w:space="0" w:color="auto"/>
            </w:tcBorders>
            <w:vAlign w:val="center"/>
          </w:tcPr>
          <w:p w:rsidR="00765B51" w:rsidRDefault="00765B51">
            <w:pPr>
              <w:jc w:val="left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23" w:type="dxa"/>
            <w:tcBorders>
              <w:top w:val="nil"/>
              <w:bottom w:val="single" w:sz="12" w:space="0" w:color="auto"/>
            </w:tcBorders>
            <w:vAlign w:val="center"/>
          </w:tcPr>
          <w:p w:rsidR="00765B51" w:rsidRDefault="003E06AC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25" w:type="dxa"/>
            <w:tcBorders>
              <w:top w:val="nil"/>
              <w:bottom w:val="single" w:sz="12" w:space="0" w:color="auto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nil"/>
              <w:bottom w:val="single" w:sz="12" w:space="0" w:color="auto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1246" w:type="dxa"/>
            <w:tcBorders>
              <w:top w:val="nil"/>
              <w:bottom w:val="single" w:sz="12" w:space="0" w:color="auto"/>
            </w:tcBorders>
            <w:vAlign w:val="center"/>
          </w:tcPr>
          <w:p w:rsidR="00765B51" w:rsidRDefault="003E06AC">
            <w:pPr>
              <w:widowControl/>
              <w:adjustRightInd w:val="0"/>
              <w:snapToGrid w:val="0"/>
              <w:jc w:val="left"/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5.98</w:t>
            </w:r>
          </w:p>
        </w:tc>
      </w:tr>
    </w:tbl>
    <w:bookmarkEnd w:id="9"/>
    <w:p w:rsidR="00765B51" w:rsidRDefault="003E06AC">
      <w:pPr>
        <w:snapToGrid w:val="0"/>
        <w:spacing w:beforeLines="50" w:before="156" w:line="480" w:lineRule="auto"/>
        <w:jc w:val="left"/>
        <w:rPr>
          <w:color w:val="000000"/>
          <w:kern w:val="0"/>
          <w:sz w:val="24"/>
          <w:szCs w:val="24"/>
          <w:lang w:val="en-US" w:eastAsia="en-US"/>
        </w:rPr>
      </w:pPr>
      <w:r>
        <w:rPr>
          <w:color w:val="000000"/>
          <w:kern w:val="0"/>
          <w:sz w:val="24"/>
          <w:szCs w:val="24"/>
          <w:vertAlign w:val="superscript"/>
          <w:lang w:val="en-US" w:eastAsia="en-US"/>
        </w:rPr>
        <w:t>a</w:t>
      </w:r>
      <w:r>
        <w:rPr>
          <w:color w:val="000000"/>
          <w:kern w:val="0"/>
          <w:sz w:val="24"/>
          <w:szCs w:val="24"/>
          <w:lang w:val="en-US" w:eastAsia="en-US"/>
        </w:rPr>
        <w:t>Results were given as averages of three replicates</w:t>
      </w:r>
    </w:p>
    <w:p w:rsidR="00765B51" w:rsidRDefault="003E06AC">
      <w:pPr>
        <w:snapToGrid w:val="0"/>
        <w:spacing w:line="480" w:lineRule="auto"/>
        <w:jc w:val="left"/>
        <w:rPr>
          <w:color w:val="000000"/>
          <w:kern w:val="0"/>
          <w:sz w:val="24"/>
          <w:szCs w:val="24"/>
          <w:lang w:val="en-US" w:eastAsia="en-US"/>
        </w:rPr>
      </w:pPr>
      <w:r>
        <w:rPr>
          <w:color w:val="000000"/>
          <w:kern w:val="0"/>
          <w:sz w:val="24"/>
          <w:szCs w:val="24"/>
          <w:vertAlign w:val="superscript"/>
          <w:lang w:val="en-US" w:eastAsia="en-US"/>
        </w:rPr>
        <w:t>b</w:t>
      </w:r>
      <w:r>
        <w:rPr>
          <w:color w:val="000000"/>
          <w:kern w:val="0"/>
          <w:sz w:val="24"/>
          <w:szCs w:val="24"/>
          <w:lang w:val="en-US" w:eastAsia="en-US"/>
        </w:rPr>
        <w:t>Relative standard deviation (RSD) = standard deviation/mean, n = 3.</w:t>
      </w:r>
    </w:p>
    <w:p w:rsidR="00765B51" w:rsidRDefault="00765B51">
      <w:pPr>
        <w:spacing w:line="480" w:lineRule="auto"/>
        <w:rPr>
          <w:sz w:val="24"/>
          <w:szCs w:val="24"/>
        </w:rPr>
      </w:pPr>
    </w:p>
    <w:p w:rsidR="00765B51" w:rsidRDefault="003E06AC">
      <w:pPr>
        <w:pStyle w:val="body"/>
        <w:spacing w:line="480" w:lineRule="auto"/>
        <w:ind w:left="482" w:hangingChars="200" w:hanging="482"/>
        <w:jc w:val="left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b/>
          <w:sz w:val="24"/>
          <w:szCs w:val="24"/>
          <w:lang w:eastAsia="zh-CN"/>
        </w:rPr>
        <w:t>S3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bookmarkStart w:id="10" w:name="OLE_LINK5"/>
      <w:r>
        <w:rPr>
          <w:rFonts w:ascii="Times New Roman" w:hAnsi="Times New Roman" w:cs="Times New Roman"/>
          <w:bCs/>
          <w:sz w:val="24"/>
          <w:szCs w:val="24"/>
          <w:lang w:eastAsia="zh-CN"/>
        </w:rPr>
        <w:t>GenBank accession number</w:t>
      </w:r>
      <w:bookmarkEnd w:id="10"/>
      <w:r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s for </w:t>
      </w:r>
      <w:r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 xml:space="preserve">16s rRNA </w:t>
      </w:r>
      <w:r>
        <w:rPr>
          <w:rFonts w:ascii="Times New Roman" w:hAnsi="Times New Roman" w:cs="Times New Roman"/>
          <w:bCs/>
          <w:sz w:val="24"/>
          <w:szCs w:val="24"/>
          <w:lang w:eastAsia="zh-CN"/>
        </w:rPr>
        <w:t>sequence</w:t>
      </w:r>
      <w:r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s.</w:t>
      </w:r>
      <w:bookmarkStart w:id="11" w:name="_GoBack"/>
      <w:bookmarkEnd w:id="11"/>
    </w:p>
    <w:tbl>
      <w:tblPr>
        <w:tblStyle w:val="a5"/>
        <w:tblW w:w="8046" w:type="dxa"/>
        <w:jc w:val="center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8"/>
        <w:gridCol w:w="2980"/>
        <w:gridCol w:w="3668"/>
      </w:tblGrid>
      <w:tr w:rsidR="00765B51">
        <w:trPr>
          <w:jc w:val="center"/>
        </w:trPr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:rsidR="00765B51" w:rsidRDefault="003E06AC">
            <w:pPr>
              <w:pStyle w:val="body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>Label</w:t>
            </w:r>
          </w:p>
        </w:tc>
        <w:tc>
          <w:tcPr>
            <w:tcW w:w="2980" w:type="dxa"/>
            <w:tcBorders>
              <w:bottom w:val="single" w:sz="4" w:space="0" w:color="auto"/>
            </w:tcBorders>
            <w:vAlign w:val="center"/>
          </w:tcPr>
          <w:p w:rsidR="00765B51" w:rsidRDefault="003E06AC">
            <w:pPr>
              <w:pStyle w:val="body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>Strain</w:t>
            </w:r>
          </w:p>
        </w:tc>
        <w:tc>
          <w:tcPr>
            <w:tcW w:w="3668" w:type="dxa"/>
            <w:tcBorders>
              <w:bottom w:val="single" w:sz="4" w:space="0" w:color="auto"/>
            </w:tcBorders>
            <w:vAlign w:val="center"/>
          </w:tcPr>
          <w:p w:rsidR="00765B51" w:rsidRDefault="003E06AC">
            <w:pPr>
              <w:pStyle w:val="body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zh-CN"/>
              </w:rPr>
              <w:t xml:space="preserve">GenBank accession number </w:t>
            </w:r>
          </w:p>
        </w:tc>
      </w:tr>
      <w:tr w:rsidR="00765B51">
        <w:trPr>
          <w:jc w:val="center"/>
        </w:trPr>
        <w:tc>
          <w:tcPr>
            <w:tcW w:w="1398" w:type="dxa"/>
            <w:tcBorders>
              <w:top w:val="single" w:sz="4" w:space="0" w:color="auto"/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/>
              </w:rPr>
              <w:t>MT1</w:t>
            </w:r>
          </w:p>
        </w:tc>
        <w:tc>
          <w:tcPr>
            <w:tcW w:w="2980" w:type="dxa"/>
            <w:tcBorders>
              <w:top w:val="single" w:sz="4" w:space="0" w:color="auto"/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zh-CN"/>
              </w:rPr>
              <w:t>Bacillus subtilis</w:t>
            </w:r>
          </w:p>
        </w:tc>
        <w:tc>
          <w:tcPr>
            <w:tcW w:w="3668" w:type="dxa"/>
            <w:tcBorders>
              <w:top w:val="single" w:sz="4" w:space="0" w:color="auto"/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bookmarkStart w:id="12" w:name="OLE_LINK7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MN809374</w:t>
            </w:r>
            <w:bookmarkEnd w:id="12"/>
          </w:p>
        </w:tc>
      </w:tr>
      <w:tr w:rsidR="00765B51">
        <w:trPr>
          <w:jc w:val="center"/>
        </w:trPr>
        <w:tc>
          <w:tcPr>
            <w:tcW w:w="1398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/>
              </w:rPr>
              <w:t>MT2</w:t>
            </w:r>
          </w:p>
        </w:tc>
        <w:tc>
          <w:tcPr>
            <w:tcW w:w="2980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zh-CN"/>
              </w:rPr>
            </w:pPr>
            <w:bookmarkStart w:id="13" w:name="OLE_LINK6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zh-CN"/>
              </w:rPr>
              <w:t>Bacillus subtilis</w:t>
            </w:r>
            <w:bookmarkEnd w:id="13"/>
          </w:p>
        </w:tc>
        <w:tc>
          <w:tcPr>
            <w:tcW w:w="3668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MN80937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/>
              </w:rPr>
              <w:t>5</w:t>
            </w:r>
          </w:p>
        </w:tc>
      </w:tr>
      <w:tr w:rsidR="00765B51">
        <w:trPr>
          <w:jc w:val="center"/>
        </w:trPr>
        <w:tc>
          <w:tcPr>
            <w:tcW w:w="1398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/>
              </w:rPr>
              <w:t>MT3</w:t>
            </w:r>
          </w:p>
        </w:tc>
        <w:tc>
          <w:tcPr>
            <w:tcW w:w="2980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zh-CN"/>
              </w:rPr>
              <w:t>Bacillus subtilis</w:t>
            </w:r>
          </w:p>
        </w:tc>
        <w:tc>
          <w:tcPr>
            <w:tcW w:w="3668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MN80937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/>
              </w:rPr>
              <w:t>6</w:t>
            </w:r>
          </w:p>
        </w:tc>
      </w:tr>
      <w:tr w:rsidR="00765B51">
        <w:trPr>
          <w:jc w:val="center"/>
        </w:trPr>
        <w:tc>
          <w:tcPr>
            <w:tcW w:w="1398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/>
              </w:rPr>
              <w:t>MT4</w:t>
            </w:r>
          </w:p>
        </w:tc>
        <w:tc>
          <w:tcPr>
            <w:tcW w:w="2980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zh-CN"/>
              </w:rPr>
              <w:t>Bacillus subtilis</w:t>
            </w:r>
          </w:p>
        </w:tc>
        <w:tc>
          <w:tcPr>
            <w:tcW w:w="3668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MN80937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/>
              </w:rPr>
              <w:t>7</w:t>
            </w:r>
          </w:p>
        </w:tc>
      </w:tr>
      <w:tr w:rsidR="00765B51">
        <w:trPr>
          <w:jc w:val="center"/>
        </w:trPr>
        <w:tc>
          <w:tcPr>
            <w:tcW w:w="1398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/>
              </w:rPr>
              <w:t>MT5</w:t>
            </w:r>
          </w:p>
        </w:tc>
        <w:tc>
          <w:tcPr>
            <w:tcW w:w="2980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 w:hint="eastAsia"/>
                <w:bCs/>
                <w:i/>
                <w:iCs/>
                <w:sz w:val="24"/>
                <w:szCs w:val="24"/>
                <w:lang w:eastAsia="zh-CN"/>
              </w:rPr>
              <w:t>Bacillus amyloliquefaciens</w:t>
            </w:r>
          </w:p>
        </w:tc>
        <w:tc>
          <w:tcPr>
            <w:tcW w:w="3668" w:type="dxa"/>
            <w:tcBorders>
              <w:tl2br w:val="nil"/>
              <w:tr2bl w:val="nil"/>
            </w:tcBorders>
          </w:tcPr>
          <w:p w:rsidR="00765B51" w:rsidRDefault="003E06AC">
            <w:pPr>
              <w:pStyle w:val="body"/>
              <w:spacing w:line="48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MN80937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eastAsia="zh-CN"/>
              </w:rPr>
              <w:t>8</w:t>
            </w:r>
          </w:p>
        </w:tc>
      </w:tr>
    </w:tbl>
    <w:p w:rsidR="00765B51" w:rsidRDefault="00765B51">
      <w:pPr>
        <w:spacing w:line="480" w:lineRule="auto"/>
        <w:rPr>
          <w:sz w:val="24"/>
          <w:szCs w:val="24"/>
        </w:rPr>
      </w:pPr>
    </w:p>
    <w:sectPr w:rsidR="00765B51">
      <w:headerReference w:type="even" r:id="rId9"/>
      <w:footerReference w:type="even" r:id="rId10"/>
      <w:footerReference w:type="default" r:id="rId11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F25" w:rsidRDefault="00E34F25">
      <w:r>
        <w:separator/>
      </w:r>
    </w:p>
  </w:endnote>
  <w:endnote w:type="continuationSeparator" w:id="0">
    <w:p w:rsidR="00E34F25" w:rsidRDefault="00E34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topia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</w:rPr>
      <w:id w:val="-1530634426"/>
    </w:sdtPr>
    <w:sdtEndPr/>
    <w:sdtContent>
      <w:p w:rsidR="00765B51" w:rsidRDefault="003E06AC">
        <w:pPr>
          <w:pStyle w:val="a3"/>
          <w:jc w:val="center"/>
          <w:rPr>
            <w:rFonts w:asciiTheme="minorHAnsi" w:hAnsiTheme="minorHAnsi" w:cstheme="minorHAnsi"/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>PAGE   \* MERGEFORMAT</w:instrText>
        </w:r>
        <w:r>
          <w:rPr>
            <w:sz w:val="24"/>
            <w:szCs w:val="24"/>
          </w:rPr>
          <w:fldChar w:fldCharType="separate"/>
        </w:r>
        <w:r w:rsidR="003A0469" w:rsidRPr="003A0469">
          <w:rPr>
            <w:noProof/>
            <w:sz w:val="24"/>
            <w:szCs w:val="24"/>
            <w:lang w:val="zh-CN"/>
          </w:rPr>
          <w:t>2</w:t>
        </w:r>
        <w:r>
          <w:rPr>
            <w:sz w:val="24"/>
            <w:szCs w:val="24"/>
          </w:rPr>
          <w:fldChar w:fldCharType="end"/>
        </w:r>
      </w:p>
    </w:sdtContent>
  </w:sdt>
  <w:p w:rsidR="00765B51" w:rsidRDefault="00765B5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</w:rPr>
      <w:id w:val="352233911"/>
    </w:sdtPr>
    <w:sdtEndPr/>
    <w:sdtContent>
      <w:p w:rsidR="00765B51" w:rsidRPr="00ED11A0" w:rsidRDefault="003E06AC" w:rsidP="00ED11A0">
        <w:pPr>
          <w:pStyle w:val="a3"/>
          <w:jc w:val="center"/>
          <w:rPr>
            <w:rFonts w:asciiTheme="minorHAnsi" w:hAnsiTheme="minorHAnsi" w:cstheme="minorHAnsi"/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>PAGE   \* MERGEFORMAT</w:instrText>
        </w:r>
        <w:r>
          <w:rPr>
            <w:sz w:val="24"/>
            <w:szCs w:val="24"/>
          </w:rPr>
          <w:fldChar w:fldCharType="separate"/>
        </w:r>
        <w:r w:rsidR="003A0469" w:rsidRPr="003A0469">
          <w:rPr>
            <w:noProof/>
            <w:sz w:val="24"/>
            <w:szCs w:val="24"/>
            <w:lang w:val="zh-CN"/>
          </w:rPr>
          <w:t>1</w:t>
        </w:r>
        <w:r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F25" w:rsidRDefault="00E34F25">
      <w:r>
        <w:separator/>
      </w:r>
    </w:p>
  </w:footnote>
  <w:footnote w:type="continuationSeparator" w:id="0">
    <w:p w:rsidR="00E34F25" w:rsidRDefault="00E34F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B51" w:rsidRDefault="00765B51">
    <w:pPr>
      <w:pStyle w:val="a4"/>
      <w:pBdr>
        <w:bottom w:val="none" w:sz="0" w:space="1" w:color="auto"/>
      </w:pBdr>
      <w:jc w:val="left"/>
      <w:rPr>
        <w:rFonts w:ascii="Calibri" w:hAnsi="Calibri" w:cs="Calibri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W2MDeztDA0NTMCEko6SsGpxcWZ+XkgBYa1AFRY1eYsAAAA"/>
  </w:docVars>
  <w:rsids>
    <w:rsidRoot w:val="1B2925B4"/>
    <w:rsid w:val="001B5D57"/>
    <w:rsid w:val="00214F2C"/>
    <w:rsid w:val="003A0469"/>
    <w:rsid w:val="003E06AC"/>
    <w:rsid w:val="005009D4"/>
    <w:rsid w:val="00765B51"/>
    <w:rsid w:val="007F2F61"/>
    <w:rsid w:val="0093431E"/>
    <w:rsid w:val="00C2796E"/>
    <w:rsid w:val="00E34F25"/>
    <w:rsid w:val="00ED11A0"/>
    <w:rsid w:val="00F11564"/>
    <w:rsid w:val="1A5034FC"/>
    <w:rsid w:val="1B2925B4"/>
    <w:rsid w:val="2A27112A"/>
    <w:rsid w:val="2D08133A"/>
    <w:rsid w:val="37170F23"/>
    <w:rsid w:val="3AFF6410"/>
    <w:rsid w:val="41AA1D25"/>
    <w:rsid w:val="465825E1"/>
    <w:rsid w:val="494E56CC"/>
    <w:rsid w:val="57AD1F0B"/>
    <w:rsid w:val="5CF66A2F"/>
    <w:rsid w:val="5DB3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E6E55AE-CC0E-4CB9-9A69-BA6F94D3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lin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semiHidden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line number"/>
    <w:basedOn w:val="a0"/>
    <w:qFormat/>
    <w:rPr>
      <w:rFonts w:asciiTheme="minorHAnsi" w:hAnsiTheme="minorHAnsi"/>
      <w:sz w:val="24"/>
    </w:rPr>
  </w:style>
  <w:style w:type="paragraph" w:customStyle="1" w:styleId="body">
    <w:name w:val="body"/>
    <w:basedOn w:val="a"/>
    <w:uiPriority w:val="99"/>
    <w:qFormat/>
    <w:pPr>
      <w:widowControl/>
      <w:autoSpaceDE w:val="0"/>
      <w:autoSpaceDN w:val="0"/>
      <w:adjustRightInd w:val="0"/>
      <w:spacing w:line="210" w:lineRule="atLeast"/>
      <w:ind w:firstLine="160"/>
      <w:textAlignment w:val="center"/>
    </w:pPr>
    <w:rPr>
      <w:rFonts w:ascii="Utopia" w:hAnsi="Utopia" w:cs="Utopia"/>
      <w:color w:val="000000"/>
      <w:kern w:val="0"/>
      <w:sz w:val="18"/>
      <w:szCs w:val="18"/>
      <w:lang w:val="en-US" w:eastAsia="en-US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  <w:lang w:val="en-GB"/>
    </w:rPr>
  </w:style>
  <w:style w:type="character" w:customStyle="1" w:styleId="Char">
    <w:name w:val="页脚 Char"/>
    <w:basedOn w:val="a0"/>
    <w:link w:val="a3"/>
    <w:uiPriority w:val="99"/>
    <w:rPr>
      <w:kern w:val="2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446</Words>
  <Characters>2545</Characters>
  <Application>Microsoft Office Word</Application>
  <DocSecurity>0</DocSecurity>
  <Lines>21</Lines>
  <Paragraphs>5</Paragraphs>
  <ScaleCrop>false</ScaleCrop>
  <Company/>
  <LinksUpToDate>false</LinksUpToDate>
  <CharactersWithSpaces>2986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Pirate</dc:creator>
  <cp:lastModifiedBy>YN</cp:lastModifiedBy>
  <cp:revision>6</cp:revision>
  <dcterms:created xsi:type="dcterms:W3CDTF">2019-03-11T08:19:00Z</dcterms:created>
  <dcterms:modified xsi:type="dcterms:W3CDTF">2020-01-06T09:26:00Z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