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DB059" w14:textId="77777777" w:rsidR="00B16186" w:rsidRPr="000E5BF0" w:rsidRDefault="00B16186" w:rsidP="00B16186">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FIGURES AND TABLES</w:t>
      </w:r>
    </w:p>
    <w:p w14:paraId="59B7F926" w14:textId="2E4AB978" w:rsidR="00BE63DF" w:rsidRPr="000E5BF0" w:rsidRDefault="00BE63DF" w:rsidP="00812BCD">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Table 1</w:t>
      </w:r>
    </w:p>
    <w:p w14:paraId="02AC87AF" w14:textId="48122E4C" w:rsidR="00326D35" w:rsidRPr="000E5BF0" w:rsidRDefault="00F035F2" w:rsidP="00B16186">
      <w:pPr>
        <w:spacing w:line="480" w:lineRule="auto"/>
        <w:jc w:val="both"/>
        <w:rPr>
          <w:rFonts w:asciiTheme="majorBidi" w:hAnsiTheme="majorBidi" w:cstheme="majorBidi"/>
          <w:b/>
          <w:lang w:val="en-US"/>
        </w:rPr>
      </w:pPr>
      <w:r w:rsidRPr="000E5BF0">
        <w:rPr>
          <w:rFonts w:asciiTheme="majorBidi" w:hAnsiTheme="majorBidi" w:cstheme="majorBidi"/>
          <w:b/>
          <w:noProof/>
          <w:lang w:val="en-US" w:eastAsia="zh-CN"/>
        </w:rPr>
        <w:drawing>
          <wp:inline distT="0" distB="0" distL="0" distR="0" wp14:anchorId="73971F0F" wp14:editId="6C31A84B">
            <wp:extent cx="5730240" cy="2042160"/>
            <wp:effectExtent l="0" t="0" r="10160" b="0"/>
            <wp:docPr id="5" name="Picture 5" descr="../../../../../../Desktop/Picture%201.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cture%201.p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2042160"/>
                    </a:xfrm>
                    <a:prstGeom prst="rect">
                      <a:avLst/>
                    </a:prstGeom>
                    <a:noFill/>
                    <a:ln>
                      <a:noFill/>
                    </a:ln>
                  </pic:spPr>
                </pic:pic>
              </a:graphicData>
            </a:graphic>
          </wp:inline>
        </w:drawing>
      </w:r>
    </w:p>
    <w:p w14:paraId="5A333B32" w14:textId="6E4C1360" w:rsidR="00BC4465" w:rsidRPr="000E5BF0" w:rsidRDefault="00AC7AA9" w:rsidP="00ED0DA6">
      <w:pPr>
        <w:spacing w:line="480" w:lineRule="auto"/>
        <w:jc w:val="both"/>
        <w:rPr>
          <w:rFonts w:asciiTheme="majorBidi" w:hAnsiTheme="majorBidi" w:cstheme="majorBidi"/>
          <w:bCs/>
          <w:lang w:val="en-US"/>
        </w:rPr>
      </w:pPr>
      <w:r w:rsidRPr="000E5BF0">
        <w:rPr>
          <w:rFonts w:asciiTheme="majorBidi" w:hAnsiTheme="majorBidi" w:cstheme="majorBidi"/>
          <w:bCs/>
          <w:lang w:val="en-US"/>
        </w:rPr>
        <w:t xml:space="preserve">Abbreviations: PSA – </w:t>
      </w:r>
      <w:r w:rsidR="00ED0DA6" w:rsidRPr="000E5BF0">
        <w:rPr>
          <w:rFonts w:asciiTheme="majorBidi" w:hAnsiTheme="majorBidi" w:cstheme="majorBidi"/>
          <w:bCs/>
          <w:lang w:val="en-US"/>
        </w:rPr>
        <w:t>p</w:t>
      </w:r>
      <w:r w:rsidRPr="000E5BF0">
        <w:rPr>
          <w:rFonts w:asciiTheme="majorBidi" w:hAnsiTheme="majorBidi" w:cstheme="majorBidi"/>
          <w:bCs/>
          <w:lang w:val="en-US"/>
        </w:rPr>
        <w:t xml:space="preserve">rostate specific antigen; TRUS – </w:t>
      </w:r>
      <w:r w:rsidR="00ED0DA6" w:rsidRPr="000E5BF0">
        <w:rPr>
          <w:rFonts w:asciiTheme="majorBidi" w:hAnsiTheme="majorBidi" w:cstheme="majorBidi"/>
          <w:bCs/>
          <w:lang w:val="en-US"/>
        </w:rPr>
        <w:t>transrectal ultrasound guided</w:t>
      </w:r>
      <w:r w:rsidR="0003078A" w:rsidRPr="000E5BF0">
        <w:rPr>
          <w:rFonts w:asciiTheme="majorBidi" w:hAnsiTheme="majorBidi" w:cstheme="majorBidi"/>
          <w:bCs/>
          <w:lang w:val="en-US"/>
        </w:rPr>
        <w:t>; GG</w:t>
      </w:r>
      <w:r w:rsidRPr="000E5BF0">
        <w:rPr>
          <w:rFonts w:asciiTheme="majorBidi" w:hAnsiTheme="majorBidi" w:cstheme="majorBidi"/>
          <w:bCs/>
          <w:lang w:val="en-US"/>
        </w:rPr>
        <w:t xml:space="preserve"> –</w:t>
      </w:r>
      <w:r w:rsidR="00ED0DA6" w:rsidRPr="000E5BF0">
        <w:rPr>
          <w:rFonts w:asciiTheme="majorBidi" w:hAnsiTheme="majorBidi" w:cstheme="majorBidi"/>
          <w:bCs/>
          <w:lang w:val="en-US"/>
        </w:rPr>
        <w:t xml:space="preserve"> g</w:t>
      </w:r>
      <w:r w:rsidR="00D31EED" w:rsidRPr="000E5BF0">
        <w:rPr>
          <w:rFonts w:asciiTheme="majorBidi" w:hAnsiTheme="majorBidi" w:cstheme="majorBidi"/>
          <w:bCs/>
          <w:lang w:val="en-US"/>
        </w:rPr>
        <w:t>leason grade</w:t>
      </w:r>
      <w:r w:rsidRPr="000E5BF0">
        <w:rPr>
          <w:rFonts w:asciiTheme="majorBidi" w:hAnsiTheme="majorBidi" w:cstheme="majorBidi"/>
          <w:bCs/>
          <w:lang w:val="en-US"/>
        </w:rPr>
        <w:t>; LHS –</w:t>
      </w:r>
      <w:r w:rsidR="00ED0DA6" w:rsidRPr="000E5BF0">
        <w:rPr>
          <w:rFonts w:asciiTheme="majorBidi" w:hAnsiTheme="majorBidi" w:cstheme="majorBidi"/>
          <w:bCs/>
          <w:lang w:val="en-US"/>
        </w:rPr>
        <w:t xml:space="preserve"> left-hand side; R</w:t>
      </w:r>
      <w:r w:rsidR="00370124" w:rsidRPr="000E5BF0">
        <w:rPr>
          <w:rFonts w:asciiTheme="majorBidi" w:hAnsiTheme="majorBidi" w:cstheme="majorBidi"/>
          <w:bCs/>
          <w:lang w:val="en-US"/>
        </w:rPr>
        <w:t>HS – r</w:t>
      </w:r>
      <w:r w:rsidR="00ED0DA6" w:rsidRPr="000E5BF0">
        <w:rPr>
          <w:rFonts w:asciiTheme="majorBidi" w:hAnsiTheme="majorBidi" w:cstheme="majorBidi"/>
          <w:bCs/>
          <w:lang w:val="en-US"/>
        </w:rPr>
        <w:t>ight-hand side</w:t>
      </w:r>
    </w:p>
    <w:p w14:paraId="03BA0A70" w14:textId="77777777" w:rsidR="00812BCD" w:rsidRPr="000E5BF0" w:rsidRDefault="00812BCD" w:rsidP="00BC4465">
      <w:pPr>
        <w:spacing w:line="480" w:lineRule="auto"/>
        <w:jc w:val="both"/>
        <w:rPr>
          <w:rFonts w:asciiTheme="majorBidi" w:hAnsiTheme="majorBidi" w:cstheme="majorBidi"/>
          <w:b/>
          <w:lang w:val="en-US"/>
        </w:rPr>
      </w:pPr>
    </w:p>
    <w:p w14:paraId="02A7A142" w14:textId="77777777" w:rsidR="006055FB" w:rsidRPr="000E5BF0" w:rsidRDefault="006055FB" w:rsidP="00812BCD">
      <w:pPr>
        <w:spacing w:line="480" w:lineRule="auto"/>
        <w:jc w:val="both"/>
        <w:rPr>
          <w:rFonts w:asciiTheme="majorBidi" w:hAnsiTheme="majorBidi" w:cstheme="majorBidi"/>
          <w:b/>
          <w:lang w:val="en-US"/>
        </w:rPr>
      </w:pPr>
    </w:p>
    <w:p w14:paraId="73E208B0" w14:textId="77777777" w:rsidR="006055FB" w:rsidRPr="000E5BF0" w:rsidRDefault="006055FB" w:rsidP="00812BCD">
      <w:pPr>
        <w:spacing w:line="480" w:lineRule="auto"/>
        <w:jc w:val="both"/>
        <w:rPr>
          <w:rFonts w:asciiTheme="majorBidi" w:hAnsiTheme="majorBidi" w:cstheme="majorBidi"/>
          <w:b/>
          <w:lang w:val="en-US"/>
        </w:rPr>
      </w:pPr>
    </w:p>
    <w:p w14:paraId="41742C1F" w14:textId="77777777" w:rsidR="006055FB" w:rsidRPr="000E5BF0" w:rsidRDefault="006055FB" w:rsidP="00812BCD">
      <w:pPr>
        <w:spacing w:line="480" w:lineRule="auto"/>
        <w:jc w:val="both"/>
        <w:rPr>
          <w:rFonts w:asciiTheme="majorBidi" w:hAnsiTheme="majorBidi" w:cstheme="majorBidi"/>
          <w:b/>
          <w:lang w:val="en-US"/>
        </w:rPr>
      </w:pPr>
    </w:p>
    <w:p w14:paraId="20CD6620" w14:textId="77777777" w:rsidR="006055FB" w:rsidRPr="000E5BF0" w:rsidRDefault="006055FB" w:rsidP="00812BCD">
      <w:pPr>
        <w:spacing w:line="480" w:lineRule="auto"/>
        <w:jc w:val="both"/>
        <w:rPr>
          <w:rFonts w:asciiTheme="majorBidi" w:hAnsiTheme="majorBidi" w:cstheme="majorBidi"/>
          <w:b/>
          <w:lang w:val="en-US"/>
        </w:rPr>
      </w:pPr>
    </w:p>
    <w:p w14:paraId="02D38A55" w14:textId="77777777" w:rsidR="006055FB" w:rsidRPr="000E5BF0" w:rsidRDefault="006055FB" w:rsidP="00812BCD">
      <w:pPr>
        <w:spacing w:line="480" w:lineRule="auto"/>
        <w:jc w:val="both"/>
        <w:rPr>
          <w:rFonts w:asciiTheme="majorBidi" w:hAnsiTheme="majorBidi" w:cstheme="majorBidi"/>
          <w:b/>
          <w:lang w:val="en-US"/>
        </w:rPr>
      </w:pPr>
    </w:p>
    <w:p w14:paraId="086E94E8" w14:textId="77777777" w:rsidR="006055FB" w:rsidRPr="000E5BF0" w:rsidRDefault="006055FB" w:rsidP="00812BCD">
      <w:pPr>
        <w:spacing w:line="480" w:lineRule="auto"/>
        <w:jc w:val="both"/>
        <w:rPr>
          <w:rFonts w:asciiTheme="majorBidi" w:hAnsiTheme="majorBidi" w:cstheme="majorBidi"/>
          <w:b/>
          <w:lang w:val="en-US"/>
        </w:rPr>
      </w:pPr>
    </w:p>
    <w:p w14:paraId="15533A57" w14:textId="77777777" w:rsidR="006055FB" w:rsidRPr="000E5BF0" w:rsidRDefault="006055FB" w:rsidP="00812BCD">
      <w:pPr>
        <w:spacing w:line="480" w:lineRule="auto"/>
        <w:jc w:val="both"/>
        <w:rPr>
          <w:rFonts w:asciiTheme="majorBidi" w:hAnsiTheme="majorBidi" w:cstheme="majorBidi"/>
          <w:b/>
          <w:lang w:val="en-US"/>
        </w:rPr>
      </w:pPr>
    </w:p>
    <w:p w14:paraId="34F1CC9A" w14:textId="77777777" w:rsidR="006055FB" w:rsidRPr="000E5BF0" w:rsidRDefault="006055FB" w:rsidP="00812BCD">
      <w:pPr>
        <w:spacing w:line="480" w:lineRule="auto"/>
        <w:jc w:val="both"/>
        <w:rPr>
          <w:rFonts w:asciiTheme="majorBidi" w:hAnsiTheme="majorBidi" w:cstheme="majorBidi"/>
          <w:b/>
          <w:lang w:val="en-US"/>
        </w:rPr>
      </w:pPr>
    </w:p>
    <w:p w14:paraId="3B42F298" w14:textId="77777777" w:rsidR="006055FB" w:rsidRPr="000E5BF0" w:rsidRDefault="006055FB" w:rsidP="00812BCD">
      <w:pPr>
        <w:spacing w:line="480" w:lineRule="auto"/>
        <w:jc w:val="both"/>
        <w:rPr>
          <w:rFonts w:asciiTheme="majorBidi" w:hAnsiTheme="majorBidi" w:cstheme="majorBidi"/>
          <w:b/>
          <w:lang w:val="en-US"/>
        </w:rPr>
      </w:pPr>
    </w:p>
    <w:p w14:paraId="12618DB9" w14:textId="77777777" w:rsidR="006055FB" w:rsidRPr="000E5BF0" w:rsidRDefault="006055FB" w:rsidP="00812BCD">
      <w:pPr>
        <w:spacing w:line="480" w:lineRule="auto"/>
        <w:jc w:val="both"/>
        <w:rPr>
          <w:rFonts w:asciiTheme="majorBidi" w:hAnsiTheme="majorBidi" w:cstheme="majorBidi"/>
          <w:b/>
          <w:lang w:val="en-US"/>
        </w:rPr>
      </w:pPr>
    </w:p>
    <w:p w14:paraId="43869B91" w14:textId="77777777" w:rsidR="006055FB" w:rsidRPr="000E5BF0" w:rsidRDefault="006055FB" w:rsidP="00812BCD">
      <w:pPr>
        <w:spacing w:line="480" w:lineRule="auto"/>
        <w:jc w:val="both"/>
        <w:rPr>
          <w:rFonts w:asciiTheme="majorBidi" w:hAnsiTheme="majorBidi" w:cstheme="majorBidi"/>
          <w:b/>
          <w:lang w:val="en-US"/>
        </w:rPr>
      </w:pPr>
    </w:p>
    <w:p w14:paraId="1E0AEDB5" w14:textId="77777777" w:rsidR="006055FB" w:rsidRPr="000E5BF0" w:rsidRDefault="006055FB" w:rsidP="00812BCD">
      <w:pPr>
        <w:spacing w:line="480" w:lineRule="auto"/>
        <w:jc w:val="both"/>
        <w:rPr>
          <w:rFonts w:asciiTheme="majorBidi" w:hAnsiTheme="majorBidi" w:cstheme="majorBidi"/>
          <w:b/>
          <w:lang w:val="en-US"/>
        </w:rPr>
      </w:pPr>
    </w:p>
    <w:p w14:paraId="244DFF0A" w14:textId="77777777" w:rsidR="006055FB" w:rsidRPr="000E5BF0" w:rsidRDefault="006055FB" w:rsidP="00812BCD">
      <w:pPr>
        <w:spacing w:line="480" w:lineRule="auto"/>
        <w:jc w:val="both"/>
        <w:rPr>
          <w:rFonts w:asciiTheme="majorBidi" w:hAnsiTheme="majorBidi" w:cstheme="majorBidi"/>
          <w:b/>
          <w:lang w:val="en-US"/>
        </w:rPr>
      </w:pPr>
    </w:p>
    <w:p w14:paraId="20B493A6" w14:textId="77777777" w:rsidR="006055FB" w:rsidRPr="000E5BF0" w:rsidRDefault="006055FB" w:rsidP="00812BCD">
      <w:pPr>
        <w:spacing w:line="480" w:lineRule="auto"/>
        <w:jc w:val="both"/>
        <w:rPr>
          <w:rFonts w:asciiTheme="majorBidi" w:hAnsiTheme="majorBidi" w:cstheme="majorBidi"/>
          <w:b/>
          <w:lang w:val="en-US"/>
        </w:rPr>
      </w:pPr>
    </w:p>
    <w:p w14:paraId="2FCBC442" w14:textId="589148E3" w:rsidR="00BD789F" w:rsidRPr="000E5BF0" w:rsidRDefault="00BD789F" w:rsidP="00BD789F">
      <w:pPr>
        <w:spacing w:line="480" w:lineRule="auto"/>
        <w:jc w:val="both"/>
        <w:rPr>
          <w:rFonts w:asciiTheme="majorBidi" w:hAnsiTheme="majorBidi" w:cstheme="majorBidi"/>
          <w:b/>
          <w:lang w:val="en-US"/>
        </w:rPr>
      </w:pPr>
      <w:r w:rsidRPr="000E5BF0">
        <w:rPr>
          <w:rFonts w:asciiTheme="majorBidi" w:hAnsiTheme="majorBidi" w:cstheme="majorBidi"/>
          <w:b/>
          <w:noProof/>
          <w:lang w:val="en-US" w:eastAsia="zh-CN"/>
        </w:rPr>
        <w:lastRenderedPageBreak/>
        <w:drawing>
          <wp:anchor distT="0" distB="0" distL="114300" distR="114300" simplePos="0" relativeHeight="251659264" behindDoc="0" locked="0" layoutInCell="1" allowOverlap="1" wp14:anchorId="06C193D1" wp14:editId="684B2967">
            <wp:simplePos x="0" y="0"/>
            <wp:positionH relativeFrom="column">
              <wp:posOffset>-290830</wp:posOffset>
            </wp:positionH>
            <wp:positionV relativeFrom="paragraph">
              <wp:posOffset>455930</wp:posOffset>
            </wp:positionV>
            <wp:extent cx="6566535" cy="6623050"/>
            <wp:effectExtent l="0" t="0" r="12065" b="6350"/>
            <wp:wrapTight wrapText="bothSides">
              <wp:wrapPolygon edited="0">
                <wp:start x="0" y="0"/>
                <wp:lineTo x="0" y="21538"/>
                <wp:lineTo x="21556" y="21538"/>
                <wp:lineTo x="21556" y="0"/>
                <wp:lineTo x="0" y="0"/>
              </wp:wrapPolygon>
            </wp:wrapTight>
            <wp:docPr id="1" name="Picture 1" descr="../../../../../../../Desktop/SuppTable2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uppTable2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6535" cy="662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465" w:rsidRPr="000E5BF0">
        <w:rPr>
          <w:rFonts w:asciiTheme="majorBidi" w:hAnsiTheme="majorBidi" w:cstheme="majorBidi"/>
          <w:b/>
          <w:lang w:val="en-US"/>
        </w:rPr>
        <w:t>Supplemental Table 2</w:t>
      </w:r>
      <w:r w:rsidRPr="000E5BF0">
        <w:rPr>
          <w:rFonts w:asciiTheme="majorBidi" w:hAnsiTheme="majorBidi" w:cstheme="majorBidi"/>
          <w:b/>
          <w:lang w:val="en-US"/>
        </w:rPr>
        <w:t>A</w:t>
      </w:r>
    </w:p>
    <w:p w14:paraId="02A9CD92" w14:textId="2E2B921E" w:rsidR="00BD789F" w:rsidRPr="000E5BF0" w:rsidRDefault="00BD789F" w:rsidP="00AC7AA9">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39B8B69E" w14:textId="2FC4A093" w:rsidR="00BD789F" w:rsidRPr="000E5BF0" w:rsidRDefault="00BD789F" w:rsidP="00427672">
      <w:pPr>
        <w:widowControl w:val="0"/>
        <w:autoSpaceDE w:val="0"/>
        <w:autoSpaceDN w:val="0"/>
        <w:adjustRightInd w:val="0"/>
        <w:spacing w:line="480" w:lineRule="auto"/>
        <w:jc w:val="both"/>
        <w:rPr>
          <w:rFonts w:asciiTheme="majorBidi" w:eastAsiaTheme="minorHAnsi" w:hAnsiTheme="majorBidi" w:cstheme="majorBidi"/>
          <w:color w:val="000000"/>
          <w:lang w:val="en-US"/>
        </w:rPr>
      </w:pPr>
      <w:r w:rsidRPr="000E5BF0">
        <w:rPr>
          <w:rFonts w:asciiTheme="majorBidi" w:eastAsiaTheme="minorHAnsi" w:hAnsiTheme="majorBidi" w:cstheme="majorBidi"/>
          <w:color w:val="000000"/>
          <w:lang w:val="en-US"/>
        </w:rPr>
        <w:t>DMPs without a gene name denote lack of annotation in the EPIC array manifesto</w:t>
      </w:r>
      <w:r w:rsidR="00427672" w:rsidRPr="000E5BF0">
        <w:rPr>
          <w:rFonts w:asciiTheme="majorBidi" w:eastAsiaTheme="minorHAnsi" w:hAnsiTheme="majorBidi" w:cstheme="majorBidi"/>
          <w:color w:val="000000"/>
          <w:lang w:val="en-US"/>
        </w:rPr>
        <w:t>/ intergenic region</w:t>
      </w:r>
      <w:r w:rsidRPr="000E5BF0">
        <w:rPr>
          <w:rFonts w:asciiTheme="majorBidi" w:eastAsiaTheme="minorHAnsi" w:hAnsiTheme="majorBidi" w:cstheme="majorBidi"/>
          <w:color w:val="000000"/>
          <w:lang w:val="en-US"/>
        </w:rPr>
        <w:t xml:space="preserve">. Abbreviations: DMPs – differentially methylated probes; US – urine sediment. </w:t>
      </w:r>
    </w:p>
    <w:p w14:paraId="4CD1361A" w14:textId="77777777" w:rsidR="00812BCD" w:rsidRPr="000E5BF0" w:rsidRDefault="00812BCD" w:rsidP="00B16186">
      <w:pPr>
        <w:spacing w:line="480" w:lineRule="auto"/>
        <w:jc w:val="both"/>
        <w:rPr>
          <w:rFonts w:asciiTheme="majorBidi" w:hAnsiTheme="majorBidi" w:cstheme="majorBidi"/>
          <w:b/>
          <w:lang w:val="en-US"/>
        </w:rPr>
      </w:pPr>
    </w:p>
    <w:p w14:paraId="3D10DAD9" w14:textId="77777777" w:rsidR="00812BCD" w:rsidRPr="000E5BF0" w:rsidRDefault="00812BCD" w:rsidP="00B16186">
      <w:pPr>
        <w:spacing w:line="480" w:lineRule="auto"/>
        <w:jc w:val="both"/>
        <w:rPr>
          <w:rFonts w:asciiTheme="majorBidi" w:hAnsiTheme="majorBidi" w:cstheme="majorBidi"/>
          <w:b/>
          <w:lang w:val="en-US"/>
        </w:rPr>
      </w:pPr>
    </w:p>
    <w:p w14:paraId="26803680" w14:textId="77777777" w:rsidR="00BD789F" w:rsidRPr="000E5BF0" w:rsidRDefault="00BD789F" w:rsidP="00B16186">
      <w:pPr>
        <w:spacing w:line="480" w:lineRule="auto"/>
        <w:jc w:val="both"/>
        <w:rPr>
          <w:rFonts w:asciiTheme="majorBidi" w:hAnsiTheme="majorBidi" w:cstheme="majorBidi"/>
          <w:b/>
          <w:lang w:val="en-US"/>
        </w:rPr>
      </w:pPr>
    </w:p>
    <w:p w14:paraId="4D3A6116" w14:textId="31134742" w:rsidR="00BD789F" w:rsidRPr="000E5BF0" w:rsidRDefault="00BD789F" w:rsidP="00BD789F">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Table 2B</w:t>
      </w:r>
    </w:p>
    <w:p w14:paraId="53AB78C9" w14:textId="6C080A43" w:rsidR="00BD789F" w:rsidRPr="000E5BF0" w:rsidRDefault="00BD789F" w:rsidP="00B16186">
      <w:pPr>
        <w:spacing w:line="480" w:lineRule="auto"/>
        <w:jc w:val="both"/>
        <w:rPr>
          <w:rFonts w:asciiTheme="majorBidi" w:hAnsiTheme="majorBidi" w:cstheme="majorBidi"/>
          <w:b/>
          <w:lang w:val="en-US"/>
        </w:rPr>
      </w:pPr>
      <w:r w:rsidRPr="000E5BF0">
        <w:rPr>
          <w:rFonts w:asciiTheme="majorBidi" w:hAnsiTheme="majorBidi" w:cstheme="majorBidi"/>
          <w:b/>
          <w:noProof/>
          <w:lang w:val="en-US" w:eastAsia="zh-CN"/>
        </w:rPr>
        <w:drawing>
          <wp:inline distT="0" distB="0" distL="0" distR="0" wp14:anchorId="6993DCCC" wp14:editId="42B67089">
            <wp:extent cx="5730240" cy="4693920"/>
            <wp:effectExtent l="0" t="0" r="10160" b="5080"/>
            <wp:docPr id="2" name="Picture 2" descr="../../../../../../../Desktop/SuppTable2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uppTable2B.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4693920"/>
                    </a:xfrm>
                    <a:prstGeom prst="rect">
                      <a:avLst/>
                    </a:prstGeom>
                    <a:noFill/>
                    <a:ln>
                      <a:noFill/>
                    </a:ln>
                  </pic:spPr>
                </pic:pic>
              </a:graphicData>
            </a:graphic>
          </wp:inline>
        </w:drawing>
      </w:r>
    </w:p>
    <w:p w14:paraId="74459128" w14:textId="77777777" w:rsidR="00BD789F" w:rsidRPr="000E5BF0" w:rsidRDefault="00BD789F" w:rsidP="00B16186">
      <w:pPr>
        <w:spacing w:line="480" w:lineRule="auto"/>
        <w:jc w:val="both"/>
        <w:rPr>
          <w:rFonts w:asciiTheme="majorBidi" w:hAnsiTheme="majorBidi" w:cstheme="majorBidi"/>
          <w:b/>
          <w:lang w:val="en-US"/>
        </w:rPr>
      </w:pPr>
    </w:p>
    <w:p w14:paraId="5A770D1C" w14:textId="61908173" w:rsidR="00BD789F" w:rsidRPr="000E5BF0" w:rsidRDefault="00BD789F" w:rsidP="00BD789F">
      <w:pPr>
        <w:widowControl w:val="0"/>
        <w:autoSpaceDE w:val="0"/>
        <w:autoSpaceDN w:val="0"/>
        <w:adjustRightInd w:val="0"/>
        <w:spacing w:line="480" w:lineRule="auto"/>
        <w:jc w:val="both"/>
        <w:rPr>
          <w:rFonts w:asciiTheme="majorBidi" w:eastAsiaTheme="minorHAnsi" w:hAnsiTheme="majorBidi" w:cstheme="majorBidi"/>
          <w:color w:val="000000"/>
          <w:lang w:val="en-US"/>
        </w:rPr>
      </w:pPr>
      <w:r w:rsidRPr="000E5BF0">
        <w:rPr>
          <w:rFonts w:asciiTheme="majorBidi" w:eastAsiaTheme="minorHAnsi" w:hAnsiTheme="majorBidi" w:cstheme="majorBidi"/>
          <w:color w:val="000000"/>
          <w:lang w:val="en-US"/>
        </w:rPr>
        <w:t>DMPs without a gene name denote lack of annotation in the EPIC array manifesto</w:t>
      </w:r>
      <w:r w:rsidR="00427672" w:rsidRPr="000E5BF0">
        <w:rPr>
          <w:rFonts w:asciiTheme="majorBidi" w:eastAsiaTheme="minorHAnsi" w:hAnsiTheme="majorBidi" w:cstheme="majorBidi"/>
          <w:color w:val="000000"/>
          <w:lang w:val="en-US"/>
        </w:rPr>
        <w:t>/intergenic region</w:t>
      </w:r>
      <w:r w:rsidRPr="000E5BF0">
        <w:rPr>
          <w:rFonts w:asciiTheme="majorBidi" w:eastAsiaTheme="minorHAnsi" w:hAnsiTheme="majorBidi" w:cstheme="majorBidi"/>
          <w:color w:val="000000"/>
          <w:lang w:val="en-US"/>
        </w:rPr>
        <w:t xml:space="preserve">. Abbreviations: DMPs – differentially methylated probes; US – urine sediment. </w:t>
      </w:r>
    </w:p>
    <w:p w14:paraId="11DE4CB6" w14:textId="77777777" w:rsidR="00BD789F" w:rsidRPr="000E5BF0" w:rsidRDefault="00BD789F" w:rsidP="00B16186">
      <w:pPr>
        <w:spacing w:line="480" w:lineRule="auto"/>
        <w:jc w:val="both"/>
        <w:rPr>
          <w:rFonts w:asciiTheme="majorBidi" w:hAnsiTheme="majorBidi" w:cstheme="majorBidi"/>
          <w:b/>
          <w:lang w:val="en-US"/>
        </w:rPr>
      </w:pPr>
    </w:p>
    <w:p w14:paraId="18319D17" w14:textId="77777777" w:rsidR="00BD789F" w:rsidRPr="000E5BF0" w:rsidRDefault="00BD789F" w:rsidP="00B16186">
      <w:pPr>
        <w:spacing w:line="480" w:lineRule="auto"/>
        <w:jc w:val="both"/>
        <w:rPr>
          <w:rFonts w:asciiTheme="majorBidi" w:hAnsiTheme="majorBidi" w:cstheme="majorBidi"/>
          <w:b/>
          <w:lang w:val="en-US"/>
        </w:rPr>
      </w:pPr>
    </w:p>
    <w:p w14:paraId="42642CF5" w14:textId="77777777" w:rsidR="00BD789F" w:rsidRPr="000E5BF0" w:rsidRDefault="00BD789F" w:rsidP="00B16186">
      <w:pPr>
        <w:spacing w:line="480" w:lineRule="auto"/>
        <w:jc w:val="both"/>
        <w:rPr>
          <w:rFonts w:asciiTheme="majorBidi" w:hAnsiTheme="majorBidi" w:cstheme="majorBidi"/>
          <w:b/>
          <w:lang w:val="en-US"/>
        </w:rPr>
      </w:pPr>
    </w:p>
    <w:p w14:paraId="181D9649" w14:textId="77777777" w:rsidR="00BD789F" w:rsidRPr="000E5BF0" w:rsidRDefault="00BD789F" w:rsidP="00B16186">
      <w:pPr>
        <w:spacing w:line="480" w:lineRule="auto"/>
        <w:jc w:val="both"/>
        <w:rPr>
          <w:rFonts w:asciiTheme="majorBidi" w:hAnsiTheme="majorBidi" w:cstheme="majorBidi"/>
          <w:b/>
          <w:lang w:val="en-US"/>
        </w:rPr>
      </w:pPr>
    </w:p>
    <w:p w14:paraId="11155951" w14:textId="235F308F" w:rsidR="00812BCD" w:rsidRPr="000E5BF0" w:rsidRDefault="00812BCD" w:rsidP="00B16186">
      <w:pPr>
        <w:spacing w:line="480" w:lineRule="auto"/>
        <w:jc w:val="both"/>
        <w:rPr>
          <w:rFonts w:asciiTheme="majorBidi" w:hAnsiTheme="majorBidi" w:cstheme="majorBidi"/>
          <w:b/>
          <w:lang w:val="en-US"/>
        </w:rPr>
      </w:pPr>
      <w:r w:rsidRPr="000E5BF0">
        <w:rPr>
          <w:rFonts w:asciiTheme="majorBidi" w:hAnsiTheme="majorBidi" w:cstheme="majorBidi"/>
          <w:b/>
          <w:noProof/>
          <w:lang w:val="en-US" w:eastAsia="zh-CN"/>
        </w:rPr>
        <w:lastRenderedPageBreak/>
        <w:drawing>
          <wp:inline distT="0" distB="0" distL="0" distR="0" wp14:anchorId="15D693E7" wp14:editId="63F4B000">
            <wp:extent cx="5729605" cy="4109085"/>
            <wp:effectExtent l="0" t="0" r="10795" b="5715"/>
            <wp:docPr id="6" name="Picture 6" descr="../../../Figures/Figures%20EPIC/Sup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ures%20EPIC/SupFig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4109085"/>
                    </a:xfrm>
                    <a:prstGeom prst="rect">
                      <a:avLst/>
                    </a:prstGeom>
                    <a:noFill/>
                    <a:ln>
                      <a:noFill/>
                    </a:ln>
                  </pic:spPr>
                </pic:pic>
              </a:graphicData>
            </a:graphic>
          </wp:inline>
        </w:drawing>
      </w:r>
    </w:p>
    <w:p w14:paraId="7CD77B47" w14:textId="77777777" w:rsidR="00812BCD" w:rsidRPr="000E5BF0" w:rsidRDefault="00812BCD" w:rsidP="00B16186">
      <w:pPr>
        <w:spacing w:line="480" w:lineRule="auto"/>
        <w:jc w:val="both"/>
        <w:rPr>
          <w:rFonts w:asciiTheme="majorBidi" w:hAnsiTheme="majorBidi" w:cstheme="majorBidi"/>
          <w:b/>
          <w:lang w:val="en-US"/>
        </w:rPr>
      </w:pPr>
    </w:p>
    <w:p w14:paraId="6B3D90FC" w14:textId="0D76DD2F" w:rsidR="00812BCD" w:rsidRPr="000E5BF0" w:rsidRDefault="00812BCD" w:rsidP="00812BCD">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Figure 1</w:t>
      </w:r>
    </w:p>
    <w:p w14:paraId="33F008D0" w14:textId="3F03ACA2" w:rsidR="00812BCD" w:rsidRPr="000E5BF0" w:rsidRDefault="00812BCD" w:rsidP="001134E7">
      <w:pPr>
        <w:widowControl w:val="0"/>
        <w:autoSpaceDE w:val="0"/>
        <w:autoSpaceDN w:val="0"/>
        <w:adjustRightInd w:val="0"/>
        <w:spacing w:line="480" w:lineRule="auto"/>
        <w:jc w:val="both"/>
        <w:rPr>
          <w:rFonts w:asciiTheme="majorBidi" w:hAnsiTheme="majorBidi" w:cstheme="majorBidi"/>
          <w:color w:val="000000"/>
          <w:lang w:val="en-US"/>
        </w:rPr>
      </w:pPr>
      <w:r w:rsidRPr="000E5BF0">
        <w:rPr>
          <w:rFonts w:asciiTheme="majorBidi" w:hAnsiTheme="majorBidi" w:cstheme="majorBidi"/>
          <w:b/>
          <w:bCs/>
          <w:color w:val="000000"/>
          <w:lang w:val="en-US"/>
        </w:rPr>
        <w:t>Quality control of study cohort. A,</w:t>
      </w:r>
      <w:r w:rsidRPr="000E5BF0">
        <w:rPr>
          <w:rFonts w:asciiTheme="majorBidi" w:hAnsiTheme="majorBidi" w:cstheme="majorBidi"/>
          <w:color w:val="000000"/>
          <w:lang w:val="en-US"/>
        </w:rPr>
        <w:t xml:space="preserve"> Total DNA yields from tissue and liquid biopsies ranged from 10.6 ng (subject 1 MN biopsy DNA) to 1,615 ng (subject 4, tumor DNA) and are shown on a logarithmic scale. </w:t>
      </w:r>
      <w:r w:rsidRPr="000E5BF0">
        <w:rPr>
          <w:rFonts w:asciiTheme="majorBidi" w:hAnsiTheme="majorBidi" w:cstheme="majorBidi"/>
          <w:b/>
          <w:bCs/>
          <w:color w:val="000000"/>
          <w:lang w:val="en-US"/>
        </w:rPr>
        <w:t>B,</w:t>
      </w:r>
      <w:r w:rsidRPr="000E5BF0">
        <w:rPr>
          <w:rFonts w:asciiTheme="majorBidi" w:hAnsiTheme="majorBidi" w:cstheme="majorBidi"/>
          <w:color w:val="000000"/>
          <w:lang w:val="en-US"/>
        </w:rPr>
        <w:t xml:space="preserve"> DNA samples were subjected to quality control by absolute quantification using quantitative real-time PCR (HB-313) and again following bisulfite conversion (HB-365). Dashed lines indicate mean values across the cohort for each of the two qPCR reactions, respectively</w:t>
      </w:r>
      <w:r w:rsidR="001134E7" w:rsidRPr="000E5BF0">
        <w:rPr>
          <w:rFonts w:asciiTheme="majorBidi" w:hAnsiTheme="majorBidi" w:cstheme="majorBidi"/>
          <w:color w:val="000000"/>
          <w:lang w:val="en-US"/>
        </w:rPr>
        <w:t xml:space="preserve">. </w:t>
      </w:r>
      <w:r w:rsidRPr="000E5BF0">
        <w:rPr>
          <w:rFonts w:asciiTheme="majorBidi" w:hAnsiTheme="majorBidi" w:cstheme="majorBidi"/>
          <w:b/>
          <w:bCs/>
          <w:color w:val="000000"/>
          <w:lang w:val="en-US"/>
        </w:rPr>
        <w:t xml:space="preserve">C, </w:t>
      </w:r>
      <w:r w:rsidRPr="000E5BF0">
        <w:rPr>
          <w:rFonts w:asciiTheme="majorBidi" w:hAnsiTheme="majorBidi" w:cstheme="majorBidi"/>
          <w:color w:val="000000"/>
          <w:lang w:val="en-US"/>
        </w:rPr>
        <w:t>Principal component analysis graph of the four subjects reveals greatest variation within cohort stems from whether samples are prostate or non-prostate, followed by whether samples are tumor or non-tumor.</w:t>
      </w:r>
      <w:r w:rsidR="001134E7" w:rsidRPr="000E5BF0">
        <w:rPr>
          <w:rFonts w:asciiTheme="majorBidi" w:hAnsiTheme="majorBidi" w:cstheme="majorBidi"/>
          <w:color w:val="000000"/>
          <w:lang w:val="en-US"/>
        </w:rPr>
        <w:t xml:space="preserve"> Abbreviations: MN: matched normal, US: urine sediment.</w:t>
      </w:r>
    </w:p>
    <w:p w14:paraId="71A13FBC" w14:textId="77777777" w:rsidR="00812BCD" w:rsidRPr="000E5BF0" w:rsidRDefault="00812BCD" w:rsidP="00B16186">
      <w:pPr>
        <w:spacing w:line="480" w:lineRule="auto"/>
        <w:jc w:val="both"/>
        <w:rPr>
          <w:rFonts w:asciiTheme="majorBidi" w:hAnsiTheme="majorBidi" w:cstheme="majorBidi"/>
          <w:b/>
          <w:lang w:val="en-US"/>
        </w:rPr>
      </w:pPr>
    </w:p>
    <w:p w14:paraId="5C50CE5F" w14:textId="77777777" w:rsidR="006735DF" w:rsidRPr="000E5BF0" w:rsidRDefault="006735DF" w:rsidP="00B16186">
      <w:pPr>
        <w:spacing w:line="480" w:lineRule="auto"/>
        <w:jc w:val="both"/>
        <w:rPr>
          <w:rFonts w:asciiTheme="majorBidi" w:hAnsiTheme="majorBidi" w:cstheme="majorBidi"/>
          <w:b/>
          <w:lang w:val="en-US"/>
        </w:rPr>
      </w:pPr>
    </w:p>
    <w:p w14:paraId="5B0C5313" w14:textId="241008E7" w:rsidR="00326D35" w:rsidRPr="000E5BF0" w:rsidRDefault="00326D35" w:rsidP="00812BCD">
      <w:pPr>
        <w:spacing w:line="480" w:lineRule="auto"/>
        <w:jc w:val="both"/>
        <w:rPr>
          <w:rFonts w:asciiTheme="majorBidi" w:hAnsiTheme="majorBidi" w:cstheme="majorBidi"/>
          <w:b/>
          <w:lang w:val="en-US"/>
        </w:rPr>
      </w:pPr>
      <w:r w:rsidRPr="000E5BF0">
        <w:rPr>
          <w:rFonts w:asciiTheme="majorBidi" w:hAnsiTheme="majorBidi" w:cstheme="majorBidi"/>
          <w:b/>
          <w:noProof/>
          <w:lang w:val="en-US" w:eastAsia="zh-CN"/>
        </w:rPr>
        <w:lastRenderedPageBreak/>
        <w:drawing>
          <wp:inline distT="0" distB="0" distL="0" distR="0" wp14:anchorId="4B59305D" wp14:editId="7E762C47">
            <wp:extent cx="5729605" cy="4363720"/>
            <wp:effectExtent l="0" t="0" r="10795" b="5080"/>
            <wp:docPr id="3" name="Picture 3" descr="../../Figures/Figures%20EPIC/Supp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ures%20EPIC/SuppFig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605" cy="4363720"/>
                    </a:xfrm>
                    <a:prstGeom prst="rect">
                      <a:avLst/>
                    </a:prstGeom>
                    <a:noFill/>
                    <a:ln>
                      <a:noFill/>
                    </a:ln>
                  </pic:spPr>
                </pic:pic>
              </a:graphicData>
            </a:graphic>
          </wp:inline>
        </w:drawing>
      </w:r>
    </w:p>
    <w:p w14:paraId="15EE92A4" w14:textId="3B2FA500" w:rsidR="00B16186" w:rsidRPr="000E5BF0" w:rsidRDefault="00812BCD" w:rsidP="00B16186">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Figure 2</w:t>
      </w:r>
    </w:p>
    <w:p w14:paraId="7C7C60B6" w14:textId="77777777" w:rsidR="00B16186" w:rsidRPr="000E5BF0" w:rsidRDefault="00B16186" w:rsidP="00B16186">
      <w:pPr>
        <w:spacing w:line="480" w:lineRule="auto"/>
        <w:jc w:val="both"/>
        <w:rPr>
          <w:rFonts w:asciiTheme="majorBidi" w:hAnsiTheme="majorBidi" w:cstheme="majorBidi"/>
          <w:b/>
          <w:lang w:val="en-US"/>
        </w:rPr>
      </w:pPr>
      <w:r w:rsidRPr="000E5BF0">
        <w:rPr>
          <w:rFonts w:asciiTheme="majorBidi" w:hAnsiTheme="majorBidi" w:cstheme="majorBidi"/>
          <w:b/>
          <w:lang w:val="en-US"/>
        </w:rPr>
        <w:t xml:space="preserve">Description of study cohort. </w:t>
      </w:r>
      <w:r w:rsidRPr="000E5BF0">
        <w:rPr>
          <w:rFonts w:asciiTheme="majorBidi" w:hAnsiTheme="majorBidi" w:cstheme="majorBidi"/>
          <w:lang w:val="en-US"/>
        </w:rPr>
        <w:t>Study cohort of four men who presented with treatment-naïve metastatic prostate cancer. Peripheral blood and urine sediment were collected at time 0 months for DNA methylation analyses. Patients were followed-up to track their biochemical (PSA) responses to therapy.  GnRH agonists (goserelin, triptorelin) and analogues (leuprolin) are shown in orange. AR antagonists (bicalutamide) are shown in blue. Radiotherapy is shown in yellow.</w:t>
      </w:r>
    </w:p>
    <w:p w14:paraId="4A971CBA" w14:textId="77777777" w:rsidR="00B16186" w:rsidRPr="000E5BF0" w:rsidRDefault="00B16186" w:rsidP="00B16186">
      <w:pPr>
        <w:spacing w:line="480" w:lineRule="auto"/>
        <w:jc w:val="both"/>
        <w:rPr>
          <w:rFonts w:asciiTheme="majorBidi" w:hAnsiTheme="majorBidi" w:cstheme="majorBidi"/>
          <w:b/>
          <w:lang w:val="en-US"/>
        </w:rPr>
      </w:pPr>
    </w:p>
    <w:p w14:paraId="4F180FCC" w14:textId="77777777" w:rsidR="00326D35" w:rsidRPr="000E5BF0" w:rsidRDefault="00326D35" w:rsidP="00B16186">
      <w:pPr>
        <w:spacing w:line="480" w:lineRule="auto"/>
        <w:jc w:val="both"/>
        <w:rPr>
          <w:rFonts w:asciiTheme="majorBidi" w:hAnsiTheme="majorBidi" w:cstheme="majorBidi"/>
          <w:b/>
          <w:lang w:val="en-US"/>
        </w:rPr>
      </w:pPr>
    </w:p>
    <w:p w14:paraId="3C2DB263" w14:textId="77777777" w:rsidR="00355A6F" w:rsidRPr="000E5BF0" w:rsidRDefault="00355A6F" w:rsidP="00B16186">
      <w:pPr>
        <w:spacing w:line="480" w:lineRule="auto"/>
        <w:jc w:val="both"/>
        <w:rPr>
          <w:rFonts w:asciiTheme="majorBidi" w:hAnsiTheme="majorBidi" w:cstheme="majorBidi"/>
          <w:b/>
          <w:lang w:val="en-US"/>
        </w:rPr>
      </w:pPr>
    </w:p>
    <w:p w14:paraId="0F3AA713" w14:textId="77777777" w:rsidR="00355A6F" w:rsidRPr="000E5BF0" w:rsidRDefault="00355A6F" w:rsidP="00326D35">
      <w:pPr>
        <w:spacing w:line="480" w:lineRule="auto"/>
        <w:jc w:val="both"/>
        <w:rPr>
          <w:rFonts w:asciiTheme="majorBidi" w:hAnsiTheme="majorBidi" w:cstheme="majorBidi"/>
          <w:b/>
          <w:lang w:val="en-US"/>
        </w:rPr>
      </w:pPr>
    </w:p>
    <w:p w14:paraId="2B0E84A6" w14:textId="5B80C970" w:rsidR="000B627F" w:rsidRPr="000E5BF0" w:rsidRDefault="00812BCD" w:rsidP="00812BCD">
      <w:pPr>
        <w:widowControl w:val="0"/>
        <w:autoSpaceDE w:val="0"/>
        <w:autoSpaceDN w:val="0"/>
        <w:adjustRightInd w:val="0"/>
        <w:spacing w:line="480" w:lineRule="auto"/>
        <w:jc w:val="both"/>
        <w:rPr>
          <w:rFonts w:asciiTheme="majorBidi" w:hAnsiTheme="majorBidi" w:cstheme="majorBidi"/>
          <w:color w:val="000000"/>
          <w:lang w:val="en-US"/>
        </w:rPr>
      </w:pPr>
      <w:r w:rsidRPr="000E5BF0">
        <w:rPr>
          <w:rFonts w:asciiTheme="majorBidi" w:hAnsiTheme="majorBidi" w:cstheme="majorBidi"/>
          <w:noProof/>
          <w:color w:val="000000"/>
          <w:lang w:val="en-US" w:eastAsia="zh-CN"/>
        </w:rPr>
        <w:lastRenderedPageBreak/>
        <w:drawing>
          <wp:inline distT="0" distB="0" distL="0" distR="0" wp14:anchorId="20F82D02" wp14:editId="35B11D15">
            <wp:extent cx="5737860" cy="2743200"/>
            <wp:effectExtent l="0" t="0" r="2540" b="0"/>
            <wp:docPr id="10" name="Picture 10" descr="Figures/Supp%20Figures/SuppFig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Supp%20Figures/SuppFig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2743200"/>
                    </a:xfrm>
                    <a:prstGeom prst="rect">
                      <a:avLst/>
                    </a:prstGeom>
                    <a:noFill/>
                    <a:ln>
                      <a:noFill/>
                    </a:ln>
                  </pic:spPr>
                </pic:pic>
              </a:graphicData>
            </a:graphic>
          </wp:inline>
        </w:drawing>
      </w:r>
    </w:p>
    <w:p w14:paraId="76BCC425" w14:textId="77777777" w:rsidR="00812BCD" w:rsidRPr="000E5BF0" w:rsidRDefault="00812BCD" w:rsidP="00812BCD">
      <w:pPr>
        <w:widowControl w:val="0"/>
        <w:autoSpaceDE w:val="0"/>
        <w:autoSpaceDN w:val="0"/>
        <w:adjustRightInd w:val="0"/>
        <w:spacing w:line="480" w:lineRule="auto"/>
        <w:jc w:val="both"/>
        <w:rPr>
          <w:rFonts w:asciiTheme="majorBidi" w:hAnsiTheme="majorBidi" w:cstheme="majorBidi"/>
          <w:color w:val="000000"/>
          <w:lang w:val="en-US"/>
        </w:rPr>
      </w:pPr>
    </w:p>
    <w:p w14:paraId="3A30671B" w14:textId="67F2FC70" w:rsidR="000B627F" w:rsidRPr="000E5BF0" w:rsidRDefault="000B627F" w:rsidP="000B627F">
      <w:pPr>
        <w:spacing w:line="480" w:lineRule="auto"/>
        <w:jc w:val="both"/>
        <w:rPr>
          <w:rFonts w:asciiTheme="majorBidi" w:hAnsiTheme="majorBidi" w:cstheme="majorBidi"/>
          <w:b/>
          <w:color w:val="000000" w:themeColor="text1"/>
          <w:lang w:val="en-US"/>
        </w:rPr>
      </w:pPr>
      <w:r w:rsidRPr="000E5BF0">
        <w:rPr>
          <w:rFonts w:asciiTheme="majorBidi" w:hAnsiTheme="majorBidi" w:cstheme="majorBidi"/>
          <w:b/>
          <w:color w:val="000000" w:themeColor="text1"/>
          <w:lang w:val="en-US"/>
        </w:rPr>
        <w:t>Supplemental Figure 3</w:t>
      </w:r>
    </w:p>
    <w:p w14:paraId="056DC31B" w14:textId="0F3E5FAC" w:rsidR="00812BCD" w:rsidRPr="000E5BF0" w:rsidRDefault="00812BCD" w:rsidP="00812BCD">
      <w:pPr>
        <w:widowControl w:val="0"/>
        <w:autoSpaceDE w:val="0"/>
        <w:autoSpaceDN w:val="0"/>
        <w:adjustRightInd w:val="0"/>
        <w:spacing w:line="480" w:lineRule="auto"/>
        <w:jc w:val="both"/>
        <w:rPr>
          <w:rFonts w:asciiTheme="majorBidi" w:eastAsiaTheme="minorHAnsi" w:hAnsiTheme="majorBidi" w:cstheme="majorBidi"/>
          <w:color w:val="000000" w:themeColor="text1"/>
          <w:lang w:val="en-US"/>
        </w:rPr>
      </w:pPr>
      <w:r w:rsidRPr="000E5BF0">
        <w:rPr>
          <w:rFonts w:asciiTheme="majorBidi" w:eastAsiaTheme="minorHAnsi" w:hAnsiTheme="majorBidi" w:cstheme="majorBidi"/>
          <w:b/>
          <w:bCs/>
          <w:color w:val="000000" w:themeColor="text1"/>
          <w:lang w:val="en-US"/>
        </w:rPr>
        <w:t xml:space="preserve">Manhattan plot of </w:t>
      </w:r>
      <w:r w:rsidR="00BC5C68" w:rsidRPr="000E5BF0">
        <w:rPr>
          <w:rFonts w:asciiTheme="majorBidi" w:eastAsiaTheme="minorHAnsi" w:hAnsiTheme="majorBidi" w:cstheme="majorBidi"/>
          <w:b/>
          <w:bCs/>
          <w:color w:val="000000" w:themeColor="text1"/>
          <w:lang w:val="en-US"/>
        </w:rPr>
        <w:t xml:space="preserve">PCa </w:t>
      </w:r>
      <w:r w:rsidRPr="000E5BF0">
        <w:rPr>
          <w:rFonts w:asciiTheme="majorBidi" w:eastAsiaTheme="minorHAnsi" w:hAnsiTheme="majorBidi" w:cstheme="majorBidi"/>
          <w:b/>
          <w:bCs/>
          <w:color w:val="000000" w:themeColor="text1"/>
          <w:lang w:val="en-US"/>
        </w:rPr>
        <w:t>DMP</w:t>
      </w:r>
      <w:r w:rsidR="00BC5C68" w:rsidRPr="000E5BF0">
        <w:rPr>
          <w:rFonts w:asciiTheme="majorBidi" w:eastAsiaTheme="minorHAnsi" w:hAnsiTheme="majorBidi" w:cstheme="majorBidi"/>
          <w:b/>
          <w:bCs/>
          <w:color w:val="000000" w:themeColor="text1"/>
          <w:lang w:val="en-US"/>
        </w:rPr>
        <w:t>s</w:t>
      </w:r>
      <w:r w:rsidRPr="000E5BF0">
        <w:rPr>
          <w:rFonts w:asciiTheme="majorBidi" w:eastAsiaTheme="minorHAnsi" w:hAnsiTheme="majorBidi" w:cstheme="majorBidi"/>
          <w:color w:val="000000" w:themeColor="text1"/>
          <w:lang w:val="en-US"/>
        </w:rPr>
        <w:t xml:space="preserve">. </w:t>
      </w:r>
      <w:r w:rsidR="00BC5C68" w:rsidRPr="000E5BF0">
        <w:rPr>
          <w:rFonts w:asciiTheme="majorBidi" w:eastAsiaTheme="minorHAnsi" w:hAnsiTheme="majorBidi" w:cstheme="majorBidi"/>
          <w:color w:val="000000" w:themeColor="text1"/>
          <w:lang w:val="en-US"/>
        </w:rPr>
        <w:t>Differentially methylated probes (DMPs) between tumor and MN</w:t>
      </w:r>
      <w:r w:rsidRPr="000E5BF0">
        <w:rPr>
          <w:rFonts w:asciiTheme="majorBidi" w:eastAsiaTheme="minorHAnsi" w:hAnsiTheme="majorBidi" w:cstheme="majorBidi"/>
          <w:color w:val="000000" w:themeColor="text1"/>
          <w:lang w:val="en-US"/>
        </w:rPr>
        <w:t>, were obtained using EPIC array methylation values. Results are plotted as negative log</w:t>
      </w:r>
      <w:r w:rsidRPr="000E5BF0">
        <w:rPr>
          <w:rFonts w:asciiTheme="majorBidi" w:eastAsiaTheme="minorHAnsi" w:hAnsiTheme="majorBidi" w:cstheme="majorBidi"/>
          <w:color w:val="000000" w:themeColor="text1"/>
          <w:vertAlign w:val="subscript"/>
          <w:lang w:val="en-US"/>
        </w:rPr>
        <w:t>10</w:t>
      </w:r>
      <w:r w:rsidRPr="000E5BF0">
        <w:rPr>
          <w:rFonts w:asciiTheme="majorBidi" w:eastAsiaTheme="minorHAnsi" w:hAnsiTheme="majorBidi" w:cstheme="majorBidi"/>
          <w:color w:val="000000" w:themeColor="text1"/>
          <w:lang w:val="en-US"/>
        </w:rPr>
        <w:t xml:space="preserve"> transformed </w:t>
      </w:r>
      <w:r w:rsidRPr="000E5BF0">
        <w:rPr>
          <w:rFonts w:asciiTheme="majorBidi" w:eastAsiaTheme="minorHAnsi" w:hAnsiTheme="majorBidi" w:cstheme="majorBidi"/>
          <w:i/>
          <w:iCs/>
          <w:color w:val="000000" w:themeColor="text1"/>
          <w:lang w:val="en-US"/>
        </w:rPr>
        <w:t>P</w:t>
      </w:r>
      <w:r w:rsidRPr="000E5BF0">
        <w:rPr>
          <w:rFonts w:asciiTheme="majorBidi" w:eastAsiaTheme="minorHAnsi" w:hAnsiTheme="majorBidi" w:cstheme="majorBidi"/>
          <w:color w:val="000000" w:themeColor="text1"/>
          <w:lang w:val="en-US"/>
        </w:rPr>
        <w:t xml:space="preserve">-values. Odd chromosomes are in grey and even chromosomes in blue. A total of 32,452 DMPs exceed the </w:t>
      </w:r>
      <w:r w:rsidR="00BC5C68" w:rsidRPr="000E5BF0">
        <w:rPr>
          <w:rFonts w:asciiTheme="majorBidi" w:eastAsiaTheme="minorHAnsi" w:hAnsiTheme="majorBidi" w:cstheme="majorBidi"/>
          <w:color w:val="000000" w:themeColor="text1"/>
          <w:lang w:val="en-US"/>
        </w:rPr>
        <w:t>significance</w:t>
      </w:r>
      <w:r w:rsidRPr="000E5BF0">
        <w:rPr>
          <w:rFonts w:asciiTheme="majorBidi" w:eastAsiaTheme="minorHAnsi" w:hAnsiTheme="majorBidi" w:cstheme="majorBidi"/>
          <w:color w:val="000000" w:themeColor="text1"/>
          <w:lang w:val="en-US"/>
        </w:rPr>
        <w:t xml:space="preserve"> threshold of 0.05 (red line).</w:t>
      </w:r>
    </w:p>
    <w:p w14:paraId="68D3E292" w14:textId="77777777" w:rsidR="004B3264" w:rsidRPr="000E5BF0" w:rsidRDefault="004B3264" w:rsidP="00326D35">
      <w:pPr>
        <w:spacing w:line="480" w:lineRule="auto"/>
        <w:jc w:val="both"/>
        <w:rPr>
          <w:rFonts w:asciiTheme="majorBidi" w:hAnsiTheme="majorBidi" w:cstheme="majorBidi"/>
          <w:b/>
          <w:color w:val="000000" w:themeColor="text1"/>
          <w:lang w:val="en-US"/>
        </w:rPr>
      </w:pPr>
    </w:p>
    <w:p w14:paraId="280EB2B3" w14:textId="77777777" w:rsidR="000B627F" w:rsidRPr="000E5BF0" w:rsidRDefault="000B627F" w:rsidP="00326D35">
      <w:pPr>
        <w:spacing w:line="480" w:lineRule="auto"/>
        <w:jc w:val="both"/>
        <w:rPr>
          <w:rFonts w:asciiTheme="majorBidi" w:hAnsiTheme="majorBidi" w:cstheme="majorBidi"/>
          <w:b/>
          <w:lang w:val="en-US"/>
        </w:rPr>
      </w:pPr>
    </w:p>
    <w:p w14:paraId="56EA384B" w14:textId="77777777" w:rsidR="000B627F" w:rsidRPr="000E5BF0" w:rsidRDefault="000B627F" w:rsidP="00326D35">
      <w:pPr>
        <w:spacing w:line="480" w:lineRule="auto"/>
        <w:jc w:val="both"/>
        <w:rPr>
          <w:rFonts w:asciiTheme="majorBidi" w:hAnsiTheme="majorBidi" w:cstheme="majorBidi"/>
          <w:b/>
          <w:lang w:val="en-US"/>
        </w:rPr>
      </w:pPr>
    </w:p>
    <w:p w14:paraId="727E8915" w14:textId="77777777" w:rsidR="000B627F" w:rsidRPr="000E5BF0" w:rsidRDefault="000B627F" w:rsidP="00326D35">
      <w:pPr>
        <w:spacing w:line="480" w:lineRule="auto"/>
        <w:jc w:val="both"/>
        <w:rPr>
          <w:rFonts w:asciiTheme="majorBidi" w:hAnsiTheme="majorBidi" w:cstheme="majorBidi"/>
          <w:b/>
          <w:lang w:val="en-US"/>
        </w:rPr>
      </w:pPr>
    </w:p>
    <w:p w14:paraId="7B5DE3C9" w14:textId="77777777" w:rsidR="000B627F" w:rsidRPr="000E5BF0" w:rsidRDefault="000B627F" w:rsidP="00326D35">
      <w:pPr>
        <w:spacing w:line="480" w:lineRule="auto"/>
        <w:jc w:val="both"/>
        <w:rPr>
          <w:rFonts w:asciiTheme="majorBidi" w:hAnsiTheme="majorBidi" w:cstheme="majorBidi"/>
          <w:b/>
          <w:lang w:val="en-US"/>
        </w:rPr>
      </w:pPr>
    </w:p>
    <w:p w14:paraId="5BF88B48" w14:textId="77777777" w:rsidR="000B627F" w:rsidRPr="000E5BF0" w:rsidRDefault="000B627F" w:rsidP="00326D35">
      <w:pPr>
        <w:spacing w:line="480" w:lineRule="auto"/>
        <w:jc w:val="both"/>
        <w:rPr>
          <w:rFonts w:asciiTheme="majorBidi" w:hAnsiTheme="majorBidi" w:cstheme="majorBidi"/>
          <w:b/>
          <w:lang w:val="en-US"/>
        </w:rPr>
      </w:pPr>
    </w:p>
    <w:p w14:paraId="3821C3DF" w14:textId="77777777" w:rsidR="00812BCD" w:rsidRPr="000E5BF0" w:rsidRDefault="00812BCD" w:rsidP="00326D35">
      <w:pPr>
        <w:spacing w:line="480" w:lineRule="auto"/>
        <w:jc w:val="both"/>
        <w:rPr>
          <w:rFonts w:asciiTheme="majorBidi" w:hAnsiTheme="majorBidi" w:cstheme="majorBidi"/>
          <w:b/>
          <w:lang w:val="en-US"/>
        </w:rPr>
      </w:pPr>
    </w:p>
    <w:p w14:paraId="33009D1C" w14:textId="77777777" w:rsidR="00812BCD" w:rsidRPr="000E5BF0" w:rsidRDefault="00812BCD" w:rsidP="00326D35">
      <w:pPr>
        <w:spacing w:line="480" w:lineRule="auto"/>
        <w:jc w:val="both"/>
        <w:rPr>
          <w:rFonts w:asciiTheme="majorBidi" w:hAnsiTheme="majorBidi" w:cstheme="majorBidi"/>
          <w:b/>
          <w:lang w:val="en-US"/>
        </w:rPr>
      </w:pPr>
    </w:p>
    <w:p w14:paraId="3998061A" w14:textId="77777777" w:rsidR="00812BCD" w:rsidRPr="000E5BF0" w:rsidRDefault="00812BCD" w:rsidP="00326D35">
      <w:pPr>
        <w:spacing w:line="480" w:lineRule="auto"/>
        <w:jc w:val="both"/>
        <w:rPr>
          <w:rFonts w:asciiTheme="majorBidi" w:hAnsiTheme="majorBidi" w:cstheme="majorBidi"/>
          <w:b/>
          <w:lang w:val="en-US"/>
        </w:rPr>
      </w:pPr>
    </w:p>
    <w:p w14:paraId="253667F5" w14:textId="77777777" w:rsidR="00812BCD" w:rsidRPr="000E5BF0" w:rsidRDefault="00812BCD" w:rsidP="00326D35">
      <w:pPr>
        <w:spacing w:line="480" w:lineRule="auto"/>
        <w:jc w:val="both"/>
        <w:rPr>
          <w:rFonts w:asciiTheme="majorBidi" w:hAnsiTheme="majorBidi" w:cstheme="majorBidi"/>
          <w:b/>
          <w:lang w:val="en-US"/>
        </w:rPr>
      </w:pPr>
    </w:p>
    <w:p w14:paraId="333EE19E" w14:textId="345BBD5C" w:rsidR="00812BCD" w:rsidRPr="000E5BF0" w:rsidRDefault="003D60C6" w:rsidP="00812BCD">
      <w:pPr>
        <w:spacing w:line="480" w:lineRule="auto"/>
        <w:jc w:val="center"/>
        <w:rPr>
          <w:rFonts w:asciiTheme="majorBidi" w:hAnsiTheme="majorBidi" w:cstheme="majorBidi"/>
          <w:b/>
          <w:lang w:val="en-US"/>
        </w:rPr>
      </w:pPr>
      <w:r w:rsidRPr="000E5BF0">
        <w:rPr>
          <w:rFonts w:asciiTheme="majorBidi" w:hAnsiTheme="majorBidi" w:cstheme="majorBidi"/>
          <w:b/>
          <w:noProof/>
          <w:lang w:val="en-US" w:eastAsia="zh-CN"/>
        </w:rPr>
        <w:lastRenderedPageBreak/>
        <w:drawing>
          <wp:inline distT="0" distB="0" distL="0" distR="0" wp14:anchorId="3E7C37CE" wp14:editId="059B00A0">
            <wp:extent cx="5731510" cy="35875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Fig4_1.tiff"/>
                    <pic:cNvPicPr/>
                  </pic:nvPicPr>
                  <pic:blipFill rotWithShape="1">
                    <a:blip r:embed="rId11" cstate="print">
                      <a:extLst>
                        <a:ext uri="{28A0092B-C50C-407E-A947-70E740481C1C}">
                          <a14:useLocalDpi xmlns:a14="http://schemas.microsoft.com/office/drawing/2010/main" val="0"/>
                        </a:ext>
                      </a:extLst>
                    </a:blip>
                    <a:srcRect t="23007"/>
                    <a:stretch/>
                  </pic:blipFill>
                  <pic:spPr bwMode="auto">
                    <a:xfrm>
                      <a:off x="0" y="0"/>
                      <a:ext cx="5731510" cy="3587575"/>
                    </a:xfrm>
                    <a:prstGeom prst="rect">
                      <a:avLst/>
                    </a:prstGeom>
                    <a:ln>
                      <a:noFill/>
                    </a:ln>
                    <a:extLst>
                      <a:ext uri="{53640926-AAD7-44D8-BBD7-CCE9431645EC}">
                        <a14:shadowObscured xmlns:a14="http://schemas.microsoft.com/office/drawing/2010/main"/>
                      </a:ext>
                    </a:extLst>
                  </pic:spPr>
                </pic:pic>
              </a:graphicData>
            </a:graphic>
          </wp:inline>
        </w:drawing>
      </w:r>
    </w:p>
    <w:p w14:paraId="003EA489" w14:textId="614D061B" w:rsidR="00EF353F" w:rsidRPr="000E5BF0" w:rsidRDefault="00EF353F" w:rsidP="00056242">
      <w:pPr>
        <w:spacing w:line="480" w:lineRule="auto"/>
        <w:jc w:val="center"/>
        <w:rPr>
          <w:rFonts w:asciiTheme="majorBidi" w:hAnsiTheme="majorBidi" w:cstheme="majorBidi"/>
          <w:b/>
          <w:lang w:val="en-US"/>
        </w:rPr>
      </w:pPr>
    </w:p>
    <w:p w14:paraId="2C46369E" w14:textId="2325A151" w:rsidR="00B16186" w:rsidRPr="000E5BF0" w:rsidRDefault="004B3264" w:rsidP="00812BCD">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Figure 4</w:t>
      </w:r>
    </w:p>
    <w:p w14:paraId="1044DCB9" w14:textId="7B471F80" w:rsidR="00812BCD" w:rsidRPr="000E5BF0" w:rsidRDefault="00584C4B" w:rsidP="00F07976">
      <w:pPr>
        <w:widowControl w:val="0"/>
        <w:autoSpaceDE w:val="0"/>
        <w:autoSpaceDN w:val="0"/>
        <w:adjustRightInd w:val="0"/>
        <w:spacing w:line="480" w:lineRule="auto"/>
        <w:jc w:val="both"/>
        <w:rPr>
          <w:rFonts w:asciiTheme="majorBidi" w:eastAsiaTheme="minorHAnsi" w:hAnsiTheme="majorBidi" w:cstheme="majorBidi"/>
          <w:color w:val="000000"/>
          <w:lang w:val="en-US"/>
        </w:rPr>
      </w:pPr>
      <w:r w:rsidRPr="000E5BF0">
        <w:rPr>
          <w:rFonts w:asciiTheme="majorBidi" w:eastAsiaTheme="minorHAnsi" w:hAnsiTheme="majorBidi" w:cstheme="majorBidi"/>
          <w:b/>
          <w:bCs/>
          <w:color w:val="000000"/>
          <w:lang w:val="en-US"/>
        </w:rPr>
        <w:t>Spearman</w:t>
      </w:r>
      <w:r w:rsidR="00812BCD" w:rsidRPr="000E5BF0">
        <w:rPr>
          <w:rFonts w:asciiTheme="majorBidi" w:eastAsiaTheme="minorHAnsi" w:hAnsiTheme="majorBidi" w:cstheme="majorBidi"/>
          <w:b/>
          <w:bCs/>
          <w:color w:val="000000"/>
          <w:lang w:val="en-US"/>
        </w:rPr>
        <w:t>’s correlation matrix</w:t>
      </w:r>
      <w:r w:rsidR="00EF353F" w:rsidRPr="000E5BF0">
        <w:rPr>
          <w:rFonts w:asciiTheme="majorBidi" w:eastAsiaTheme="minorHAnsi" w:hAnsiTheme="majorBidi" w:cstheme="majorBidi"/>
          <w:b/>
          <w:bCs/>
          <w:color w:val="000000"/>
          <w:lang w:val="en-US"/>
        </w:rPr>
        <w:t xml:space="preserve">. </w:t>
      </w:r>
      <w:r w:rsidR="00EF353F" w:rsidRPr="000E5BF0">
        <w:rPr>
          <w:rFonts w:asciiTheme="majorBidi" w:eastAsiaTheme="minorHAnsi" w:hAnsiTheme="majorBidi" w:cstheme="majorBidi"/>
          <w:color w:val="000000"/>
          <w:lang w:val="en-US"/>
        </w:rPr>
        <w:t xml:space="preserve">It shows </w:t>
      </w:r>
      <w:r w:rsidR="00812BCD" w:rsidRPr="000E5BF0">
        <w:rPr>
          <w:rFonts w:asciiTheme="majorBidi" w:eastAsiaTheme="minorHAnsi" w:hAnsiTheme="majorBidi" w:cstheme="majorBidi"/>
          <w:color w:val="000000"/>
          <w:lang w:val="en-US"/>
        </w:rPr>
        <w:t xml:space="preserve">DNA methylation profiles of </w:t>
      </w:r>
      <w:r w:rsidR="003622DC" w:rsidRPr="000E5BF0">
        <w:rPr>
          <w:rFonts w:asciiTheme="majorBidi" w:eastAsiaTheme="minorHAnsi" w:hAnsiTheme="majorBidi" w:cstheme="majorBidi"/>
          <w:color w:val="000000"/>
          <w:lang w:val="en-US"/>
        </w:rPr>
        <w:t xml:space="preserve">matched </w:t>
      </w:r>
      <w:r w:rsidR="00812BCD" w:rsidRPr="000E5BF0">
        <w:rPr>
          <w:rFonts w:asciiTheme="majorBidi" w:eastAsiaTheme="minorHAnsi" w:hAnsiTheme="majorBidi" w:cstheme="majorBidi"/>
          <w:color w:val="000000"/>
          <w:lang w:val="en-US"/>
        </w:rPr>
        <w:t xml:space="preserve">tumor, plasma </w:t>
      </w:r>
      <w:r w:rsidR="003622DC" w:rsidRPr="000E5BF0">
        <w:rPr>
          <w:rFonts w:asciiTheme="majorBidi" w:eastAsiaTheme="minorHAnsi" w:hAnsiTheme="majorBidi" w:cstheme="majorBidi"/>
          <w:color w:val="000000"/>
          <w:lang w:val="en-US"/>
        </w:rPr>
        <w:t xml:space="preserve">and US, for each individual subject, </w:t>
      </w:r>
      <w:r w:rsidR="000E5BF0" w:rsidRPr="000E5BF0">
        <w:rPr>
          <w:rFonts w:asciiTheme="majorBidi" w:eastAsiaTheme="minorHAnsi" w:hAnsiTheme="majorBidi" w:cstheme="majorBidi"/>
          <w:color w:val="000000"/>
          <w:lang w:val="en-US"/>
        </w:rPr>
        <w:t>analyzed</w:t>
      </w:r>
      <w:r w:rsidR="00EF353F" w:rsidRPr="000E5BF0">
        <w:rPr>
          <w:rFonts w:asciiTheme="majorBidi" w:eastAsiaTheme="minorHAnsi" w:hAnsiTheme="majorBidi" w:cstheme="majorBidi"/>
          <w:b/>
          <w:bCs/>
          <w:color w:val="000000"/>
          <w:lang w:val="en-US"/>
        </w:rPr>
        <w:t xml:space="preserve"> </w:t>
      </w:r>
      <w:r w:rsidR="00812BCD" w:rsidRPr="000E5BF0">
        <w:rPr>
          <w:rFonts w:asciiTheme="majorBidi" w:eastAsiaTheme="minorHAnsi" w:hAnsiTheme="majorBidi" w:cstheme="majorBidi"/>
          <w:color w:val="000000"/>
          <w:lang w:val="en-US"/>
        </w:rPr>
        <w:t xml:space="preserve">at the DMPs level (n=32,452). </w:t>
      </w:r>
      <w:r w:rsidR="003622DC" w:rsidRPr="000E5BF0">
        <w:rPr>
          <w:rFonts w:asciiTheme="majorBidi" w:eastAsiaTheme="minorHAnsi" w:hAnsiTheme="majorBidi" w:cstheme="majorBidi"/>
          <w:color w:val="000000"/>
          <w:lang w:val="en-US"/>
        </w:rPr>
        <w:t>Each panel (A – D) corresponds to an individual subject (1-4) and shows a p</w:t>
      </w:r>
      <w:r w:rsidR="00812BCD" w:rsidRPr="000E5BF0">
        <w:rPr>
          <w:rFonts w:asciiTheme="majorBidi" w:eastAsiaTheme="minorHAnsi" w:hAnsiTheme="majorBidi" w:cstheme="majorBidi"/>
          <w:color w:val="000000"/>
          <w:lang w:val="en-US"/>
        </w:rPr>
        <w:t xml:space="preserve">robe methylation </w:t>
      </w:r>
      <w:r w:rsidR="00F07976" w:rsidRPr="000E5BF0">
        <w:rPr>
          <w:rFonts w:asciiTheme="majorBidi" w:eastAsiaTheme="minorHAnsi" w:hAnsiTheme="majorBidi" w:cstheme="majorBidi"/>
          <w:color w:val="000000"/>
          <w:lang w:val="en-US"/>
        </w:rPr>
        <w:t>scatter-plot (left hand-side</w:t>
      </w:r>
      <w:r w:rsidR="00812BCD" w:rsidRPr="000E5BF0">
        <w:rPr>
          <w:rFonts w:asciiTheme="majorBidi" w:eastAsiaTheme="minorHAnsi" w:hAnsiTheme="majorBidi" w:cstheme="majorBidi"/>
          <w:color w:val="000000"/>
          <w:lang w:val="en-US"/>
        </w:rPr>
        <w:t xml:space="preserve">), overall methylation distribution per sample (middle) and </w:t>
      </w:r>
      <w:r w:rsidR="003622DC" w:rsidRPr="000E5BF0">
        <w:rPr>
          <w:rFonts w:asciiTheme="majorBidi" w:eastAsiaTheme="minorHAnsi" w:hAnsiTheme="majorBidi" w:cstheme="majorBidi"/>
          <w:color w:val="000000"/>
          <w:lang w:val="en-US"/>
        </w:rPr>
        <w:t>Spearman</w:t>
      </w:r>
      <w:r w:rsidR="00812BCD" w:rsidRPr="000E5BF0">
        <w:rPr>
          <w:rFonts w:asciiTheme="majorBidi" w:eastAsiaTheme="minorHAnsi" w:hAnsiTheme="majorBidi" w:cstheme="majorBidi"/>
          <w:color w:val="000000"/>
          <w:lang w:val="en-US"/>
        </w:rPr>
        <w:t xml:space="preserve">’s correlation values (upper </w:t>
      </w:r>
      <w:r w:rsidR="00F07976" w:rsidRPr="000E5BF0">
        <w:rPr>
          <w:rFonts w:asciiTheme="majorBidi" w:eastAsiaTheme="minorHAnsi" w:hAnsiTheme="majorBidi" w:cstheme="majorBidi"/>
          <w:color w:val="000000"/>
          <w:lang w:val="en-US"/>
        </w:rPr>
        <w:t>hand-side</w:t>
      </w:r>
      <w:r w:rsidR="00812BCD" w:rsidRPr="000E5BF0">
        <w:rPr>
          <w:rFonts w:asciiTheme="majorBidi" w:eastAsiaTheme="minorHAnsi" w:hAnsiTheme="majorBidi" w:cstheme="majorBidi"/>
          <w:color w:val="000000"/>
          <w:lang w:val="en-US"/>
        </w:rPr>
        <w:t>). All values are statistically significant (</w:t>
      </w:r>
      <w:r w:rsidR="00812BCD" w:rsidRPr="000E5BF0">
        <w:rPr>
          <w:rFonts w:asciiTheme="majorBidi" w:eastAsiaTheme="minorHAnsi" w:hAnsiTheme="majorBidi" w:cstheme="majorBidi"/>
          <w:i/>
          <w:iCs/>
          <w:color w:val="000000"/>
          <w:lang w:val="en-US"/>
        </w:rPr>
        <w:t>P</w:t>
      </w:r>
      <w:r w:rsidR="00812BCD" w:rsidRPr="000E5BF0">
        <w:rPr>
          <w:rFonts w:asciiTheme="majorBidi" w:eastAsiaTheme="minorHAnsi" w:hAnsiTheme="majorBidi" w:cstheme="majorBidi"/>
          <w:color w:val="000000"/>
          <w:lang w:val="en-US"/>
        </w:rPr>
        <w:t>&lt;0.001). A</w:t>
      </w:r>
      <w:r w:rsidR="001134E7" w:rsidRPr="000E5BF0">
        <w:rPr>
          <w:rFonts w:asciiTheme="majorBidi" w:eastAsiaTheme="minorHAnsi" w:hAnsiTheme="majorBidi" w:cstheme="majorBidi"/>
          <w:color w:val="000000"/>
          <w:lang w:val="en-US"/>
        </w:rPr>
        <w:t>bbreviations: US – u</w:t>
      </w:r>
      <w:r w:rsidR="00812BCD" w:rsidRPr="000E5BF0">
        <w:rPr>
          <w:rFonts w:asciiTheme="majorBidi" w:eastAsiaTheme="minorHAnsi" w:hAnsiTheme="majorBidi" w:cstheme="majorBidi"/>
          <w:color w:val="000000"/>
          <w:lang w:val="en-US"/>
        </w:rPr>
        <w:t>rine Sediment.</w:t>
      </w:r>
    </w:p>
    <w:p w14:paraId="4A325941" w14:textId="74D702D2"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r w:rsidRPr="000E5BF0">
        <w:rPr>
          <w:rFonts w:asciiTheme="majorBidi" w:eastAsiaTheme="minorHAnsi" w:hAnsiTheme="majorBidi" w:cstheme="majorBidi"/>
          <w:noProof/>
          <w:color w:val="000000"/>
          <w:lang w:val="en-US" w:eastAsia="zh-CN"/>
        </w:rPr>
        <w:lastRenderedPageBreak/>
        <w:drawing>
          <wp:anchor distT="0" distB="0" distL="114300" distR="114300" simplePos="0" relativeHeight="251658240" behindDoc="0" locked="0" layoutInCell="1" allowOverlap="1" wp14:anchorId="262595AF" wp14:editId="38DBE523">
            <wp:simplePos x="0" y="0"/>
            <wp:positionH relativeFrom="column">
              <wp:posOffset>52001</wp:posOffset>
            </wp:positionH>
            <wp:positionV relativeFrom="paragraph">
              <wp:posOffset>463</wp:posOffset>
            </wp:positionV>
            <wp:extent cx="5214620" cy="4794250"/>
            <wp:effectExtent l="0" t="0" r="0" b="6350"/>
            <wp:wrapTight wrapText="bothSides">
              <wp:wrapPolygon edited="0">
                <wp:start x="0" y="0"/>
                <wp:lineTo x="0" y="21514"/>
                <wp:lineTo x="21463" y="21514"/>
                <wp:lineTo x="21463" y="0"/>
                <wp:lineTo x="0" y="0"/>
              </wp:wrapPolygon>
            </wp:wrapTight>
            <wp:docPr id="4" name="Picture 4" descr="Figures/Supp%20Figures/SuppFig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Supp%20Figures/SuppFig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620" cy="479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6E843" w14:textId="19E80365"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2058F70F" w14:textId="2CFE8B1D"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100AAE14" w14:textId="3654D1BA"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04C4EE84" w14:textId="01147E20"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11FEE8BE" w14:textId="67BE53DE"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7B3369A2" w14:textId="13106DB4"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7E6856EC" w14:textId="73BFFD41"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55C415B5" w14:textId="67A824EC"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66F24E1F"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78ABF65E"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78175EB2"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3398B7E5"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04D38EF5"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431FFA69"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p w14:paraId="08CD3B4F" w14:textId="77777777" w:rsidR="000731FD" w:rsidRPr="000E5BF0" w:rsidRDefault="000731FD" w:rsidP="000731FD">
      <w:pPr>
        <w:spacing w:line="480" w:lineRule="auto"/>
        <w:jc w:val="both"/>
        <w:rPr>
          <w:rFonts w:asciiTheme="majorBidi" w:hAnsiTheme="majorBidi" w:cstheme="majorBidi"/>
          <w:b/>
          <w:lang w:val="en-US"/>
        </w:rPr>
      </w:pPr>
      <w:r w:rsidRPr="000E5BF0">
        <w:rPr>
          <w:rFonts w:asciiTheme="majorBidi" w:hAnsiTheme="majorBidi" w:cstheme="majorBidi"/>
          <w:b/>
          <w:lang w:val="en-US"/>
        </w:rPr>
        <w:t>Supplemental Figure 5</w:t>
      </w:r>
    </w:p>
    <w:p w14:paraId="09A20B3B" w14:textId="77777777" w:rsidR="000731FD" w:rsidRPr="000E5BF0" w:rsidRDefault="000731FD" w:rsidP="000731FD">
      <w:pPr>
        <w:widowControl w:val="0"/>
        <w:autoSpaceDE w:val="0"/>
        <w:autoSpaceDN w:val="0"/>
        <w:adjustRightInd w:val="0"/>
        <w:spacing w:line="480" w:lineRule="auto"/>
        <w:jc w:val="both"/>
        <w:rPr>
          <w:rFonts w:asciiTheme="majorBidi" w:eastAsiaTheme="minorHAnsi" w:hAnsiTheme="majorBidi" w:cstheme="majorBidi"/>
          <w:color w:val="000000"/>
          <w:lang w:val="en-US"/>
        </w:rPr>
      </w:pPr>
      <w:r w:rsidRPr="000E5BF0">
        <w:rPr>
          <w:rFonts w:asciiTheme="majorBidi" w:eastAsiaTheme="minorHAnsi" w:hAnsiTheme="majorBidi" w:cstheme="majorBidi"/>
          <w:b/>
          <w:bCs/>
          <w:color w:val="000000"/>
          <w:lang w:val="en-US"/>
        </w:rPr>
        <w:t xml:space="preserve">ZMIZ1 methylation detected across all sample types. </w:t>
      </w:r>
      <w:r w:rsidRPr="000E5BF0">
        <w:rPr>
          <w:rFonts w:asciiTheme="majorBidi" w:eastAsiaTheme="minorHAnsi" w:hAnsiTheme="majorBidi" w:cstheme="majorBidi"/>
          <w:color w:val="000000"/>
          <w:lang w:val="en-US"/>
        </w:rPr>
        <w:t xml:space="preserve">Schematic methylation map for a </w:t>
      </w:r>
      <w:r w:rsidRPr="000E5BF0">
        <w:rPr>
          <w:rFonts w:asciiTheme="majorBidi" w:eastAsiaTheme="minorHAnsi" w:hAnsiTheme="majorBidi" w:cstheme="majorBidi"/>
          <w:i/>
          <w:iCs/>
          <w:color w:val="000000"/>
          <w:lang w:val="en-US"/>
        </w:rPr>
        <w:t xml:space="preserve">ZMIZ1 </w:t>
      </w:r>
      <w:r w:rsidRPr="000E5BF0">
        <w:rPr>
          <w:rFonts w:asciiTheme="majorBidi" w:eastAsiaTheme="minorHAnsi" w:hAnsiTheme="majorBidi" w:cstheme="majorBidi"/>
          <w:color w:val="000000"/>
          <w:lang w:val="en-US"/>
        </w:rPr>
        <w:t>tumor DMP (IlmnID: cg08058898) that was found to be picked up by the both plasma and US in all subjects. Gene structure and CpG islands (green) are indicated below the graph. Subjects methylation values are shown as a group in MN and tumor, and individually for Plasma and US. Abbreviations: DMP – Differentially methylated probe; MN – Matched normal; US – Urine Sediment.</w:t>
      </w:r>
    </w:p>
    <w:p w14:paraId="3CD66AD5" w14:textId="77777777" w:rsidR="000731FD" w:rsidRPr="000E5BF0" w:rsidRDefault="000731FD" w:rsidP="00D5392E">
      <w:pPr>
        <w:widowControl w:val="0"/>
        <w:autoSpaceDE w:val="0"/>
        <w:autoSpaceDN w:val="0"/>
        <w:adjustRightInd w:val="0"/>
        <w:spacing w:line="480" w:lineRule="auto"/>
        <w:jc w:val="both"/>
        <w:rPr>
          <w:rFonts w:asciiTheme="majorBidi" w:eastAsiaTheme="minorHAnsi" w:hAnsiTheme="majorBidi" w:cstheme="majorBidi"/>
          <w:color w:val="000000"/>
          <w:lang w:val="en-US"/>
        </w:rPr>
      </w:pPr>
    </w:p>
    <w:sectPr w:rsidR="000731FD" w:rsidRPr="000E5BF0" w:rsidSect="00B16186">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0rrsrptwta0aeerwsvzaz2fwswazt5wsxx&quot;&gt;My EndNote Library&lt;record-ids&gt;&lt;item&gt;64&lt;/item&gt;&lt;/record-ids&gt;&lt;/item&gt;&lt;/Libraries&gt;"/>
  </w:docVars>
  <w:rsids>
    <w:rsidRoot w:val="000B772F"/>
    <w:rsid w:val="0003078A"/>
    <w:rsid w:val="00056242"/>
    <w:rsid w:val="000731FD"/>
    <w:rsid w:val="000B627F"/>
    <w:rsid w:val="000B772F"/>
    <w:rsid w:val="000E5BF0"/>
    <w:rsid w:val="001134E7"/>
    <w:rsid w:val="001657C1"/>
    <w:rsid w:val="0018116B"/>
    <w:rsid w:val="00202A8E"/>
    <w:rsid w:val="002D4233"/>
    <w:rsid w:val="00326D35"/>
    <w:rsid w:val="00355A6F"/>
    <w:rsid w:val="003622DC"/>
    <w:rsid w:val="00370124"/>
    <w:rsid w:val="003C3A2D"/>
    <w:rsid w:val="003D60C6"/>
    <w:rsid w:val="0041399A"/>
    <w:rsid w:val="00427672"/>
    <w:rsid w:val="00486F85"/>
    <w:rsid w:val="004B3264"/>
    <w:rsid w:val="004B7F40"/>
    <w:rsid w:val="004E0FF9"/>
    <w:rsid w:val="00584C4B"/>
    <w:rsid w:val="005A5356"/>
    <w:rsid w:val="006055FB"/>
    <w:rsid w:val="006735DF"/>
    <w:rsid w:val="00744DF6"/>
    <w:rsid w:val="007C4F8C"/>
    <w:rsid w:val="00812BCD"/>
    <w:rsid w:val="00832C6F"/>
    <w:rsid w:val="00845893"/>
    <w:rsid w:val="008835A2"/>
    <w:rsid w:val="008B402A"/>
    <w:rsid w:val="00902987"/>
    <w:rsid w:val="009A1191"/>
    <w:rsid w:val="009E0825"/>
    <w:rsid w:val="00A06C16"/>
    <w:rsid w:val="00A95811"/>
    <w:rsid w:val="00AB3530"/>
    <w:rsid w:val="00AC7AA9"/>
    <w:rsid w:val="00B16186"/>
    <w:rsid w:val="00B45118"/>
    <w:rsid w:val="00B950D7"/>
    <w:rsid w:val="00BB4797"/>
    <w:rsid w:val="00BC2F27"/>
    <w:rsid w:val="00BC4465"/>
    <w:rsid w:val="00BC5C68"/>
    <w:rsid w:val="00BD789F"/>
    <w:rsid w:val="00BE63DF"/>
    <w:rsid w:val="00BF64FD"/>
    <w:rsid w:val="00C00DDA"/>
    <w:rsid w:val="00C55A8E"/>
    <w:rsid w:val="00C6793C"/>
    <w:rsid w:val="00D071CE"/>
    <w:rsid w:val="00D31924"/>
    <w:rsid w:val="00D31EED"/>
    <w:rsid w:val="00D5392E"/>
    <w:rsid w:val="00DC5D54"/>
    <w:rsid w:val="00E10637"/>
    <w:rsid w:val="00E86063"/>
    <w:rsid w:val="00ED0DA6"/>
    <w:rsid w:val="00EF353F"/>
    <w:rsid w:val="00F035F2"/>
    <w:rsid w:val="00F06104"/>
    <w:rsid w:val="00F079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CB5A2"/>
  <w15:chartTrackingRefBased/>
  <w15:docId w15:val="{9A475D08-D575-450A-85DD-BC0FA88B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2987"/>
    <w:pPr>
      <w:spacing w:after="0" w:line="240" w:lineRule="auto"/>
    </w:pPr>
    <w:rPr>
      <w:rFonts w:eastAsiaTheme="minorEastAsia"/>
      <w:sz w:val="24"/>
      <w:szCs w:val="24"/>
      <w:lang w:val="pt-PT"/>
    </w:rPr>
  </w:style>
  <w:style w:type="paragraph" w:styleId="Heading2">
    <w:name w:val="heading 2"/>
    <w:basedOn w:val="Normal"/>
    <w:next w:val="Normal"/>
    <w:link w:val="Heading2Char"/>
    <w:uiPriority w:val="9"/>
    <w:semiHidden/>
    <w:unhideWhenUsed/>
    <w:qFormat/>
    <w:rsid w:val="009029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02987"/>
    <w:rPr>
      <w:rFonts w:asciiTheme="majorHAnsi" w:eastAsiaTheme="majorEastAsia" w:hAnsiTheme="majorHAnsi" w:cstheme="majorBidi"/>
      <w:color w:val="2E74B5" w:themeColor="accent1" w:themeShade="BF"/>
      <w:sz w:val="26"/>
      <w:szCs w:val="26"/>
      <w:lang w:val="pt-PT"/>
    </w:rPr>
  </w:style>
  <w:style w:type="character" w:styleId="Hyperlink">
    <w:name w:val="Hyperlink"/>
    <w:basedOn w:val="DefaultParagraphFont"/>
    <w:uiPriority w:val="99"/>
    <w:unhideWhenUsed/>
    <w:rsid w:val="004E0FF9"/>
    <w:rPr>
      <w:color w:val="0563C1" w:themeColor="hyperlink"/>
      <w:u w:val="single"/>
    </w:rPr>
  </w:style>
  <w:style w:type="paragraph" w:customStyle="1" w:styleId="EndNoteBibliographyTitle">
    <w:name w:val="EndNote Bibliography Title"/>
    <w:basedOn w:val="Normal"/>
    <w:rsid w:val="008835A2"/>
    <w:pPr>
      <w:jc w:val="center"/>
    </w:pPr>
    <w:rPr>
      <w:rFonts w:ascii="Calibri" w:hAnsi="Calibri"/>
      <w:lang w:val="en-US"/>
    </w:rPr>
  </w:style>
  <w:style w:type="paragraph" w:customStyle="1" w:styleId="EndNoteBibliography">
    <w:name w:val="EndNote Bibliography"/>
    <w:basedOn w:val="Normal"/>
    <w:rsid w:val="008835A2"/>
    <w:pPr>
      <w:jc w:val="both"/>
    </w:pPr>
    <w:rPr>
      <w:rFonts w:ascii="Calibri" w:hAnsi="Calibri"/>
      <w:lang w:val="en-US"/>
    </w:rPr>
  </w:style>
  <w:style w:type="paragraph" w:styleId="BalloonText">
    <w:name w:val="Balloon Text"/>
    <w:basedOn w:val="Normal"/>
    <w:link w:val="BalloonTextChar"/>
    <w:uiPriority w:val="99"/>
    <w:semiHidden/>
    <w:unhideWhenUsed/>
    <w:rsid w:val="00A958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5811"/>
    <w:rPr>
      <w:rFonts w:ascii="Times New Roman" w:eastAsiaTheme="minorEastAsia" w:hAnsi="Times New Roman" w:cs="Times New Roman"/>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2E0739-AB15-1949-9EB2-EE9BB3B2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487</Words>
  <Characters>2782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Perry</dc:creator>
  <cp:keywords/>
  <dc:description/>
  <cp:lastModifiedBy>Romina Silva</cp:lastModifiedBy>
  <cp:revision>4</cp:revision>
  <dcterms:created xsi:type="dcterms:W3CDTF">2019-12-04T12:45:00Z</dcterms:created>
  <dcterms:modified xsi:type="dcterms:W3CDTF">2019-12-12T00:10:00Z</dcterms:modified>
</cp:coreProperties>
</file>