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14" w:rsidRPr="000D79EF" w:rsidRDefault="00FC6A14" w:rsidP="00FC6A14">
      <w:pPr>
        <w:pStyle w:val="Heading2"/>
      </w:pPr>
      <w:r w:rsidRPr="000D79EF">
        <w:t>Supplementary information</w:t>
      </w:r>
    </w:p>
    <w:p w:rsidR="00FC6A14" w:rsidRPr="000D79EF" w:rsidRDefault="00FC6A14" w:rsidP="00FC6A14">
      <w:pPr>
        <w:spacing w:line="240" w:lineRule="auto"/>
        <w:jc w:val="both"/>
        <w:rPr>
          <w:rFonts w:cs="Times New Roman"/>
          <w:szCs w:val="24"/>
        </w:rPr>
      </w:pPr>
      <w:r w:rsidRPr="000D79EF">
        <w:rPr>
          <w:rFonts w:cs="Times New Roman"/>
          <w:szCs w:val="24"/>
        </w:rPr>
        <w:t>Table S1 Criteria for certify the biochar under IBI Biochar Certification Program, United State (</w:t>
      </w:r>
      <w:r w:rsidRPr="000D79EF">
        <w:rPr>
          <w:rFonts w:cs="Times New Roman"/>
          <w:color w:val="5B9BD5" w:themeColor="accent1"/>
          <w:szCs w:val="24"/>
        </w:rPr>
        <w:t>IBI, 2015</w:t>
      </w:r>
      <w:r w:rsidRPr="000D79EF">
        <w:rPr>
          <w:rFonts w:cs="Times New Roman"/>
          <w:szCs w:val="24"/>
        </w:rPr>
        <w:t>)</w:t>
      </w:r>
    </w:p>
    <w:tbl>
      <w:tblPr>
        <w:tblStyle w:val="TableGrid"/>
        <w:tblW w:w="8703" w:type="dxa"/>
        <w:tblLook w:val="04A0" w:firstRow="1" w:lastRow="0" w:firstColumn="1" w:lastColumn="0" w:noHBand="0" w:noVBand="1"/>
      </w:tblPr>
      <w:tblGrid>
        <w:gridCol w:w="4478"/>
        <w:gridCol w:w="4225"/>
      </w:tblGrid>
      <w:tr w:rsidR="00FC6A14" w:rsidRPr="000D79EF" w:rsidTr="00084415">
        <w:trPr>
          <w:trHeight w:val="193"/>
        </w:trPr>
        <w:tc>
          <w:tcPr>
            <w:tcW w:w="4478" w:type="dxa"/>
          </w:tcPr>
          <w:p w:rsidR="00FC6A14" w:rsidRPr="000D79EF" w:rsidRDefault="00FC6A14" w:rsidP="00084415">
            <w:pPr>
              <w:rPr>
                <w:rFonts w:cs="Times New Roman"/>
                <w:b/>
                <w:sz w:val="20"/>
                <w:szCs w:val="18"/>
              </w:rPr>
            </w:pPr>
            <w:r w:rsidRPr="000D79EF">
              <w:rPr>
                <w:rFonts w:cs="Times New Roman"/>
                <w:b/>
                <w:sz w:val="20"/>
                <w:szCs w:val="18"/>
              </w:rPr>
              <w:t>Production criteria</w:t>
            </w:r>
          </w:p>
        </w:tc>
        <w:tc>
          <w:tcPr>
            <w:tcW w:w="4225" w:type="dxa"/>
          </w:tcPr>
          <w:p w:rsidR="00FC6A14" w:rsidRPr="000D79EF" w:rsidRDefault="00FC6A14" w:rsidP="00084415">
            <w:pPr>
              <w:rPr>
                <w:rFonts w:cs="Times New Roman"/>
                <w:sz w:val="20"/>
                <w:szCs w:val="18"/>
              </w:rPr>
            </w:pPr>
          </w:p>
        </w:tc>
      </w:tr>
      <w:tr w:rsidR="00FC6A14" w:rsidRPr="000D79EF" w:rsidTr="00084415">
        <w:trPr>
          <w:trHeight w:val="359"/>
        </w:trPr>
        <w:tc>
          <w:tcPr>
            <w:tcW w:w="4478" w:type="dxa"/>
          </w:tcPr>
          <w:p w:rsidR="00FC6A14" w:rsidRPr="000D79EF" w:rsidRDefault="00FC6A14" w:rsidP="00084415">
            <w:pPr>
              <w:shd w:val="clear" w:color="auto" w:fill="FFFFFF"/>
              <w:spacing w:after="150"/>
              <w:rPr>
                <w:rFonts w:cs="Times New Roman"/>
                <w:sz w:val="20"/>
                <w:szCs w:val="18"/>
              </w:rPr>
            </w:pPr>
            <w:r w:rsidRPr="000D79EF">
              <w:rPr>
                <w:rFonts w:cs="Times New Roman"/>
                <w:sz w:val="20"/>
                <w:szCs w:val="18"/>
              </w:rPr>
              <w:t>Pyrolysis Temperature</w:t>
            </w:r>
          </w:p>
        </w:tc>
        <w:tc>
          <w:tcPr>
            <w:tcW w:w="4225" w:type="dxa"/>
          </w:tcPr>
          <w:p w:rsidR="00FC6A14" w:rsidRPr="000D79EF" w:rsidRDefault="00FC6A14" w:rsidP="00084415">
            <w:pPr>
              <w:rPr>
                <w:rFonts w:cs="Times New Roman"/>
                <w:sz w:val="20"/>
                <w:szCs w:val="18"/>
              </w:rPr>
            </w:pPr>
            <w:r w:rsidRPr="000D79EF">
              <w:rPr>
                <w:rFonts w:eastAsia="Times New Roman" w:cs="Times New Roman"/>
                <w:sz w:val="20"/>
                <w:szCs w:val="18"/>
                <w:lang w:eastAsia="zh-CN"/>
              </w:rPr>
              <w:t>ranging from 550</w:t>
            </w:r>
            <w:r w:rsidRPr="000D79EF">
              <w:rPr>
                <w:rFonts w:eastAsia="Times New Roman" w:cs="Times New Roman"/>
                <w:sz w:val="20"/>
                <w:szCs w:val="18"/>
                <w:vertAlign w:val="superscript"/>
                <w:lang w:eastAsia="zh-CN"/>
              </w:rPr>
              <w:t>o</w:t>
            </w:r>
            <w:r w:rsidRPr="000D79EF">
              <w:rPr>
                <w:rFonts w:eastAsia="Times New Roman" w:cs="Times New Roman"/>
                <w:sz w:val="20"/>
                <w:szCs w:val="18"/>
                <w:lang w:eastAsia="zh-CN"/>
              </w:rPr>
              <w:t>C – 900</w:t>
            </w:r>
            <w:r w:rsidRPr="000D79EF">
              <w:rPr>
                <w:rFonts w:eastAsia="Times New Roman" w:cs="Times New Roman"/>
                <w:sz w:val="20"/>
                <w:szCs w:val="18"/>
                <w:vertAlign w:val="superscript"/>
                <w:lang w:eastAsia="zh-CN"/>
              </w:rPr>
              <w:t>o</w:t>
            </w:r>
            <w:r w:rsidRPr="000D79EF">
              <w:rPr>
                <w:rFonts w:eastAsia="Times New Roman" w:cs="Times New Roman"/>
                <w:sz w:val="20"/>
                <w:szCs w:val="18"/>
                <w:lang w:eastAsia="zh-CN"/>
              </w:rPr>
              <w:t>C</w:t>
            </w:r>
          </w:p>
        </w:tc>
      </w:tr>
      <w:tr w:rsidR="00FC6A14" w:rsidRPr="000D79EF" w:rsidTr="00084415">
        <w:trPr>
          <w:trHeight w:val="403"/>
        </w:trPr>
        <w:tc>
          <w:tcPr>
            <w:tcW w:w="4478" w:type="dxa"/>
          </w:tcPr>
          <w:p w:rsidR="00FC6A14" w:rsidRPr="000D79EF" w:rsidRDefault="00FC6A14" w:rsidP="00084415">
            <w:pPr>
              <w:rPr>
                <w:rFonts w:cs="Times New Roman"/>
                <w:sz w:val="20"/>
                <w:szCs w:val="18"/>
              </w:rPr>
            </w:pPr>
            <w:r w:rsidRPr="000D79EF">
              <w:rPr>
                <w:rFonts w:cs="Times New Roman"/>
                <w:sz w:val="20"/>
                <w:szCs w:val="18"/>
              </w:rPr>
              <w:t>Composition of the pyrolysis biomass</w:t>
            </w:r>
          </w:p>
        </w:tc>
        <w:tc>
          <w:tcPr>
            <w:tcW w:w="4225" w:type="dxa"/>
          </w:tcPr>
          <w:p w:rsidR="00FC6A14" w:rsidRPr="000D79EF" w:rsidRDefault="00FC6A14" w:rsidP="00084415">
            <w:pPr>
              <w:rPr>
                <w:rFonts w:cs="Times New Roman"/>
                <w:sz w:val="20"/>
                <w:szCs w:val="18"/>
              </w:rPr>
            </w:pPr>
            <w:r w:rsidRPr="000D79EF">
              <w:rPr>
                <w:rFonts w:eastAsia="Times New Roman" w:cs="Times New Roman"/>
                <w:sz w:val="20"/>
                <w:szCs w:val="18"/>
                <w:lang w:eastAsia="zh-CN"/>
              </w:rPr>
              <w:t>100% Southern Yellow Pine species (including long leaf, loblolly, short leaf &amp; pond pine)</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b/>
                <w:sz w:val="20"/>
                <w:szCs w:val="18"/>
              </w:rPr>
              <w:t>Product Criteria- Category A</w:t>
            </w:r>
          </w:p>
        </w:tc>
        <w:tc>
          <w:tcPr>
            <w:tcW w:w="4225" w:type="dxa"/>
          </w:tcPr>
          <w:p w:rsidR="00FC6A14" w:rsidRPr="000D79EF" w:rsidRDefault="00FC6A14" w:rsidP="00084415">
            <w:pPr>
              <w:shd w:val="clear" w:color="auto" w:fill="FFFFFF"/>
              <w:rPr>
                <w:rFonts w:cs="Times New Roman"/>
                <w:sz w:val="20"/>
                <w:szCs w:val="18"/>
              </w:rPr>
            </w:pPr>
          </w:p>
        </w:tc>
      </w:tr>
      <w:tr w:rsidR="00FC6A14" w:rsidRPr="000D79EF" w:rsidTr="00084415">
        <w:trPr>
          <w:trHeight w:val="525"/>
        </w:trPr>
        <w:tc>
          <w:tcPr>
            <w:tcW w:w="4478" w:type="dxa"/>
          </w:tcPr>
          <w:p w:rsidR="00FC6A14" w:rsidRPr="000D79EF" w:rsidRDefault="00FC6A14" w:rsidP="00084415">
            <w:pPr>
              <w:rPr>
                <w:rFonts w:cs="Times New Roman"/>
                <w:sz w:val="20"/>
                <w:szCs w:val="18"/>
              </w:rPr>
            </w:pPr>
            <w:r w:rsidRPr="000D79EF">
              <w:rPr>
                <w:rFonts w:cs="Times New Roman"/>
                <w:sz w:val="20"/>
                <w:szCs w:val="18"/>
              </w:rPr>
              <w:t>Ash</w:t>
            </w:r>
          </w:p>
        </w:tc>
        <w:tc>
          <w:tcPr>
            <w:tcW w:w="4225" w:type="dxa"/>
          </w:tcPr>
          <w:p w:rsidR="00FC6A14" w:rsidRPr="000D79EF" w:rsidRDefault="00FC6A14" w:rsidP="00084415">
            <w:pPr>
              <w:shd w:val="clear" w:color="auto" w:fill="FFFFFF"/>
              <w:rPr>
                <w:rFonts w:cs="Times New Roman"/>
                <w:sz w:val="20"/>
                <w:szCs w:val="18"/>
              </w:rPr>
            </w:pPr>
            <w:r w:rsidRPr="000D79EF">
              <w:rPr>
                <w:rFonts w:eastAsia="Times New Roman" w:cs="Times New Roman"/>
                <w:sz w:val="20"/>
                <w:szCs w:val="18"/>
                <w:lang w:eastAsia="zh-CN"/>
              </w:rPr>
              <w:t>Low Ash Close to Neutral pH Moisture Stabilized High Porosity</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Moisture </w:t>
            </w:r>
          </w:p>
        </w:tc>
        <w:tc>
          <w:tcPr>
            <w:tcW w:w="4225" w:type="dxa"/>
          </w:tcPr>
          <w:p w:rsidR="00FC6A14" w:rsidRPr="000D79EF" w:rsidRDefault="00FC6A14" w:rsidP="00084415">
            <w:pPr>
              <w:rPr>
                <w:rFonts w:cs="Times New Roman"/>
                <w:sz w:val="20"/>
                <w:szCs w:val="18"/>
              </w:rPr>
            </w:pPr>
            <w:r w:rsidRPr="000D79EF">
              <w:rPr>
                <w:rFonts w:cs="Times New Roman"/>
                <w:sz w:val="20"/>
                <w:szCs w:val="18"/>
              </w:rPr>
              <w:t xml:space="preserve">Declaration </w:t>
            </w:r>
          </w:p>
        </w:tc>
      </w:tr>
      <w:tr w:rsidR="00FC6A14" w:rsidRPr="000D79EF" w:rsidTr="00084415">
        <w:trPr>
          <w:trHeight w:val="403"/>
        </w:trPr>
        <w:tc>
          <w:tcPr>
            <w:tcW w:w="4478" w:type="dxa"/>
          </w:tcPr>
          <w:p w:rsidR="00FC6A14" w:rsidRPr="000D79EF" w:rsidRDefault="00FC6A14" w:rsidP="00084415">
            <w:pPr>
              <w:rPr>
                <w:rFonts w:cs="Times New Roman"/>
                <w:sz w:val="20"/>
                <w:szCs w:val="18"/>
              </w:rPr>
            </w:pPr>
            <w:r w:rsidRPr="000D79EF">
              <w:rPr>
                <w:rFonts w:cs="Times New Roman"/>
                <w:sz w:val="20"/>
                <w:szCs w:val="18"/>
              </w:rPr>
              <w:t>Organic Carbon (Corg)</w:t>
            </w:r>
          </w:p>
        </w:tc>
        <w:tc>
          <w:tcPr>
            <w:tcW w:w="4225" w:type="dxa"/>
          </w:tcPr>
          <w:p w:rsidR="00FC6A14" w:rsidRPr="000D79EF" w:rsidRDefault="00FC6A14" w:rsidP="00084415">
            <w:pPr>
              <w:rPr>
                <w:rFonts w:cs="Times New Roman"/>
                <w:sz w:val="20"/>
                <w:szCs w:val="18"/>
              </w:rPr>
            </w:pPr>
            <w:r w:rsidRPr="000D79EF">
              <w:rPr>
                <w:rFonts w:cs="Times New Roman"/>
                <w:sz w:val="20"/>
                <w:szCs w:val="18"/>
              </w:rPr>
              <w:t>10% Minimum Class 1: ≥60%, Class 2: ≥30% Class 3: ≥10% and &lt;30%</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H:Corg</w:t>
            </w:r>
          </w:p>
        </w:tc>
        <w:tc>
          <w:tcPr>
            <w:tcW w:w="4225" w:type="dxa"/>
          </w:tcPr>
          <w:p w:rsidR="00FC6A14" w:rsidRPr="000D79EF" w:rsidRDefault="00FC6A14" w:rsidP="00084415">
            <w:pPr>
              <w:rPr>
                <w:rFonts w:cs="Times New Roman"/>
                <w:sz w:val="20"/>
                <w:szCs w:val="18"/>
              </w:rPr>
            </w:pPr>
            <w:r w:rsidRPr="000D79EF">
              <w:rPr>
                <w:rFonts w:cs="Times New Roman"/>
                <w:sz w:val="20"/>
                <w:szCs w:val="18"/>
              </w:rPr>
              <w:t>0.7 Maximum</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Total Ash</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Total Nitrogen</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pH</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Electrical Conductivity</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Particle size distribution</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w:t>
            </w:r>
          </w:p>
        </w:tc>
      </w:tr>
      <w:tr w:rsidR="00FC6A14" w:rsidRPr="000D79EF" w:rsidTr="00084415">
        <w:trPr>
          <w:trHeight w:val="403"/>
        </w:trPr>
        <w:tc>
          <w:tcPr>
            <w:tcW w:w="4478" w:type="dxa"/>
          </w:tcPr>
          <w:p w:rsidR="00FC6A14" w:rsidRPr="000D79EF" w:rsidRDefault="00FC6A14" w:rsidP="00084415">
            <w:pPr>
              <w:rPr>
                <w:rFonts w:cs="Times New Roman"/>
                <w:sz w:val="20"/>
                <w:szCs w:val="18"/>
              </w:rPr>
            </w:pPr>
            <w:r w:rsidRPr="000D79EF">
              <w:rPr>
                <w:rFonts w:cs="Times New Roman"/>
                <w:b/>
                <w:sz w:val="20"/>
                <w:szCs w:val="18"/>
              </w:rPr>
              <w:t>Product Criteria- Category B (Toxicant Assessment)</w:t>
            </w:r>
          </w:p>
        </w:tc>
        <w:tc>
          <w:tcPr>
            <w:tcW w:w="4225" w:type="dxa"/>
          </w:tcPr>
          <w:p w:rsidR="00FC6A14" w:rsidRPr="000D79EF" w:rsidRDefault="00FC6A14" w:rsidP="00084415">
            <w:pPr>
              <w:rPr>
                <w:rFonts w:cs="Times New Roman"/>
                <w:b/>
                <w:sz w:val="20"/>
                <w:szCs w:val="18"/>
              </w:rPr>
            </w:pPr>
            <w:r w:rsidRPr="000D79EF">
              <w:rPr>
                <w:rFonts w:cs="Times New Roman"/>
                <w:b/>
                <w:sz w:val="20"/>
                <w:szCs w:val="18"/>
              </w:rPr>
              <w:t>Range of Maximum Allowed Thresholds</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Germination Inhibition Assay </w:t>
            </w:r>
          </w:p>
        </w:tc>
        <w:tc>
          <w:tcPr>
            <w:tcW w:w="4225" w:type="dxa"/>
          </w:tcPr>
          <w:p w:rsidR="00FC6A14" w:rsidRPr="000D79EF" w:rsidRDefault="00FC6A14" w:rsidP="00084415">
            <w:pPr>
              <w:rPr>
                <w:rFonts w:cs="Times New Roman"/>
                <w:sz w:val="20"/>
                <w:szCs w:val="18"/>
              </w:rPr>
            </w:pPr>
            <w:r w:rsidRPr="000D79EF">
              <w:rPr>
                <w:rFonts w:cs="Times New Roman"/>
                <w:sz w:val="20"/>
                <w:szCs w:val="18"/>
              </w:rPr>
              <w:t>Pass/Fail</w:t>
            </w:r>
          </w:p>
        </w:tc>
      </w:tr>
      <w:tr w:rsidR="00FC6A14" w:rsidRPr="000D79EF" w:rsidTr="00084415">
        <w:trPr>
          <w:trHeight w:val="40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Polycyclic Aromatic Hydrocarbons (PAHs), total (sum of 16 US EPA PAHs) </w:t>
            </w:r>
          </w:p>
        </w:tc>
        <w:tc>
          <w:tcPr>
            <w:tcW w:w="4225" w:type="dxa"/>
          </w:tcPr>
          <w:p w:rsidR="00FC6A14" w:rsidRPr="000D79EF" w:rsidRDefault="00FC6A14" w:rsidP="00084415">
            <w:pPr>
              <w:rPr>
                <w:rFonts w:cs="Times New Roman"/>
                <w:sz w:val="20"/>
                <w:szCs w:val="18"/>
              </w:rPr>
            </w:pPr>
            <w:r w:rsidRPr="000D79EF">
              <w:rPr>
                <w:rFonts w:cs="Times New Roman"/>
                <w:sz w:val="20"/>
                <w:szCs w:val="18"/>
              </w:rPr>
              <w:t>6 – 300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Dioxins/Furans (PCDD/Fs)  </w:t>
            </w:r>
          </w:p>
        </w:tc>
        <w:tc>
          <w:tcPr>
            <w:tcW w:w="4225" w:type="dxa"/>
          </w:tcPr>
          <w:p w:rsidR="00FC6A14" w:rsidRPr="000D79EF" w:rsidRDefault="00FC6A14" w:rsidP="00084415">
            <w:pPr>
              <w:rPr>
                <w:rFonts w:cs="Times New Roman"/>
                <w:sz w:val="20"/>
                <w:szCs w:val="18"/>
              </w:rPr>
            </w:pPr>
            <w:r w:rsidRPr="000D79EF">
              <w:rPr>
                <w:rFonts w:cs="Times New Roman"/>
                <w:sz w:val="20"/>
                <w:szCs w:val="18"/>
              </w:rPr>
              <w:t>17 ng/kg WHOTEQ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Polychlorinated Biphenyls (PCBs) </w:t>
            </w:r>
          </w:p>
        </w:tc>
        <w:tc>
          <w:tcPr>
            <w:tcW w:w="4225" w:type="dxa"/>
          </w:tcPr>
          <w:p w:rsidR="00FC6A14" w:rsidRPr="000D79EF" w:rsidRDefault="00FC6A14" w:rsidP="00084415">
            <w:pPr>
              <w:rPr>
                <w:rFonts w:cs="Times New Roman"/>
                <w:sz w:val="20"/>
                <w:szCs w:val="18"/>
              </w:rPr>
            </w:pPr>
            <w:r w:rsidRPr="000D79EF">
              <w:rPr>
                <w:rFonts w:cs="Times New Roman"/>
                <w:sz w:val="20"/>
                <w:szCs w:val="18"/>
              </w:rPr>
              <w:t>0.2 – 1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Arsenic </w:t>
            </w:r>
          </w:p>
        </w:tc>
        <w:tc>
          <w:tcPr>
            <w:tcW w:w="4225" w:type="dxa"/>
          </w:tcPr>
          <w:p w:rsidR="00FC6A14" w:rsidRPr="000D79EF" w:rsidRDefault="00FC6A14" w:rsidP="00084415">
            <w:pPr>
              <w:rPr>
                <w:rFonts w:cs="Times New Roman"/>
                <w:sz w:val="20"/>
                <w:szCs w:val="18"/>
              </w:rPr>
            </w:pPr>
            <w:r w:rsidRPr="000D79EF">
              <w:rPr>
                <w:rFonts w:cs="Times New Roman"/>
                <w:sz w:val="20"/>
                <w:szCs w:val="18"/>
              </w:rPr>
              <w:t>13 – 100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Cadmium </w:t>
            </w:r>
          </w:p>
        </w:tc>
        <w:tc>
          <w:tcPr>
            <w:tcW w:w="4225" w:type="dxa"/>
          </w:tcPr>
          <w:p w:rsidR="00FC6A14" w:rsidRPr="000D79EF" w:rsidRDefault="00FC6A14" w:rsidP="00084415">
            <w:pPr>
              <w:rPr>
                <w:rFonts w:cs="Times New Roman"/>
                <w:sz w:val="20"/>
                <w:szCs w:val="18"/>
              </w:rPr>
            </w:pPr>
            <w:r w:rsidRPr="000D79EF">
              <w:rPr>
                <w:rFonts w:cs="Times New Roman"/>
                <w:sz w:val="20"/>
                <w:szCs w:val="18"/>
              </w:rPr>
              <w:t>1.4 – 39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Chromium </w:t>
            </w:r>
          </w:p>
        </w:tc>
        <w:tc>
          <w:tcPr>
            <w:tcW w:w="4225" w:type="dxa"/>
          </w:tcPr>
          <w:p w:rsidR="00FC6A14" w:rsidRPr="000D79EF" w:rsidRDefault="00FC6A14" w:rsidP="00084415">
            <w:pPr>
              <w:rPr>
                <w:rFonts w:cs="Times New Roman"/>
                <w:sz w:val="20"/>
                <w:szCs w:val="18"/>
              </w:rPr>
            </w:pPr>
            <w:r w:rsidRPr="000D79EF">
              <w:rPr>
                <w:rFonts w:cs="Times New Roman"/>
                <w:sz w:val="20"/>
                <w:szCs w:val="18"/>
              </w:rPr>
              <w:t>93 – 1200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Cobalt </w:t>
            </w:r>
          </w:p>
        </w:tc>
        <w:tc>
          <w:tcPr>
            <w:tcW w:w="4225" w:type="dxa"/>
          </w:tcPr>
          <w:p w:rsidR="00FC6A14" w:rsidRPr="000D79EF" w:rsidRDefault="00FC6A14" w:rsidP="00084415">
            <w:pPr>
              <w:rPr>
                <w:rFonts w:cs="Times New Roman"/>
                <w:sz w:val="20"/>
                <w:szCs w:val="18"/>
              </w:rPr>
            </w:pPr>
            <w:r w:rsidRPr="000D79EF">
              <w:rPr>
                <w:rFonts w:cs="Times New Roman"/>
                <w:sz w:val="20"/>
                <w:szCs w:val="18"/>
              </w:rPr>
              <w:t>34 – 100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Copper </w:t>
            </w:r>
          </w:p>
        </w:tc>
        <w:tc>
          <w:tcPr>
            <w:tcW w:w="4225" w:type="dxa"/>
          </w:tcPr>
          <w:p w:rsidR="00FC6A14" w:rsidRPr="000D79EF" w:rsidRDefault="00FC6A14" w:rsidP="00084415">
            <w:pPr>
              <w:rPr>
                <w:rFonts w:cs="Times New Roman"/>
                <w:sz w:val="20"/>
                <w:szCs w:val="18"/>
              </w:rPr>
            </w:pPr>
            <w:r w:rsidRPr="000D79EF">
              <w:rPr>
                <w:rFonts w:cs="Times New Roman"/>
                <w:sz w:val="20"/>
                <w:szCs w:val="18"/>
              </w:rPr>
              <w:t>143 – 6000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Lead </w:t>
            </w:r>
          </w:p>
        </w:tc>
        <w:tc>
          <w:tcPr>
            <w:tcW w:w="4225" w:type="dxa"/>
          </w:tcPr>
          <w:p w:rsidR="00FC6A14" w:rsidRPr="000D79EF" w:rsidRDefault="00FC6A14" w:rsidP="00084415">
            <w:pPr>
              <w:rPr>
                <w:rFonts w:cs="Times New Roman"/>
                <w:sz w:val="20"/>
                <w:szCs w:val="18"/>
              </w:rPr>
            </w:pPr>
            <w:r w:rsidRPr="000D79EF">
              <w:rPr>
                <w:rFonts w:cs="Times New Roman"/>
                <w:sz w:val="20"/>
                <w:szCs w:val="18"/>
              </w:rPr>
              <w:t>121 – 300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Mercury </w:t>
            </w:r>
          </w:p>
        </w:tc>
        <w:tc>
          <w:tcPr>
            <w:tcW w:w="4225" w:type="dxa"/>
          </w:tcPr>
          <w:p w:rsidR="00FC6A14" w:rsidRPr="000D79EF" w:rsidRDefault="00FC6A14" w:rsidP="00084415">
            <w:pPr>
              <w:rPr>
                <w:rFonts w:cs="Times New Roman"/>
                <w:sz w:val="20"/>
                <w:szCs w:val="18"/>
              </w:rPr>
            </w:pPr>
            <w:r w:rsidRPr="000D79EF">
              <w:rPr>
                <w:rFonts w:cs="Times New Roman"/>
                <w:sz w:val="20"/>
                <w:szCs w:val="18"/>
              </w:rPr>
              <w:t>1 – 17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Molybdenum </w:t>
            </w:r>
          </w:p>
        </w:tc>
        <w:tc>
          <w:tcPr>
            <w:tcW w:w="4225" w:type="dxa"/>
          </w:tcPr>
          <w:p w:rsidR="00FC6A14" w:rsidRPr="000D79EF" w:rsidRDefault="00FC6A14" w:rsidP="00084415">
            <w:pPr>
              <w:rPr>
                <w:rFonts w:cs="Times New Roman"/>
                <w:sz w:val="20"/>
                <w:szCs w:val="18"/>
              </w:rPr>
            </w:pPr>
            <w:r w:rsidRPr="000D79EF">
              <w:rPr>
                <w:rFonts w:cs="Times New Roman"/>
                <w:sz w:val="20"/>
                <w:szCs w:val="18"/>
              </w:rPr>
              <w:t>5 – 75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Nickel </w:t>
            </w:r>
          </w:p>
        </w:tc>
        <w:tc>
          <w:tcPr>
            <w:tcW w:w="4225" w:type="dxa"/>
          </w:tcPr>
          <w:p w:rsidR="00FC6A14" w:rsidRPr="000D79EF" w:rsidRDefault="00FC6A14" w:rsidP="00084415">
            <w:pPr>
              <w:rPr>
                <w:rFonts w:cs="Times New Roman"/>
                <w:sz w:val="20"/>
                <w:szCs w:val="18"/>
              </w:rPr>
            </w:pPr>
            <w:r w:rsidRPr="000D79EF">
              <w:rPr>
                <w:rFonts w:cs="Times New Roman"/>
                <w:sz w:val="20"/>
                <w:szCs w:val="18"/>
              </w:rPr>
              <w:t>47 – 420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Selenium </w:t>
            </w:r>
          </w:p>
        </w:tc>
        <w:tc>
          <w:tcPr>
            <w:tcW w:w="4225" w:type="dxa"/>
          </w:tcPr>
          <w:p w:rsidR="00FC6A14" w:rsidRPr="000D79EF" w:rsidRDefault="00FC6A14" w:rsidP="00084415">
            <w:pPr>
              <w:rPr>
                <w:rFonts w:cs="Times New Roman"/>
                <w:sz w:val="20"/>
                <w:szCs w:val="18"/>
              </w:rPr>
            </w:pPr>
            <w:r w:rsidRPr="000D79EF">
              <w:rPr>
                <w:rFonts w:cs="Times New Roman"/>
                <w:sz w:val="20"/>
                <w:szCs w:val="18"/>
              </w:rPr>
              <w:t>2 – 200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Zinc </w:t>
            </w:r>
          </w:p>
        </w:tc>
        <w:tc>
          <w:tcPr>
            <w:tcW w:w="4225" w:type="dxa"/>
          </w:tcPr>
          <w:p w:rsidR="00FC6A14" w:rsidRPr="000D79EF" w:rsidRDefault="00FC6A14" w:rsidP="00084415">
            <w:pPr>
              <w:rPr>
                <w:rFonts w:cs="Times New Roman"/>
                <w:sz w:val="20"/>
                <w:szCs w:val="18"/>
              </w:rPr>
            </w:pPr>
            <w:r w:rsidRPr="000D79EF">
              <w:rPr>
                <w:rFonts w:cs="Times New Roman"/>
                <w:sz w:val="20"/>
                <w:szCs w:val="18"/>
              </w:rPr>
              <w:t>416 – 7400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Boron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 dry wt</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Chlorine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 dry wt</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Sodium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 dry wt</w:t>
            </w:r>
          </w:p>
        </w:tc>
      </w:tr>
      <w:tr w:rsidR="00FC6A14" w:rsidRPr="000D79EF" w:rsidTr="00084415">
        <w:trPr>
          <w:trHeight w:val="418"/>
        </w:trPr>
        <w:tc>
          <w:tcPr>
            <w:tcW w:w="4478" w:type="dxa"/>
          </w:tcPr>
          <w:p w:rsidR="00FC6A14" w:rsidRPr="000D79EF" w:rsidRDefault="00FC6A14" w:rsidP="00084415">
            <w:pPr>
              <w:rPr>
                <w:rFonts w:cs="Times New Roman"/>
                <w:sz w:val="20"/>
                <w:szCs w:val="18"/>
              </w:rPr>
            </w:pPr>
            <w:r w:rsidRPr="000D79EF">
              <w:rPr>
                <w:rFonts w:cs="Times New Roman"/>
                <w:b/>
                <w:sz w:val="20"/>
                <w:szCs w:val="18"/>
              </w:rPr>
              <w:t>Product Criteria- Category C (Advanced Analysis and Soil Enhancement Properties)</w:t>
            </w:r>
          </w:p>
        </w:tc>
        <w:tc>
          <w:tcPr>
            <w:tcW w:w="4225" w:type="dxa"/>
          </w:tcPr>
          <w:p w:rsidR="00FC6A14" w:rsidRPr="000D79EF" w:rsidRDefault="00FC6A14" w:rsidP="00084415">
            <w:pPr>
              <w:rPr>
                <w:rFonts w:cs="Times New Roman"/>
                <w:sz w:val="20"/>
                <w:szCs w:val="18"/>
              </w:rPr>
            </w:pP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Mineral (available) Nitrogen (ammonium and nitrate)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Total Phosphorus &amp; Potassium*</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Available Phosphorous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Total Calcium, Magnesium and Sulfur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Available Calcium, Magnesium and Sulfate-S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mg/kg</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Volatile Matter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 of total mass, dry basis</w:t>
            </w:r>
          </w:p>
        </w:tc>
      </w:tr>
      <w:tr w:rsidR="00FC6A14" w:rsidRPr="000D79EF" w:rsidTr="00084415">
        <w:trPr>
          <w:trHeight w:val="208"/>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Total Surface Area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w:t>
            </w:r>
            <w:r w:rsidRPr="000D79EF">
              <w:rPr>
                <w:rFonts w:cs="Times New Roman"/>
                <w:sz w:val="20"/>
                <w:szCs w:val="18"/>
                <w:vertAlign w:val="superscript"/>
              </w:rPr>
              <w:t>2</w:t>
            </w:r>
            <w:r w:rsidRPr="000D79EF">
              <w:rPr>
                <w:rFonts w:cs="Times New Roman"/>
                <w:sz w:val="20"/>
                <w:szCs w:val="18"/>
              </w:rPr>
              <w:t xml:space="preserve"> /g</w:t>
            </w:r>
          </w:p>
        </w:tc>
      </w:tr>
      <w:tr w:rsidR="00FC6A14" w:rsidRPr="000D79EF" w:rsidTr="00084415">
        <w:trPr>
          <w:trHeight w:val="193"/>
        </w:trPr>
        <w:tc>
          <w:tcPr>
            <w:tcW w:w="4478" w:type="dxa"/>
          </w:tcPr>
          <w:p w:rsidR="00FC6A14" w:rsidRPr="000D79EF" w:rsidRDefault="00FC6A14" w:rsidP="00084415">
            <w:pPr>
              <w:rPr>
                <w:rFonts w:cs="Times New Roman"/>
                <w:sz w:val="20"/>
                <w:szCs w:val="18"/>
              </w:rPr>
            </w:pPr>
            <w:r w:rsidRPr="000D79EF">
              <w:rPr>
                <w:rFonts w:cs="Times New Roman"/>
                <w:sz w:val="20"/>
                <w:szCs w:val="18"/>
              </w:rPr>
              <w:t xml:space="preserve">External Surface Area </w:t>
            </w:r>
          </w:p>
        </w:tc>
        <w:tc>
          <w:tcPr>
            <w:tcW w:w="4225" w:type="dxa"/>
          </w:tcPr>
          <w:p w:rsidR="00FC6A14" w:rsidRPr="000D79EF" w:rsidRDefault="00FC6A14" w:rsidP="00084415">
            <w:pPr>
              <w:rPr>
                <w:rFonts w:cs="Times New Roman"/>
                <w:sz w:val="20"/>
                <w:szCs w:val="18"/>
              </w:rPr>
            </w:pPr>
            <w:r w:rsidRPr="000D79EF">
              <w:rPr>
                <w:rFonts w:cs="Times New Roman"/>
                <w:sz w:val="20"/>
                <w:szCs w:val="18"/>
              </w:rPr>
              <w:t>Declaration m</w:t>
            </w:r>
            <w:r w:rsidRPr="000D79EF">
              <w:rPr>
                <w:rFonts w:cs="Times New Roman"/>
                <w:sz w:val="20"/>
                <w:szCs w:val="18"/>
                <w:vertAlign w:val="superscript"/>
              </w:rPr>
              <w:t>2</w:t>
            </w:r>
            <w:r w:rsidRPr="000D79EF">
              <w:rPr>
                <w:rFonts w:cs="Times New Roman"/>
                <w:sz w:val="20"/>
                <w:szCs w:val="18"/>
              </w:rPr>
              <w:t xml:space="preserve"> /g</w:t>
            </w:r>
          </w:p>
        </w:tc>
      </w:tr>
    </w:tbl>
    <w:p w:rsidR="00FC6A14" w:rsidRPr="000D79EF" w:rsidRDefault="00FC6A14" w:rsidP="00FC6A14">
      <w:pPr>
        <w:spacing w:line="240" w:lineRule="auto"/>
        <w:jc w:val="both"/>
        <w:rPr>
          <w:rFonts w:cs="Times New Roman"/>
          <w:szCs w:val="24"/>
        </w:rPr>
        <w:sectPr w:rsidR="00FC6A14" w:rsidRPr="000D79EF" w:rsidSect="005A7236">
          <w:pgSz w:w="12240" w:h="15840"/>
          <w:pgMar w:top="1440" w:right="1797" w:bottom="1440" w:left="1797" w:header="709" w:footer="709" w:gutter="0"/>
          <w:lnNumType w:countBy="1" w:restart="continuous"/>
          <w:cols w:space="708"/>
          <w:docGrid w:linePitch="360"/>
        </w:sectPr>
      </w:pPr>
    </w:p>
    <w:p w:rsidR="00FC6A14" w:rsidRPr="000D79EF" w:rsidRDefault="00FC6A14" w:rsidP="00FC6A14">
      <w:pPr>
        <w:spacing w:line="240" w:lineRule="auto"/>
        <w:jc w:val="both"/>
        <w:rPr>
          <w:rFonts w:cs="Times New Roman"/>
          <w:szCs w:val="24"/>
        </w:rPr>
      </w:pPr>
      <w:r w:rsidRPr="000D79EF">
        <w:rPr>
          <w:rFonts w:cs="Times New Roman"/>
          <w:szCs w:val="24"/>
        </w:rPr>
        <w:lastRenderedPageBreak/>
        <w:t>Table S2 Characteristics of activated charcoal (</w:t>
      </w:r>
      <w:r w:rsidRPr="000D79EF">
        <w:rPr>
          <w:rFonts w:cs="Times New Roman"/>
          <w:color w:val="5B9BD5" w:themeColor="accent1"/>
          <w:szCs w:val="24"/>
        </w:rPr>
        <w:t>FAO/WHO, 2010</w:t>
      </w:r>
      <w:r w:rsidRPr="000D79EF">
        <w:rPr>
          <w:rFonts w:cs="Times New Roman"/>
          <w:szCs w:val="24"/>
        </w:rPr>
        <w:t>)</w:t>
      </w:r>
    </w:p>
    <w:tbl>
      <w:tblPr>
        <w:tblStyle w:val="TableGrid"/>
        <w:tblW w:w="0" w:type="auto"/>
        <w:tblLook w:val="04A0" w:firstRow="1" w:lastRow="0" w:firstColumn="1" w:lastColumn="0" w:noHBand="0" w:noVBand="1"/>
      </w:tblPr>
      <w:tblGrid>
        <w:gridCol w:w="3114"/>
        <w:gridCol w:w="5522"/>
      </w:tblGrid>
      <w:tr w:rsidR="00FC6A14" w:rsidRPr="000D79EF" w:rsidTr="00084415">
        <w:trPr>
          <w:trHeight w:val="394"/>
        </w:trPr>
        <w:tc>
          <w:tcPr>
            <w:tcW w:w="8636" w:type="dxa"/>
            <w:gridSpan w:val="2"/>
          </w:tcPr>
          <w:p w:rsidR="00FC6A14" w:rsidRPr="000D79EF" w:rsidRDefault="00FC6A14" w:rsidP="00084415">
            <w:pPr>
              <w:jc w:val="both"/>
              <w:rPr>
                <w:rFonts w:cs="Times New Roman"/>
                <w:b/>
                <w:sz w:val="22"/>
                <w:szCs w:val="24"/>
              </w:rPr>
            </w:pPr>
            <w:r w:rsidRPr="000D79EF">
              <w:rPr>
                <w:rFonts w:cs="Times New Roman"/>
                <w:b/>
                <w:sz w:val="22"/>
                <w:szCs w:val="24"/>
              </w:rPr>
              <w:t>Definition</w:t>
            </w:r>
          </w:p>
        </w:tc>
      </w:tr>
      <w:tr w:rsidR="00FC6A14" w:rsidRPr="000D79EF" w:rsidTr="00084415">
        <w:trPr>
          <w:trHeight w:val="394"/>
        </w:trPr>
        <w:tc>
          <w:tcPr>
            <w:tcW w:w="8636" w:type="dxa"/>
            <w:gridSpan w:val="2"/>
          </w:tcPr>
          <w:p w:rsidR="00FC6A14" w:rsidRPr="000D79EF" w:rsidRDefault="00FC6A14" w:rsidP="00084415">
            <w:pPr>
              <w:jc w:val="both"/>
              <w:rPr>
                <w:rFonts w:cs="Times New Roman"/>
                <w:b/>
                <w:sz w:val="22"/>
                <w:szCs w:val="24"/>
              </w:rPr>
            </w:pPr>
            <w:r w:rsidRPr="000D79EF">
              <w:rPr>
                <w:rFonts w:cs="Times New Roman"/>
                <w:sz w:val="22"/>
                <w:szCs w:val="24"/>
              </w:rPr>
              <w:t>A solid, porous, carbonaceous material prepared by carbonizing and activating organic substances. The raw materials, which include sawdust, peat, lignite, coal, cellulose residues, coconut shells, petroleum coke, etc., may be carbonized and activated at high temperature with or without the addition of inorganic salts in a stream of activating gases such as steam or carbon dioxide. Alternatively, carbonaceous matter may be treated with a chemical activating agent such as phosphoric acid or zinc chloride and the mixture carbonized at an elevated temperature, followed by removal of the chemical activating agent by water washing.</w:t>
            </w:r>
          </w:p>
        </w:tc>
      </w:tr>
      <w:tr w:rsidR="00FC6A14" w:rsidRPr="000D79EF" w:rsidTr="00084415">
        <w:trPr>
          <w:trHeight w:val="394"/>
        </w:trPr>
        <w:tc>
          <w:tcPr>
            <w:tcW w:w="8636" w:type="dxa"/>
            <w:gridSpan w:val="2"/>
          </w:tcPr>
          <w:p w:rsidR="00FC6A14" w:rsidRPr="000D79EF" w:rsidRDefault="00FC6A14" w:rsidP="00084415">
            <w:pPr>
              <w:jc w:val="both"/>
              <w:rPr>
                <w:rFonts w:cs="Times New Roman"/>
                <w:b/>
                <w:sz w:val="22"/>
                <w:szCs w:val="24"/>
              </w:rPr>
            </w:pPr>
            <w:r w:rsidRPr="000D79EF">
              <w:rPr>
                <w:rFonts w:cs="Times New Roman"/>
                <w:b/>
                <w:sz w:val="22"/>
                <w:szCs w:val="24"/>
              </w:rPr>
              <w:t>Identification</w:t>
            </w:r>
          </w:p>
        </w:tc>
      </w:tr>
      <w:tr w:rsidR="00FC6A14" w:rsidRPr="000D79EF" w:rsidTr="00084415">
        <w:trPr>
          <w:trHeight w:val="209"/>
        </w:trPr>
        <w:tc>
          <w:tcPr>
            <w:tcW w:w="3114" w:type="dxa"/>
          </w:tcPr>
          <w:p w:rsidR="00FC6A14" w:rsidRPr="000D79EF" w:rsidRDefault="00FC6A14" w:rsidP="00084415">
            <w:pPr>
              <w:jc w:val="both"/>
              <w:rPr>
                <w:rFonts w:cs="Times New Roman"/>
                <w:sz w:val="22"/>
                <w:szCs w:val="24"/>
              </w:rPr>
            </w:pPr>
            <w:r w:rsidRPr="000D79EF">
              <w:rPr>
                <w:rFonts w:cs="Times New Roman"/>
                <w:sz w:val="22"/>
                <w:szCs w:val="24"/>
              </w:rPr>
              <w:t xml:space="preserve">Solubility </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Adsorbent, decolourizing agent</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 xml:space="preserve">Adsorption </w:t>
            </w:r>
          </w:p>
          <w:p w:rsidR="00FC6A14" w:rsidRPr="000D79EF" w:rsidRDefault="00FC6A14" w:rsidP="00084415">
            <w:pPr>
              <w:jc w:val="both"/>
              <w:rPr>
                <w:rFonts w:cs="Times New Roman"/>
                <w:sz w:val="22"/>
                <w:szCs w:val="24"/>
              </w:rPr>
            </w:pP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The colour of the carbon treated iodine solution shall be lighter in colour than that of the reference solution, indicating the adsorptivity of the sample.</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Adsorption power</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 xml:space="preserve">Not less than 90% and not more than 110% of the value stated on label. </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Loss on drying (Vol. 4)</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 xml:space="preserve">Not more than 15% (120º, 4 h) </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 xml:space="preserve">Sulfide compounds </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To 1.0 g of the sample in a conical flask add 5 ml of 1 N hydrochloric acid and 20 ml of water. Heat to boiling. The fumes released do not turn lead acetate paper brown. (Lead acetate paper is prepared by saturating filter paper with lead acetate TS and drying the paper at 100º).</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Acid soluble substances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 xml:space="preserve">Not more than 3% </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Sulfated ash</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5%</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Water extractable substances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4%</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Alcohol soluble substances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0.5%</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Alkali soluble coloured substances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To 0.25 g of sample add 10 ml of 2 N sodium hydroxide and boil for 1 min. Cool, filter and dilute the filtrate to 10 ml with water. The colour of sample solution shall not be more intense than that of the reference solution.</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Cyanogen compounds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Mix 5 g of sample with 50 ml of water and 2 g of tartaric acid. Distil the mixture, collecting 25 ml of distillate below the surface of a mixture of 2 ml of sodium hydroxide TS and 10 ml of water contained in a small flask placed in an ice bath. Dilute the distillate to 50 ml with water, and mix. Add 12 drops of ferrous sulfate TS to 25 ml of the diluted distillate, heat almost to boiling, cool, and add 1 ml of hydrochloric acid. No blue colour is produced.</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Higher aromatic hydrocarbons</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Extract 5 g of the sample with about 45 ml of cyclohexane in a continuous extraction apparatus for 2 h. Collect the extract and dilute to 50 ml with cyclohexane. Examine under ultraviolet light at 365 nm. The colour or fluorescence of the solution is not more intense than that of a 83 ng/ml solution of quinine prepared in 0.01N sulfuric acid, examined under the same conditions.</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 xml:space="preserve">Arsenic </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3 mg/kg</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 xml:space="preserve">Lead </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5 mg/kg</w:t>
            </w:r>
          </w:p>
        </w:tc>
      </w:tr>
      <w:tr w:rsidR="00FC6A14" w:rsidRPr="000D79EF" w:rsidTr="00084415">
        <w:tc>
          <w:tcPr>
            <w:tcW w:w="3114" w:type="dxa"/>
          </w:tcPr>
          <w:p w:rsidR="00FC6A14" w:rsidRPr="000D79EF" w:rsidRDefault="00FC6A14" w:rsidP="00084415">
            <w:pPr>
              <w:jc w:val="both"/>
              <w:rPr>
                <w:rFonts w:cs="Times New Roman"/>
                <w:sz w:val="22"/>
                <w:szCs w:val="24"/>
              </w:rPr>
            </w:pPr>
            <w:r w:rsidRPr="000D79EF">
              <w:rPr>
                <w:rFonts w:cs="Times New Roman"/>
                <w:sz w:val="22"/>
                <w:szCs w:val="24"/>
              </w:rPr>
              <w:t>Zinc</w:t>
            </w:r>
          </w:p>
        </w:tc>
        <w:tc>
          <w:tcPr>
            <w:tcW w:w="5522" w:type="dxa"/>
          </w:tcPr>
          <w:p w:rsidR="00FC6A14" w:rsidRPr="000D79EF" w:rsidRDefault="00FC6A14" w:rsidP="00084415">
            <w:pPr>
              <w:jc w:val="both"/>
              <w:rPr>
                <w:rFonts w:cs="Times New Roman"/>
                <w:sz w:val="22"/>
                <w:szCs w:val="24"/>
              </w:rPr>
            </w:pPr>
            <w:r w:rsidRPr="000D79EF">
              <w:rPr>
                <w:rFonts w:cs="Times New Roman"/>
                <w:sz w:val="22"/>
                <w:szCs w:val="24"/>
              </w:rPr>
              <w:t>Not more than 25 mg/kg</w:t>
            </w:r>
          </w:p>
        </w:tc>
      </w:tr>
    </w:tbl>
    <w:p w:rsidR="00FC6A14" w:rsidRPr="000D79EF" w:rsidRDefault="00FC6A14" w:rsidP="00FC6A14">
      <w:pPr>
        <w:spacing w:line="240" w:lineRule="auto"/>
        <w:jc w:val="both"/>
        <w:rPr>
          <w:rFonts w:cs="Times New Roman"/>
          <w:szCs w:val="24"/>
        </w:rPr>
        <w:sectPr w:rsidR="00FC6A14" w:rsidRPr="000D79EF" w:rsidSect="005A7236">
          <w:pgSz w:w="12240" w:h="15840"/>
          <w:pgMar w:top="1440" w:right="1797" w:bottom="1440" w:left="1797" w:header="709" w:footer="709" w:gutter="0"/>
          <w:lnNumType w:countBy="1" w:restart="continuous"/>
          <w:cols w:space="708"/>
          <w:docGrid w:linePitch="360"/>
        </w:sectPr>
      </w:pPr>
    </w:p>
    <w:p w:rsidR="00FC6A14" w:rsidRPr="000D79EF" w:rsidRDefault="00FC6A14" w:rsidP="00FC6A14">
      <w:pPr>
        <w:spacing w:line="240" w:lineRule="auto"/>
        <w:jc w:val="both"/>
        <w:rPr>
          <w:rFonts w:cs="Times New Roman"/>
          <w:szCs w:val="24"/>
        </w:rPr>
      </w:pPr>
      <w:r w:rsidRPr="000D79EF">
        <w:rPr>
          <w:rFonts w:cs="Times New Roman"/>
          <w:szCs w:val="24"/>
        </w:rPr>
        <w:lastRenderedPageBreak/>
        <w:t>Table S3 Positive list of biomasses feedstock approved for use in producing biochar (</w:t>
      </w:r>
      <w:r w:rsidRPr="000D79EF">
        <w:rPr>
          <w:rFonts w:cs="Times New Roman"/>
          <w:color w:val="5B9BD5" w:themeColor="accent1"/>
          <w:szCs w:val="24"/>
        </w:rPr>
        <w:t>EBF, 2012</w:t>
      </w:r>
      <w:r w:rsidRPr="000D79EF">
        <w:rPr>
          <w:rFonts w:cs="Times New Roman"/>
          <w:szCs w:val="24"/>
        </w:rPr>
        <w:t>)</w:t>
      </w:r>
    </w:p>
    <w:tbl>
      <w:tblPr>
        <w:tblStyle w:val="TableGrid"/>
        <w:tblW w:w="4969" w:type="pct"/>
        <w:tblLayout w:type="fixed"/>
        <w:tblLook w:val="04A0" w:firstRow="1" w:lastRow="0" w:firstColumn="1" w:lastColumn="0" w:noHBand="0" w:noVBand="1"/>
      </w:tblPr>
      <w:tblGrid>
        <w:gridCol w:w="1681"/>
        <w:gridCol w:w="2115"/>
        <w:gridCol w:w="2381"/>
        <w:gridCol w:w="1411"/>
        <w:gridCol w:w="994"/>
      </w:tblGrid>
      <w:tr w:rsidR="00FC6A14" w:rsidRPr="000D79EF" w:rsidTr="00084415">
        <w:trPr>
          <w:trHeight w:val="188"/>
        </w:trPr>
        <w:tc>
          <w:tcPr>
            <w:tcW w:w="979" w:type="pct"/>
            <w:hideMark/>
          </w:tcPr>
          <w:p w:rsidR="00FC6A14" w:rsidRPr="000D79EF" w:rsidRDefault="00FC6A14" w:rsidP="00084415">
            <w:pPr>
              <w:rPr>
                <w:rFonts w:eastAsia="Times New Roman" w:cs="Times New Roman"/>
                <w:b/>
                <w:bCs/>
                <w:color w:val="000000"/>
                <w:sz w:val="16"/>
                <w:szCs w:val="20"/>
                <w:lang w:eastAsia="zh-CN"/>
              </w:rPr>
            </w:pPr>
            <w:r w:rsidRPr="000D79EF">
              <w:rPr>
                <w:rFonts w:eastAsia="Times New Roman" w:cs="Times New Roman"/>
                <w:b/>
                <w:bCs/>
                <w:color w:val="000000"/>
                <w:sz w:val="16"/>
                <w:szCs w:val="20"/>
                <w:lang w:eastAsia="zh-CN"/>
              </w:rPr>
              <w:t>Origin</w:t>
            </w:r>
          </w:p>
        </w:tc>
        <w:tc>
          <w:tcPr>
            <w:tcW w:w="1232" w:type="pct"/>
            <w:hideMark/>
          </w:tcPr>
          <w:p w:rsidR="00FC6A14" w:rsidRPr="000D79EF" w:rsidRDefault="00FC6A14" w:rsidP="00084415">
            <w:pPr>
              <w:rPr>
                <w:rFonts w:eastAsia="Times New Roman" w:cs="Times New Roman"/>
                <w:b/>
                <w:bCs/>
                <w:color w:val="000000"/>
                <w:sz w:val="16"/>
                <w:szCs w:val="20"/>
                <w:lang w:eastAsia="zh-CN"/>
              </w:rPr>
            </w:pPr>
            <w:r w:rsidRPr="000D79EF">
              <w:rPr>
                <w:rFonts w:eastAsia="Times New Roman" w:cs="Times New Roman"/>
                <w:b/>
                <w:bCs/>
                <w:color w:val="000000"/>
                <w:sz w:val="16"/>
                <w:szCs w:val="20"/>
                <w:lang w:eastAsia="zh-CN"/>
              </w:rPr>
              <w:t xml:space="preserve">biomass feedstock </w:t>
            </w:r>
          </w:p>
        </w:tc>
        <w:tc>
          <w:tcPr>
            <w:tcW w:w="1387" w:type="pct"/>
            <w:hideMark/>
          </w:tcPr>
          <w:p w:rsidR="00FC6A14" w:rsidRPr="000D79EF" w:rsidRDefault="00FC6A14" w:rsidP="00084415">
            <w:pPr>
              <w:rPr>
                <w:rFonts w:eastAsia="Times New Roman" w:cs="Times New Roman"/>
                <w:b/>
                <w:bCs/>
                <w:color w:val="000000"/>
                <w:sz w:val="16"/>
                <w:szCs w:val="20"/>
                <w:lang w:eastAsia="zh-CN"/>
              </w:rPr>
            </w:pPr>
            <w:r w:rsidRPr="000D79EF">
              <w:rPr>
                <w:rFonts w:eastAsia="Times New Roman" w:cs="Times New Roman"/>
                <w:b/>
                <w:bCs/>
                <w:color w:val="000000"/>
                <w:sz w:val="16"/>
                <w:szCs w:val="20"/>
                <w:lang w:eastAsia="zh-CN"/>
              </w:rPr>
              <w:t>Special requirements for basic grade biochar</w:t>
            </w:r>
          </w:p>
        </w:tc>
        <w:tc>
          <w:tcPr>
            <w:tcW w:w="822" w:type="pct"/>
            <w:hideMark/>
          </w:tcPr>
          <w:p w:rsidR="00FC6A14" w:rsidRPr="000D79EF" w:rsidRDefault="00FC6A14" w:rsidP="00084415">
            <w:pPr>
              <w:rPr>
                <w:rFonts w:eastAsia="Times New Roman" w:cs="Times New Roman"/>
                <w:b/>
                <w:bCs/>
                <w:color w:val="000000"/>
                <w:sz w:val="16"/>
                <w:szCs w:val="20"/>
                <w:lang w:eastAsia="zh-CN"/>
              </w:rPr>
            </w:pPr>
            <w:r w:rsidRPr="000D79EF">
              <w:rPr>
                <w:rFonts w:eastAsia="Times New Roman" w:cs="Times New Roman"/>
                <w:b/>
                <w:bCs/>
                <w:color w:val="000000"/>
                <w:sz w:val="16"/>
                <w:szCs w:val="20"/>
                <w:lang w:eastAsia="zh-CN"/>
              </w:rPr>
              <w:t>Special requirements for premium grade biochar</w:t>
            </w:r>
          </w:p>
        </w:tc>
        <w:tc>
          <w:tcPr>
            <w:tcW w:w="579" w:type="pct"/>
            <w:hideMark/>
          </w:tcPr>
          <w:p w:rsidR="00FC6A14" w:rsidRPr="000D79EF" w:rsidRDefault="00FC6A14" w:rsidP="00084415">
            <w:pPr>
              <w:rPr>
                <w:rFonts w:eastAsia="Times New Roman" w:cs="Times New Roman"/>
                <w:b/>
                <w:bCs/>
                <w:color w:val="000000"/>
                <w:sz w:val="16"/>
                <w:szCs w:val="20"/>
                <w:lang w:eastAsia="zh-CN"/>
              </w:rPr>
            </w:pPr>
            <w:r w:rsidRPr="000D79EF">
              <w:rPr>
                <w:rFonts w:eastAsia="Times New Roman" w:cs="Times New Roman"/>
                <w:b/>
                <w:bCs/>
                <w:color w:val="000000"/>
                <w:sz w:val="16"/>
                <w:szCs w:val="20"/>
                <w:lang w:eastAsia="zh-CN"/>
              </w:rPr>
              <w:t>Biomass for</w:t>
            </w:r>
            <w:r w:rsidRPr="000D79EF">
              <w:rPr>
                <w:rFonts w:eastAsia="Times New Roman" w:cs="Times New Roman"/>
                <w:b/>
                <w:bCs/>
                <w:color w:val="000000"/>
                <w:sz w:val="16"/>
                <w:szCs w:val="20"/>
                <w:lang w:eastAsia="zh-CN"/>
              </w:rPr>
              <w:br/>
              <w:t>woodchar</w:t>
            </w:r>
          </w:p>
        </w:tc>
      </w:tr>
      <w:tr w:rsidR="00FC6A14" w:rsidRPr="000D79EF" w:rsidTr="00084415">
        <w:trPr>
          <w:trHeight w:val="377"/>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 xml:space="preserve">Local waste collection services with waste separation </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Biodegradable waste with/without kitchen waste, and/or leftovers</w:t>
            </w:r>
          </w:p>
        </w:tc>
        <w:tc>
          <w:tcPr>
            <w:tcW w:w="1387" w:type="pct"/>
            <w:hideMark/>
          </w:tcPr>
          <w:p w:rsidR="00FC6A14" w:rsidRPr="000D79EF" w:rsidRDefault="00FC6A14" w:rsidP="00084415">
            <w:pPr>
              <w:rPr>
                <w:rFonts w:eastAsia="Times New Roman" w:cs="Times New Roman"/>
                <w:color w:val="000000"/>
                <w:sz w:val="16"/>
                <w:szCs w:val="20"/>
                <w:lang w:eastAsia="zh-CN"/>
              </w:rPr>
            </w:pPr>
          </w:p>
        </w:tc>
        <w:tc>
          <w:tcPr>
            <w:tcW w:w="822" w:type="pct"/>
            <w:hideMark/>
          </w:tcPr>
          <w:p w:rsidR="00FC6A14" w:rsidRPr="000D79EF" w:rsidRDefault="00FC6A14" w:rsidP="00084415">
            <w:pPr>
              <w:rPr>
                <w:rFonts w:eastAsia="Times New Roman" w:cs="Times New Roman"/>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545"/>
        </w:trPr>
        <w:tc>
          <w:tcPr>
            <w:tcW w:w="979" w:type="pct"/>
            <w:vMerge w:val="restar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Garden waste</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Leaves, Flowers, Vegetables</w:t>
            </w:r>
          </w:p>
          <w:p w:rsidR="00FC6A14" w:rsidRPr="000D79EF" w:rsidRDefault="00FC6A14" w:rsidP="00084415">
            <w:pPr>
              <w:rPr>
                <w:rFonts w:eastAsia="Times New Roman" w:cs="Times New Roman"/>
                <w:color w:val="000000"/>
                <w:sz w:val="16"/>
                <w:szCs w:val="20"/>
                <w:lang w:eastAsia="zh-CN"/>
              </w:rPr>
            </w:pPr>
          </w:p>
        </w:tc>
        <w:tc>
          <w:tcPr>
            <w:tcW w:w="1387"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Not street cleaning waste</w:t>
            </w:r>
            <w:r w:rsidRPr="000D79EF">
              <w:rPr>
                <w:rFonts w:eastAsia="Times New Roman" w:cs="Times New Roman"/>
                <w:color w:val="000000"/>
                <w:sz w:val="16"/>
                <w:szCs w:val="20"/>
                <w:lang w:eastAsia="zh-CN"/>
              </w:rPr>
              <w:br/>
              <w:t>Only waste not / no longer usable as animal feed</w:t>
            </w:r>
          </w:p>
        </w:tc>
        <w:tc>
          <w:tcPr>
            <w:tcW w:w="822" w:type="pct"/>
            <w:hideMark/>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r w:rsidRPr="000D79EF">
              <w:rPr>
                <w:rFonts w:eastAsia="Times New Roman" w:cs="Times New Roman"/>
                <w:sz w:val="16"/>
                <w:szCs w:val="20"/>
                <w:lang w:eastAsia="zh-CN"/>
              </w:rPr>
              <w:t>Yes</w:t>
            </w:r>
          </w:p>
        </w:tc>
      </w:tr>
      <w:tr w:rsidR="00FC6A14" w:rsidRPr="000D79EF" w:rsidTr="00084415">
        <w:trPr>
          <w:trHeight w:val="401"/>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Roots</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Attached soil is deemed an additive and must not account for more than 10% of DM</w:t>
            </w: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r w:rsidRPr="000D79EF">
              <w:rPr>
                <w:rFonts w:eastAsia="Times New Roman" w:cs="Times New Roman"/>
                <w:sz w:val="16"/>
                <w:szCs w:val="20"/>
                <w:lang w:eastAsia="zh-CN"/>
              </w:rPr>
              <w:t>Yes</w:t>
            </w:r>
          </w:p>
        </w:tc>
      </w:tr>
      <w:tr w:rsidR="00FC6A14" w:rsidRPr="000D79EF" w:rsidTr="00084415">
        <w:trPr>
          <w:trHeight w:val="309"/>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Prunings from trees, vines and bushes, Clippings from nature conservation measures</w:t>
            </w:r>
          </w:p>
        </w:tc>
        <w:tc>
          <w:tcPr>
            <w:tcW w:w="1387" w:type="pct"/>
          </w:tcPr>
          <w:p w:rsidR="00FC6A14" w:rsidRPr="000D79EF" w:rsidRDefault="00FC6A14" w:rsidP="00084415">
            <w:pPr>
              <w:rPr>
                <w:rFonts w:eastAsia="Times New Roman" w:cs="Times New Roman"/>
                <w:color w:val="000000"/>
                <w:sz w:val="16"/>
                <w:szCs w:val="20"/>
                <w:lang w:eastAsia="zh-CN"/>
              </w:rPr>
            </w:pP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p>
        </w:tc>
      </w:tr>
      <w:tr w:rsidR="00FC6A14" w:rsidRPr="000D79EF" w:rsidTr="00084415">
        <w:trPr>
          <w:trHeight w:val="232"/>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Hay, grass</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Only waste not / no longer usable as animal feed</w:t>
            </w: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p>
        </w:tc>
      </w:tr>
      <w:tr w:rsidR="00FC6A14" w:rsidRPr="000D79EF" w:rsidTr="00084415">
        <w:trPr>
          <w:trHeight w:val="732"/>
        </w:trPr>
        <w:tc>
          <w:tcPr>
            <w:tcW w:w="979" w:type="pct"/>
            <w:vMerge w:val="restar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Agriculture and forestry</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Harvest leftovers, Straw, used straw, husks and grain dust, grain, feedstuffs, fruit</w:t>
            </w:r>
            <w:r w:rsidRPr="000D79EF">
              <w:rPr>
                <w:rFonts w:eastAsia="Times New Roman" w:cs="Times New Roman"/>
                <w:color w:val="000000"/>
                <w:sz w:val="16"/>
                <w:szCs w:val="20"/>
                <w:lang w:eastAsia="zh-CN"/>
              </w:rPr>
              <w:br/>
            </w:r>
          </w:p>
        </w:tc>
        <w:tc>
          <w:tcPr>
            <w:tcW w:w="1387"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Attention: health &amp; safety precautions where dust is</w:t>
            </w:r>
            <w:r w:rsidRPr="000D79EF">
              <w:rPr>
                <w:rFonts w:eastAsia="Times New Roman" w:cs="Times New Roman"/>
                <w:color w:val="000000"/>
                <w:sz w:val="16"/>
                <w:szCs w:val="20"/>
                <w:lang w:eastAsia="zh-CN"/>
              </w:rPr>
              <w:br/>
              <w:t>involved; Only waste not / no longer usable for human</w:t>
            </w:r>
            <w:r w:rsidRPr="000D79EF">
              <w:rPr>
                <w:rFonts w:eastAsia="Times New Roman" w:cs="Times New Roman"/>
                <w:color w:val="000000"/>
                <w:sz w:val="16"/>
                <w:szCs w:val="20"/>
                <w:lang w:eastAsia="zh-CN"/>
              </w:rPr>
              <w:br/>
              <w:t>consumption or as animal feed</w:t>
            </w:r>
            <w:r w:rsidRPr="000D79EF">
              <w:rPr>
                <w:rFonts w:eastAsia="Times New Roman" w:cs="Times New Roman"/>
                <w:color w:val="000000"/>
                <w:sz w:val="16"/>
                <w:szCs w:val="20"/>
                <w:lang w:eastAsia="zh-CN"/>
              </w:rPr>
              <w:br/>
            </w:r>
          </w:p>
        </w:tc>
        <w:tc>
          <w:tcPr>
            <w:tcW w:w="82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br/>
            </w:r>
            <w:r w:rsidRPr="000D79EF">
              <w:rPr>
                <w:rFonts w:eastAsia="Times New Roman" w:cs="Times New Roman"/>
                <w:color w:val="000000"/>
                <w:sz w:val="16"/>
                <w:szCs w:val="20"/>
                <w:lang w:eastAsia="zh-CN"/>
              </w:rPr>
              <w:br/>
            </w:r>
            <w:r w:rsidRPr="000D79EF">
              <w:rPr>
                <w:rFonts w:eastAsia="Times New Roman" w:cs="Times New Roman"/>
                <w:color w:val="000000"/>
                <w:sz w:val="16"/>
                <w:szCs w:val="20"/>
                <w:lang w:eastAsia="zh-CN"/>
              </w:rPr>
              <w:br/>
            </w:r>
          </w:p>
        </w:tc>
        <w:tc>
          <w:tcPr>
            <w:tcW w:w="579" w:type="pct"/>
            <w:hideMark/>
          </w:tcPr>
          <w:p w:rsidR="00FC6A14" w:rsidRPr="000D79EF" w:rsidRDefault="00FC6A14" w:rsidP="00084415">
            <w:pPr>
              <w:rPr>
                <w:rFonts w:eastAsia="Times New Roman" w:cs="Times New Roman"/>
                <w:color w:val="000000"/>
                <w:sz w:val="16"/>
                <w:szCs w:val="20"/>
                <w:lang w:eastAsia="zh-CN"/>
              </w:rPr>
            </w:pPr>
          </w:p>
        </w:tc>
      </w:tr>
      <w:tr w:rsidR="00FC6A14" w:rsidRPr="000D79EF" w:rsidTr="00084415">
        <w:trPr>
          <w:trHeight w:val="518"/>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Grain, feedstuffs, prunings from biomass plantations grown for energy or biomass use (renewable resources).</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br/>
            </w:r>
            <w:r w:rsidRPr="000D79EF">
              <w:rPr>
                <w:rFonts w:eastAsia="Times New Roman" w:cs="Times New Roman"/>
                <w:color w:val="000000"/>
                <w:sz w:val="16"/>
                <w:szCs w:val="20"/>
                <w:lang w:eastAsia="zh-CN"/>
              </w:rPr>
              <w:br/>
            </w:r>
          </w:p>
        </w:tc>
        <w:tc>
          <w:tcPr>
            <w:tcW w:w="82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Biomasses must have been produced in a sustainable manner.</w:t>
            </w:r>
          </w:p>
        </w:tc>
        <w:tc>
          <w:tcPr>
            <w:tcW w:w="579" w:type="pct"/>
          </w:tcPr>
          <w:p w:rsidR="00FC6A14" w:rsidRPr="000D79EF" w:rsidRDefault="00FC6A14" w:rsidP="00084415">
            <w:pPr>
              <w:rPr>
                <w:rFonts w:eastAsia="Times New Roman" w:cs="Times New Roman"/>
                <w:color w:val="000000"/>
                <w:sz w:val="16"/>
                <w:szCs w:val="20"/>
                <w:lang w:eastAsia="zh-CN"/>
              </w:rPr>
            </w:pPr>
          </w:p>
        </w:tc>
      </w:tr>
      <w:tr w:rsidR="00FC6A14" w:rsidRPr="000D79EF" w:rsidTr="00084415">
        <w:trPr>
          <w:trHeight w:val="57"/>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Seeds and plants</w:t>
            </w:r>
          </w:p>
        </w:tc>
        <w:tc>
          <w:tcPr>
            <w:tcW w:w="1387" w:type="pct"/>
          </w:tcPr>
          <w:p w:rsidR="00FC6A14" w:rsidRPr="000D79EF" w:rsidRDefault="00FC6A14" w:rsidP="00084415">
            <w:pPr>
              <w:rPr>
                <w:rFonts w:eastAsia="Times New Roman" w:cs="Times New Roman"/>
                <w:color w:val="000000"/>
                <w:sz w:val="16"/>
                <w:szCs w:val="20"/>
                <w:lang w:eastAsia="zh-CN"/>
              </w:rPr>
            </w:pP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color w:val="000000"/>
                <w:sz w:val="16"/>
                <w:szCs w:val="20"/>
                <w:lang w:eastAsia="zh-CN"/>
              </w:rPr>
            </w:pPr>
          </w:p>
        </w:tc>
      </w:tr>
      <w:tr w:rsidR="00FC6A14" w:rsidRPr="000D79EF" w:rsidTr="00084415">
        <w:trPr>
          <w:trHeight w:val="372"/>
        </w:trPr>
        <w:tc>
          <w:tcPr>
            <w:tcW w:w="979" w:type="pct"/>
            <w:vMerge/>
          </w:tcPr>
          <w:p w:rsidR="00FC6A14" w:rsidRPr="000D79EF" w:rsidRDefault="00FC6A14" w:rsidP="00084415">
            <w:pPr>
              <w:rPr>
                <w:rFonts w:eastAsia="Times New Roman" w:cs="Times New Roman"/>
                <w:color w:val="000000"/>
                <w:sz w:val="16"/>
                <w:szCs w:val="20"/>
                <w:lang w:eastAsia="zh-CN"/>
              </w:rPr>
            </w:pP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Bark and chippings, wood, Sawdust, wood shavings, wood wool, prunings from trees, vines and bushes</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Only from untreated wood</w:t>
            </w: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Yes</w:t>
            </w:r>
          </w:p>
        </w:tc>
      </w:tr>
      <w:tr w:rsidR="00FC6A14" w:rsidRPr="000D79EF" w:rsidTr="00084415">
        <w:trPr>
          <w:trHeight w:val="447"/>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Kitchens and canteens</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 xml:space="preserve">Kitchen, canteen and restaurant leftovers </w:t>
            </w:r>
          </w:p>
        </w:tc>
        <w:tc>
          <w:tcPr>
            <w:tcW w:w="1387"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check chlorine content, dioxin analysis</w:t>
            </w:r>
          </w:p>
        </w:tc>
        <w:tc>
          <w:tcPr>
            <w:tcW w:w="822" w:type="pct"/>
            <w:hideMark/>
          </w:tcPr>
          <w:p w:rsidR="00FC6A14" w:rsidRPr="000D79EF" w:rsidRDefault="00FC6A14" w:rsidP="00084415">
            <w:pPr>
              <w:rPr>
                <w:rFonts w:eastAsia="Times New Roman" w:cs="Times New Roman"/>
                <w:color w:val="000000"/>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584"/>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Vegetable production</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Material from washing, cleaning, peeling, centrifuging and separation processes; Pulp, pips, peelings, shreds or pomace (e.g., from oil mills, spent grain)</w:t>
            </w:r>
          </w:p>
        </w:tc>
        <w:tc>
          <w:tcPr>
            <w:tcW w:w="1387" w:type="pct"/>
            <w:hideMark/>
          </w:tcPr>
          <w:p w:rsidR="00FC6A14" w:rsidRPr="000D79EF" w:rsidRDefault="00FC6A14" w:rsidP="00084415">
            <w:pPr>
              <w:rPr>
                <w:rFonts w:eastAsia="Times New Roman" w:cs="Times New Roman"/>
                <w:color w:val="000000"/>
                <w:sz w:val="16"/>
                <w:szCs w:val="20"/>
                <w:lang w:eastAsia="zh-CN"/>
              </w:rPr>
            </w:pPr>
          </w:p>
        </w:tc>
        <w:tc>
          <w:tcPr>
            <w:tcW w:w="822" w:type="pct"/>
            <w:hideMark/>
          </w:tcPr>
          <w:p w:rsidR="00FC6A14" w:rsidRPr="000D79EF" w:rsidRDefault="00FC6A14" w:rsidP="00084415">
            <w:pPr>
              <w:rPr>
                <w:rFonts w:eastAsia="Times New Roman" w:cs="Times New Roman"/>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318"/>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Waterway maintenance (vegetable material)</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Raked off material, flotsam, fishing residues, harvested material, water plants</w:t>
            </w:r>
          </w:p>
        </w:tc>
        <w:tc>
          <w:tcPr>
            <w:tcW w:w="1387" w:type="pct"/>
            <w:hideMark/>
          </w:tcPr>
          <w:p w:rsidR="00FC6A14" w:rsidRPr="000D79EF" w:rsidRDefault="00FC6A14" w:rsidP="00084415">
            <w:pPr>
              <w:rPr>
                <w:rFonts w:eastAsia="Times New Roman" w:cs="Times New Roman"/>
                <w:color w:val="000000"/>
                <w:sz w:val="16"/>
                <w:szCs w:val="20"/>
                <w:lang w:eastAsia="zh-CN"/>
              </w:rPr>
            </w:pPr>
          </w:p>
        </w:tc>
        <w:tc>
          <w:tcPr>
            <w:tcW w:w="822" w:type="pct"/>
            <w:hideMark/>
          </w:tcPr>
          <w:p w:rsidR="00FC6A14" w:rsidRPr="000D79EF" w:rsidRDefault="00FC6A14" w:rsidP="00084415">
            <w:pPr>
              <w:rPr>
                <w:rFonts w:eastAsia="Times New Roman" w:cs="Times New Roman"/>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495"/>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Animal by-products</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Hides and skins, bristles, feathers, hair, bones, manure</w:t>
            </w:r>
          </w:p>
        </w:tc>
        <w:tc>
          <w:tcPr>
            <w:tcW w:w="1387"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Subject to national hygiene regulations and check chlorine content - dioxine analysis</w:t>
            </w:r>
          </w:p>
        </w:tc>
        <w:tc>
          <w:tcPr>
            <w:tcW w:w="822" w:type="pct"/>
            <w:hideMark/>
          </w:tcPr>
          <w:p w:rsidR="00FC6A14" w:rsidRPr="000D79EF" w:rsidRDefault="00FC6A14" w:rsidP="00084415">
            <w:pPr>
              <w:rPr>
                <w:rFonts w:eastAsia="Times New Roman" w:cs="Times New Roman"/>
                <w:color w:val="000000"/>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504"/>
        </w:trPr>
        <w:tc>
          <w:tcPr>
            <w:tcW w:w="979"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Textiles</w:t>
            </w:r>
          </w:p>
        </w:tc>
        <w:tc>
          <w:tcPr>
            <w:tcW w:w="1232"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Cellulose, cotton and vegetable fibres Hemp, sisal and other fibres wool leftovers and wool dust</w:t>
            </w:r>
          </w:p>
        </w:tc>
        <w:tc>
          <w:tcPr>
            <w:tcW w:w="1387" w:type="pct"/>
            <w:hideMark/>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only from untreated Textile fibres</w:t>
            </w:r>
          </w:p>
        </w:tc>
        <w:tc>
          <w:tcPr>
            <w:tcW w:w="822" w:type="pct"/>
            <w:hideMark/>
          </w:tcPr>
          <w:p w:rsidR="00FC6A14" w:rsidRPr="000D79EF" w:rsidRDefault="00FC6A14" w:rsidP="00084415">
            <w:pPr>
              <w:rPr>
                <w:rFonts w:eastAsia="Times New Roman" w:cs="Times New Roman"/>
                <w:color w:val="000000"/>
                <w:sz w:val="16"/>
                <w:szCs w:val="20"/>
                <w:lang w:eastAsia="zh-CN"/>
              </w:rPr>
            </w:pPr>
          </w:p>
        </w:tc>
        <w:tc>
          <w:tcPr>
            <w:tcW w:w="579" w:type="pct"/>
            <w:hideMark/>
          </w:tcPr>
          <w:p w:rsidR="00FC6A14" w:rsidRPr="000D79EF" w:rsidRDefault="00FC6A14" w:rsidP="00084415">
            <w:pPr>
              <w:rPr>
                <w:rFonts w:eastAsia="Times New Roman" w:cs="Times New Roman"/>
                <w:sz w:val="16"/>
                <w:szCs w:val="20"/>
                <w:lang w:eastAsia="zh-CN"/>
              </w:rPr>
            </w:pPr>
          </w:p>
        </w:tc>
      </w:tr>
      <w:tr w:rsidR="00FC6A14" w:rsidRPr="000D79EF" w:rsidTr="00084415">
        <w:trPr>
          <w:trHeight w:val="93"/>
        </w:trPr>
        <w:tc>
          <w:tcPr>
            <w:tcW w:w="979"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Plant-based packaging material Origin</w:t>
            </w: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Cotton and wood fibres</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not chemically modified of solely natural origin, untreated</w:t>
            </w: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p>
        </w:tc>
      </w:tr>
      <w:tr w:rsidR="00FC6A14" w:rsidRPr="000D79EF" w:rsidTr="00084415">
        <w:trPr>
          <w:trHeight w:val="673"/>
        </w:trPr>
        <w:tc>
          <w:tcPr>
            <w:tcW w:w="979"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Paper production</w:t>
            </w: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Paper fiber sludge</w:t>
            </w:r>
          </w:p>
        </w:tc>
        <w:tc>
          <w:tcPr>
            <w:tcW w:w="1387"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only from wood fibres not treated chemically (a contamination analysis of the paper fibre sludge must be presented)</w:t>
            </w:r>
          </w:p>
        </w:tc>
        <w:tc>
          <w:tcPr>
            <w:tcW w:w="822" w:type="pct"/>
          </w:tcPr>
          <w:p w:rsidR="00FC6A14" w:rsidRPr="000D79EF" w:rsidRDefault="00FC6A14" w:rsidP="00084415">
            <w:pPr>
              <w:rPr>
                <w:rFonts w:eastAsia="Times New Roman" w:cs="Times New Roman"/>
                <w:color w:val="000000"/>
                <w:sz w:val="16"/>
                <w:szCs w:val="20"/>
                <w:lang w:eastAsia="zh-CN"/>
              </w:rPr>
            </w:pPr>
          </w:p>
        </w:tc>
        <w:tc>
          <w:tcPr>
            <w:tcW w:w="579" w:type="pct"/>
          </w:tcPr>
          <w:p w:rsidR="00FC6A14" w:rsidRPr="000D79EF" w:rsidRDefault="00FC6A14" w:rsidP="00084415">
            <w:pPr>
              <w:rPr>
                <w:rFonts w:eastAsia="Times New Roman" w:cs="Times New Roman"/>
                <w:sz w:val="16"/>
                <w:szCs w:val="20"/>
                <w:lang w:eastAsia="zh-CN"/>
              </w:rPr>
            </w:pPr>
          </w:p>
        </w:tc>
      </w:tr>
      <w:tr w:rsidR="00FC6A14" w:rsidRPr="00E47355" w:rsidTr="00084415">
        <w:trPr>
          <w:trHeight w:val="237"/>
        </w:trPr>
        <w:tc>
          <w:tcPr>
            <w:tcW w:w="979"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Biogas plants</w:t>
            </w:r>
          </w:p>
        </w:tc>
        <w:tc>
          <w:tcPr>
            <w:tcW w:w="1232" w:type="pct"/>
          </w:tcPr>
          <w:p w:rsidR="00FC6A14" w:rsidRPr="000D79EF"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Fermentation residues</w:t>
            </w:r>
          </w:p>
        </w:tc>
        <w:tc>
          <w:tcPr>
            <w:tcW w:w="1387" w:type="pct"/>
          </w:tcPr>
          <w:p w:rsidR="00FC6A14" w:rsidRPr="000D79EF" w:rsidRDefault="00FC6A14" w:rsidP="00084415">
            <w:pPr>
              <w:rPr>
                <w:rFonts w:eastAsia="Times New Roman" w:cs="Times New Roman"/>
                <w:color w:val="000000"/>
                <w:sz w:val="16"/>
                <w:szCs w:val="20"/>
                <w:lang w:eastAsia="zh-CN"/>
              </w:rPr>
            </w:pPr>
          </w:p>
        </w:tc>
        <w:tc>
          <w:tcPr>
            <w:tcW w:w="822" w:type="pct"/>
          </w:tcPr>
          <w:p w:rsidR="00FC6A14" w:rsidRPr="00E47355" w:rsidRDefault="00FC6A14" w:rsidP="00084415">
            <w:pPr>
              <w:rPr>
                <w:rFonts w:eastAsia="Times New Roman" w:cs="Times New Roman"/>
                <w:color w:val="000000"/>
                <w:sz w:val="16"/>
                <w:szCs w:val="20"/>
                <w:lang w:eastAsia="zh-CN"/>
              </w:rPr>
            </w:pPr>
            <w:r w:rsidRPr="000D79EF">
              <w:rPr>
                <w:rFonts w:eastAsia="Times New Roman" w:cs="Times New Roman"/>
                <w:color w:val="000000"/>
                <w:sz w:val="16"/>
                <w:szCs w:val="20"/>
                <w:lang w:eastAsia="zh-CN"/>
              </w:rPr>
              <w:t>biomasses for biogas plants must be produced sustainably</w:t>
            </w:r>
          </w:p>
        </w:tc>
        <w:tc>
          <w:tcPr>
            <w:tcW w:w="579" w:type="pct"/>
          </w:tcPr>
          <w:p w:rsidR="00FC6A14" w:rsidRPr="00E47355" w:rsidRDefault="00FC6A14" w:rsidP="00084415">
            <w:pPr>
              <w:rPr>
                <w:rFonts w:eastAsia="Times New Roman" w:cs="Times New Roman"/>
                <w:sz w:val="16"/>
                <w:szCs w:val="20"/>
                <w:lang w:eastAsia="zh-CN"/>
              </w:rPr>
            </w:pPr>
          </w:p>
        </w:tc>
      </w:tr>
    </w:tbl>
    <w:p w:rsidR="00FC6A14" w:rsidRPr="00B52263" w:rsidRDefault="00FC6A14" w:rsidP="00FC6A14">
      <w:pPr>
        <w:rPr>
          <w:rFonts w:cs="Times New Roman"/>
          <w:szCs w:val="24"/>
        </w:rPr>
      </w:pPr>
    </w:p>
    <w:p w:rsidR="00E95AED" w:rsidRDefault="00FC6A14">
      <w:bookmarkStart w:id="0" w:name="_GoBack"/>
      <w:bookmarkEnd w:id="0"/>
    </w:p>
    <w:sectPr w:rsidR="00E95AED" w:rsidSect="0076026C">
      <w:pgSz w:w="12240" w:h="15840"/>
      <w:pgMar w:top="1440" w:right="1797" w:bottom="993" w:left="179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E5E4F"/>
    <w:multiLevelType w:val="multilevel"/>
    <w:tmpl w:val="BED8FB30"/>
    <w:lvl w:ilvl="0">
      <w:start w:val="1"/>
      <w:numFmt w:val="decimal"/>
      <w:pStyle w:val="Heading2"/>
      <w:lvlText w:val="%1."/>
      <w:lvlJc w:val="left"/>
      <w:pPr>
        <w:ind w:left="171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12" w:hanging="720"/>
      </w:pPr>
      <w:rPr>
        <w:rFonts w:hint="default"/>
        <w:b/>
      </w:rPr>
    </w:lvl>
    <w:lvl w:ilvl="3">
      <w:start w:val="1"/>
      <w:numFmt w:val="decimal"/>
      <w:lvlText w:val="%1.%2.%3.%4"/>
      <w:lvlJc w:val="left"/>
      <w:pPr>
        <w:ind w:left="1288" w:hanging="720"/>
      </w:pPr>
      <w:rPr>
        <w:rFonts w:hint="default"/>
        <w:i w:val="0"/>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14"/>
    <w:rsid w:val="00033AFF"/>
    <w:rsid w:val="003C16B3"/>
    <w:rsid w:val="00FC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8CEA9-8338-4EBB-BFDA-CA25F8B9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A14"/>
    <w:rPr>
      <w:rFonts w:ascii="Times New Roman" w:eastAsiaTheme="minorEastAsia" w:hAnsi="Times New Roman"/>
      <w:sz w:val="24"/>
      <w:lang w:val="en-GB" w:eastAsia="zh-TW"/>
    </w:rPr>
  </w:style>
  <w:style w:type="paragraph" w:styleId="Heading2">
    <w:name w:val="heading 2"/>
    <w:basedOn w:val="Normal"/>
    <w:next w:val="Normal"/>
    <w:link w:val="Heading2Char"/>
    <w:autoRedefine/>
    <w:uiPriority w:val="9"/>
    <w:unhideWhenUsed/>
    <w:qFormat/>
    <w:rsid w:val="00FC6A14"/>
    <w:pPr>
      <w:keepNext/>
      <w:keepLines/>
      <w:numPr>
        <w:numId w:val="1"/>
      </w:numPr>
      <w:spacing w:before="40" w:after="0"/>
      <w:ind w:left="360"/>
      <w:outlineLvl w:val="1"/>
    </w:pPr>
    <w:rPr>
      <w:rFonts w:eastAsiaTheme="majorEastAsi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A14"/>
    <w:rPr>
      <w:rFonts w:ascii="Times New Roman" w:eastAsiaTheme="majorEastAsia" w:hAnsi="Times New Roman" w:cs="Times New Roman"/>
      <w:b/>
      <w:sz w:val="24"/>
      <w:szCs w:val="20"/>
      <w:lang w:val="en-GB" w:eastAsia="zh-TW"/>
    </w:rPr>
  </w:style>
  <w:style w:type="table" w:styleId="TableGrid">
    <w:name w:val="Table Grid"/>
    <w:basedOn w:val="TableNormal"/>
    <w:uiPriority w:val="39"/>
    <w:rsid w:val="00FC6A14"/>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C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Laxmi S. Dharmapuri</dc:creator>
  <cp:keywords/>
  <dc:description/>
  <cp:lastModifiedBy>Laxmi S. Dharmapuri</cp:lastModifiedBy>
  <cp:revision>1</cp:revision>
  <dcterms:created xsi:type="dcterms:W3CDTF">2020-02-03T09:45:00Z</dcterms:created>
  <dcterms:modified xsi:type="dcterms:W3CDTF">2020-02-03T09:46:00Z</dcterms:modified>
</cp:coreProperties>
</file>