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A6CE" w14:textId="4B320A90" w:rsidR="00B273C7" w:rsidRPr="00092755" w:rsidRDefault="00D80020" w:rsidP="00B273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>Appendix 1</w:t>
      </w:r>
      <w:r w:rsidR="00B273C7" w:rsidRPr="00431845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="00B273C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273C7" w:rsidRPr="00092755">
        <w:rPr>
          <w:rFonts w:ascii="Times New Roman" w:hAnsi="Times New Roman" w:cs="Times New Roman"/>
          <w:sz w:val="20"/>
          <w:szCs w:val="20"/>
          <w:lang w:val="en-US"/>
        </w:rPr>
        <w:t xml:space="preserve">tatements for the evaluation of food system </w:t>
      </w:r>
      <w:r w:rsidR="00B273C7">
        <w:rPr>
          <w:rFonts w:ascii="Times New Roman" w:hAnsi="Times New Roman" w:cs="Times New Roman"/>
          <w:sz w:val="20"/>
          <w:szCs w:val="20"/>
          <w:lang w:val="en-US"/>
        </w:rPr>
        <w:t>performance</w:t>
      </w:r>
      <w:r w:rsidR="00B273C7" w:rsidRPr="0009275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97D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15A5">
        <w:rPr>
          <w:rFonts w:ascii="Times New Roman" w:hAnsi="Times New Roman" w:cs="Times New Roman"/>
          <w:sz w:val="20"/>
          <w:szCs w:val="20"/>
          <w:lang w:val="en-US"/>
        </w:rPr>
        <w:t xml:space="preserve">economic performance, environmental protection, social welfare and </w:t>
      </w:r>
      <w:r w:rsidR="00B273C7" w:rsidRPr="00092755">
        <w:rPr>
          <w:rFonts w:ascii="Times New Roman" w:hAnsi="Times New Roman" w:cs="Times New Roman"/>
          <w:sz w:val="20"/>
          <w:szCs w:val="20"/>
          <w:lang w:val="en-US"/>
        </w:rPr>
        <w:t xml:space="preserve">food and nutrition security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B273C7" w:rsidRPr="00E96455" w14:paraId="56D66C0F" w14:textId="77777777" w:rsidTr="00A42B9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858197C" w14:textId="77777777" w:rsidR="00B273C7" w:rsidRPr="003122E6" w:rsidRDefault="00B273C7" w:rsidP="00A42B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22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Food system outcome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</w:t>
            </w:r>
            <w:r w:rsidRPr="003122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Statement</w:t>
            </w:r>
          </w:p>
        </w:tc>
      </w:tr>
      <w:tr w:rsidR="00CE13AB" w:rsidRPr="00E96455" w14:paraId="5166BB09" w14:textId="77777777" w:rsidTr="00A42B95">
        <w:trPr>
          <w:trHeight w:val="737"/>
        </w:trPr>
        <w:tc>
          <w:tcPr>
            <w:tcW w:w="860" w:type="pct"/>
            <w:tcBorders>
              <w:top w:val="dashed" w:sz="4" w:space="0" w:color="auto"/>
            </w:tcBorders>
          </w:tcPr>
          <w:p w14:paraId="405DAA2B" w14:textId="689BE59E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Economic performance</w:t>
            </w:r>
          </w:p>
        </w:tc>
        <w:tc>
          <w:tcPr>
            <w:tcW w:w="4140" w:type="pct"/>
            <w:tcBorders>
              <w:top w:val="dashed" w:sz="4" w:space="0" w:color="auto"/>
            </w:tcBorders>
          </w:tcPr>
          <w:p w14:paraId="3FC4C4D3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vegetable food system is economically profitable (overall)</w:t>
            </w:r>
          </w:p>
          <w:p w14:paraId="7ABFB81A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E2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economic benefits of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food system are fairly distributed among the actors that make up the system, </w:t>
            </w:r>
            <w:proofErr w:type="gramStart"/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taking into account</w:t>
            </w:r>
            <w:proofErr w:type="gramEnd"/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the investments made and the risks assumed.</w:t>
            </w:r>
          </w:p>
          <w:p w14:paraId="2806BB67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E3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vegetable food system is productive in terms of outputs per unit of input</w:t>
            </w:r>
          </w:p>
          <w:p w14:paraId="25501EEF" w14:textId="77777777" w:rsidR="00CE13AB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E4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system produces economic benefits for communities and regions</w:t>
            </w:r>
          </w:p>
          <w:p w14:paraId="6455FA0D" w14:textId="0DBF795D" w:rsidR="00CE13AB" w:rsidRPr="00D53C2F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E5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176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vegetable food system promotes efficient marketing channels</w:t>
            </w:r>
          </w:p>
        </w:tc>
      </w:tr>
      <w:tr w:rsidR="00CE13AB" w:rsidRPr="00E96455" w14:paraId="015E01CE" w14:textId="77777777" w:rsidTr="00A42B95">
        <w:trPr>
          <w:trHeight w:val="737"/>
        </w:trPr>
        <w:tc>
          <w:tcPr>
            <w:tcW w:w="860" w:type="pct"/>
            <w:tcBorders>
              <w:top w:val="dashed" w:sz="4" w:space="0" w:color="auto"/>
            </w:tcBorders>
          </w:tcPr>
          <w:p w14:paraId="22B8B422" w14:textId="1ED721B0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Environmental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protection</w:t>
            </w:r>
          </w:p>
        </w:tc>
        <w:tc>
          <w:tcPr>
            <w:tcW w:w="4140" w:type="pct"/>
            <w:tcBorders>
              <w:top w:val="dashed" w:sz="4" w:space="0" w:color="auto"/>
            </w:tcBorders>
          </w:tcPr>
          <w:p w14:paraId="3E340CAB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system minimizes the following negative impacts on the environment: greenhouse gas emissions, water pollution and soil depletion</w:t>
            </w:r>
          </w:p>
          <w:p w14:paraId="6DD6CAA5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M2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vegetable food system reduces or eliminates the release of pesticides on the environment</w:t>
            </w:r>
          </w:p>
          <w:p w14:paraId="22E33466" w14:textId="64290391" w:rsidR="00CE13AB" w:rsidRPr="00D53C2F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M3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system preserves biodiversity in </w:t>
            </w:r>
            <w:proofErr w:type="spellStart"/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agro</w:t>
            </w:r>
            <w:proofErr w:type="spellEnd"/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-ecosystems</w:t>
            </w:r>
          </w:p>
        </w:tc>
      </w:tr>
      <w:tr w:rsidR="00CE13AB" w:rsidRPr="00E96455" w14:paraId="69FABA20" w14:textId="77777777" w:rsidTr="00A42B95">
        <w:trPr>
          <w:trHeight w:val="737"/>
        </w:trPr>
        <w:tc>
          <w:tcPr>
            <w:tcW w:w="860" w:type="pct"/>
            <w:tcBorders>
              <w:top w:val="dashed" w:sz="4" w:space="0" w:color="auto"/>
            </w:tcBorders>
          </w:tcPr>
          <w:p w14:paraId="4507FEF3" w14:textId="024A5216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Social welfare </w:t>
            </w:r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0" w:type="pct"/>
            <w:tcBorders>
              <w:top w:val="dashed" w:sz="4" w:space="0" w:color="auto"/>
            </w:tcBorders>
          </w:tcPr>
          <w:p w14:paraId="28A432A8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S1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system provides significant opportunities for all the actors that are part of it</w:t>
            </w:r>
          </w:p>
          <w:p w14:paraId="3E382D6D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S2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system is inclusive. This refers to the fact that the system </w:t>
            </w:r>
            <w:proofErr w:type="gramStart"/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foster</w:t>
            </w:r>
            <w:proofErr w:type="gramEnd"/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participatory forms of governance, and all system actors have equal access to 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ources, markets and information</w:t>
            </w:r>
          </w:p>
          <w:p w14:paraId="0C3372A3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</w:pPr>
            <w:r w:rsidRPr="00D53C2F">
              <w:rPr>
                <w:rFonts w:ascii="Times New Roman" w:hAnsi="Times New Roman" w:cs="Times New Roman"/>
                <w:color w:val="222222"/>
                <w:sz w:val="18"/>
                <w:szCs w:val="18"/>
                <w:u w:val="single"/>
                <w:lang w:val="en"/>
              </w:rPr>
              <w:t>S3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. </w:t>
            </w:r>
            <w:r w:rsidRPr="00E96455"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The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vegetable </w:t>
            </w:r>
            <w:r w:rsidRPr="00E96455"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>food system actors have equal levels of autonomy and empowerment in decision-making</w:t>
            </w:r>
          </w:p>
          <w:p w14:paraId="2CC187FF" w14:textId="77777777" w:rsidR="00CE13AB" w:rsidRPr="00E96455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S4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system generates employment with fair working conditions</w:t>
            </w:r>
          </w:p>
          <w:p w14:paraId="178AFEA2" w14:textId="77777777" w:rsidR="00CE13AB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S5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system promotes transparent marketing channels in terms of information for all system actors and consumers</w:t>
            </w:r>
          </w:p>
          <w:p w14:paraId="5ECC9847" w14:textId="4A573AC8" w:rsidR="00CE13AB" w:rsidRPr="00D53C2F" w:rsidRDefault="00CE13AB" w:rsidP="00CE1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53C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S6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vegetable food system encourages consumers to know where, how and who produces their vegetables</w:t>
            </w:r>
          </w:p>
        </w:tc>
      </w:tr>
      <w:tr w:rsidR="00CE13AB" w:rsidRPr="00E96455" w14:paraId="7A62F87F" w14:textId="77777777" w:rsidTr="00A42B95">
        <w:trPr>
          <w:trHeight w:val="737"/>
        </w:trPr>
        <w:tc>
          <w:tcPr>
            <w:tcW w:w="860" w:type="pct"/>
            <w:tcBorders>
              <w:top w:val="dashed" w:sz="4" w:space="0" w:color="auto"/>
            </w:tcBorders>
          </w:tcPr>
          <w:p w14:paraId="7AFC5642" w14:textId="77777777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Food and nutrition security </w:t>
            </w:r>
          </w:p>
        </w:tc>
        <w:tc>
          <w:tcPr>
            <w:tcW w:w="4140" w:type="pct"/>
            <w:tcBorders>
              <w:top w:val="dashed" w:sz="4" w:space="0" w:color="auto"/>
            </w:tcBorders>
          </w:tcPr>
          <w:p w14:paraId="3D8627E0" w14:textId="77777777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FS1.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vegetable food </w:t>
            </w:r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system produces a </w:t>
            </w:r>
            <w:proofErr w:type="gramStart"/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sufficient</w:t>
            </w:r>
            <w:proofErr w:type="gramEnd"/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permanent amount of vegetables to meet the national demand</w:t>
            </w:r>
          </w:p>
          <w:p w14:paraId="5EB486A1" w14:textId="77777777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3C2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FS2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96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vegetable food system provides vegetables whose prices are accessible to all consumers in Chile, regardless of their socio-economic level</w:t>
            </w:r>
          </w:p>
          <w:p w14:paraId="4E9DA88D" w14:textId="77777777" w:rsidR="00CE13AB" w:rsidRPr="00A91C0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</w:pPr>
            <w:r w:rsidRPr="00D53C2F">
              <w:rPr>
                <w:rFonts w:ascii="Times New Roman" w:hAnsi="Times New Roman" w:cs="Times New Roman"/>
                <w:color w:val="222222"/>
                <w:sz w:val="18"/>
                <w:szCs w:val="18"/>
                <w:u w:val="single"/>
                <w:lang w:val="en"/>
              </w:rPr>
              <w:t>FS3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. </w:t>
            </w:r>
            <w:r w:rsidRPr="00A91C05"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The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vegetable food </w:t>
            </w:r>
            <w:r w:rsidRPr="00A91C05"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system provides vegetables that can be purchased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>everywhere</w:t>
            </w:r>
            <w:r w:rsidRPr="00A91C05">
              <w:rPr>
                <w:rFonts w:ascii="Times New Roman" w:hAnsi="Times New Roman" w:cs="Times New Roman"/>
                <w:color w:val="222222"/>
                <w:sz w:val="18"/>
                <w:szCs w:val="18"/>
                <w:lang w:val="en"/>
              </w:rPr>
              <w:t xml:space="preserve"> in Chile</w:t>
            </w:r>
          </w:p>
          <w:p w14:paraId="11580FCD" w14:textId="77777777" w:rsidR="00CE13AB" w:rsidRPr="00E96455" w:rsidRDefault="00CE13AB" w:rsidP="00CE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FS4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96455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vegetable food </w:t>
            </w:r>
            <w:r w:rsidRPr="00E96455">
              <w:rPr>
                <w:rFonts w:ascii="Times New Roman" w:hAnsi="Times New Roman" w:cs="Times New Roman"/>
                <w:sz w:val="18"/>
                <w:szCs w:val="18"/>
              </w:rPr>
              <w:t xml:space="preserve">system has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mechanisms </w:t>
            </w:r>
            <w:r w:rsidRPr="00E96455">
              <w:rPr>
                <w:rFonts w:ascii="Times New Roman" w:hAnsi="Times New Roman" w:cs="Times New Roman"/>
                <w:sz w:val="18"/>
                <w:szCs w:val="18"/>
              </w:rPr>
              <w:t>of control in the use and handling of pesticides in production and distribution of vegetables in such a way that health risks to consumers are eliminated or reduced</w:t>
            </w:r>
          </w:p>
        </w:tc>
      </w:tr>
    </w:tbl>
    <w:p w14:paraId="22F27ED3" w14:textId="77777777" w:rsidR="00B273C7" w:rsidRDefault="00B273C7" w:rsidP="00B273C7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14:paraId="4BF82876" w14:textId="77777777" w:rsidR="00A42B95" w:rsidRDefault="00A42B95"/>
    <w:p w14:paraId="0A351F78" w14:textId="77777777" w:rsidR="00B273C7" w:rsidRDefault="00B273C7"/>
    <w:p w14:paraId="330507F3" w14:textId="77777777" w:rsidR="00B273C7" w:rsidRDefault="00B273C7"/>
    <w:p w14:paraId="630EC872" w14:textId="77777777" w:rsidR="00B273C7" w:rsidRDefault="00B273C7"/>
    <w:p w14:paraId="492CAF14" w14:textId="77777777" w:rsidR="00B273C7" w:rsidRDefault="00B273C7"/>
    <w:p w14:paraId="52458129" w14:textId="77777777" w:rsidR="00B273C7" w:rsidRDefault="00B273C7"/>
    <w:p w14:paraId="69959859" w14:textId="657280C1" w:rsidR="00B273C7" w:rsidRDefault="00B273C7"/>
    <w:p w14:paraId="2B02791B" w14:textId="6C6D1210" w:rsidR="00B273C7" w:rsidRPr="00B273C7" w:rsidRDefault="00D80020" w:rsidP="00B273C7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</w:rPr>
        <w:lastRenderedPageBreak/>
        <w:t>Appendix</w:t>
      </w:r>
      <w:r w:rsidR="00B273C7" w:rsidRPr="00B273C7">
        <w:rPr>
          <w:rFonts w:ascii="Times New Roman" w:hAnsi="Times New Roman" w:cs="Times New Roman"/>
          <w:b/>
        </w:rPr>
        <w:t xml:space="preserve"> 2. </w:t>
      </w:r>
      <w:r w:rsidR="00B273C7" w:rsidRPr="00B273C7">
        <w:rPr>
          <w:rFonts w:ascii="Times New Roman" w:hAnsi="Times New Roman" w:cs="Times New Roman"/>
          <w:color w:val="auto"/>
          <w:sz w:val="22"/>
          <w:szCs w:val="22"/>
          <w:lang w:bidi="ar-SA"/>
        </w:rPr>
        <w:t>Interviews, validation of results, questionnaires and self-placement of actors based on the food system component.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7"/>
        <w:gridCol w:w="4111"/>
        <w:gridCol w:w="2834"/>
      </w:tblGrid>
      <w:tr w:rsidR="00B273C7" w:rsidRPr="00B273C7" w14:paraId="4AB33003" w14:textId="77777777" w:rsidTr="00A42B95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8ECD46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Food system component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09E4EB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Institution/Activity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43E7248" w14:textId="78C72A11" w:rsidR="00B273C7" w:rsidRPr="00B273C7" w:rsidRDefault="009B0B0C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Activity</w:t>
            </w:r>
          </w:p>
        </w:tc>
      </w:tr>
      <w:tr w:rsidR="00B273C7" w:rsidRPr="00B273C7" w14:paraId="0FC24669" w14:textId="77777777" w:rsidTr="00A42B95">
        <w:trPr>
          <w:trHeight w:val="20"/>
        </w:trPr>
        <w:tc>
          <w:tcPr>
            <w:tcW w:w="1172" w:type="pct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745C698" w14:textId="77777777" w:rsidR="00B273C7" w:rsidRPr="00B273C7" w:rsidRDefault="00B273C7" w:rsidP="00A42B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Agricultural production system</w:t>
            </w:r>
          </w:p>
        </w:tc>
        <w:tc>
          <w:tcPr>
            <w:tcW w:w="226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E09774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Organic </w:t>
            </w:r>
            <w:proofErr w:type="gramStart"/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large scale</w:t>
            </w:r>
            <w:proofErr w:type="gramEnd"/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producer</w:t>
            </w:r>
          </w:p>
        </w:tc>
        <w:tc>
          <w:tcPr>
            <w:tcW w:w="15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51EF5A4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6FDC4202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2B13D59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32F65C4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Medium organic producer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03EAF6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6AEB058C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FDD3205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13D4EE3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Agroecological community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AC38C5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4D91A82E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540AAF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2CEACCB9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Regional horticultural program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6BCA1A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513E0ADC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7EDCED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2925F28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Agroecological producer 2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FD6747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2802F470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43384C5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779542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Association ecological producers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49E4D2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4E482EF2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4683EA9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7E38A84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Large conventional producer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E9D2959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4D53B28E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23DDE2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A80F2CF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Agroecological producer 1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FEFCB3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685DFF8C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EF5C68F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5CF0EA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Community-supported agriculture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372DB91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5A687837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9218EB3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176C5800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Large conventional producer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278ABE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6E579E21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4D8BD0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39D7C63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Large conventional producer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5DB6FA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Questionnaire</w:t>
            </w:r>
          </w:p>
        </w:tc>
      </w:tr>
      <w:tr w:rsidR="00B273C7" w:rsidRPr="00B273C7" w14:paraId="72D239CD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bottom w:val="dashed" w:sz="4" w:space="0" w:color="auto"/>
              <w:right w:val="nil"/>
            </w:tcBorders>
          </w:tcPr>
          <w:p w14:paraId="325A3BDE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B7926F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Large conventional producer</w:t>
            </w:r>
          </w:p>
        </w:tc>
        <w:tc>
          <w:tcPr>
            <w:tcW w:w="15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797D8B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Questionnaire</w:t>
            </w:r>
          </w:p>
        </w:tc>
      </w:tr>
      <w:tr w:rsidR="00B273C7" w:rsidRPr="00B273C7" w14:paraId="6592ADBD" w14:textId="77777777" w:rsidTr="00A42B95">
        <w:trPr>
          <w:trHeight w:val="20"/>
        </w:trPr>
        <w:tc>
          <w:tcPr>
            <w:tcW w:w="1172" w:type="pct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6005481" w14:textId="77777777" w:rsidR="00B273C7" w:rsidRPr="00B273C7" w:rsidRDefault="00B273C7" w:rsidP="00A42B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Value chain</w:t>
            </w:r>
          </w:p>
        </w:tc>
        <w:tc>
          <w:tcPr>
            <w:tcW w:w="226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B6830C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Street markets (ASOF)</w:t>
            </w:r>
          </w:p>
        </w:tc>
        <w:tc>
          <w:tcPr>
            <w:tcW w:w="15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CE4750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7BD35996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7201828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354B90F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Eco-fair 1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F055D2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Interview </w:t>
            </w:r>
          </w:p>
        </w:tc>
      </w:tr>
      <w:tr w:rsidR="00B273C7" w:rsidRPr="00B273C7" w14:paraId="538532A1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620C713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2822035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Eco-fair 2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51A784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Interview </w:t>
            </w:r>
          </w:p>
        </w:tc>
      </w:tr>
      <w:tr w:rsidR="00B273C7" w:rsidRPr="00B273C7" w14:paraId="1614B9C3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37F4277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2C9B36C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Eco-shop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990763C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Interview </w:t>
            </w:r>
          </w:p>
        </w:tc>
      </w:tr>
      <w:tr w:rsidR="00B273C7" w:rsidRPr="00B273C7" w14:paraId="36BF7311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342718C6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AEE40D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Intermediary / distributor 1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13A5AF1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Interview </w:t>
            </w:r>
          </w:p>
        </w:tc>
      </w:tr>
      <w:tr w:rsidR="00B273C7" w:rsidRPr="00B273C7" w14:paraId="51083016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9AE30C3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A91891F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AFIPA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C4653C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Interview </w:t>
            </w:r>
          </w:p>
        </w:tc>
      </w:tr>
      <w:tr w:rsidR="00B273C7" w:rsidRPr="00B273C7" w14:paraId="2394B886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229AA70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37C5A7C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Intermediary / distributor 2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4A8320B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45ECF4B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bottom w:val="dashed" w:sz="4" w:space="0" w:color="auto"/>
              <w:right w:val="nil"/>
            </w:tcBorders>
          </w:tcPr>
          <w:p w14:paraId="1B77AF12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83F67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Wholesale market Lo Valledor </w:t>
            </w:r>
          </w:p>
        </w:tc>
        <w:tc>
          <w:tcPr>
            <w:tcW w:w="15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693248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validation / questionnaire</w:t>
            </w:r>
          </w:p>
        </w:tc>
      </w:tr>
      <w:tr w:rsidR="00B273C7" w:rsidRPr="00B273C7" w14:paraId="5A5C1462" w14:textId="77777777" w:rsidTr="00A42B95">
        <w:trPr>
          <w:trHeight w:val="20"/>
        </w:trPr>
        <w:tc>
          <w:tcPr>
            <w:tcW w:w="1172" w:type="pct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E7591C9" w14:textId="77777777" w:rsidR="00B273C7" w:rsidRPr="00B273C7" w:rsidRDefault="00B273C7" w:rsidP="00A42B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Support structures for innovation and everyday functioning of agricultural production systems and value chains</w:t>
            </w:r>
          </w:p>
        </w:tc>
        <w:tc>
          <w:tcPr>
            <w:tcW w:w="226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669C6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Extension services</w:t>
            </w:r>
          </w:p>
        </w:tc>
        <w:tc>
          <w:tcPr>
            <w:tcW w:w="15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E8B8AE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273C7" w:rsidRPr="00B273C7" w14:paraId="5AB16744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986DF5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6333AD0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INIA – organic transfer group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664237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Interview </w:t>
            </w:r>
          </w:p>
        </w:tc>
      </w:tr>
      <w:tr w:rsidR="00B273C7" w:rsidRPr="00B273C7" w14:paraId="7087574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2D39024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94D994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Public advisor 1 PRODESAL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0FD4D3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3258564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32CDA2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3ABAA2A0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Public advisor 2 PRODESAL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4FDA965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1C7B8C76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01F3437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C707D0E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Public advisor 3 PRODESAL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27A64D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3D475315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AC8441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7FE9DDAE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Public advisor 4 PRODESAL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9EA518C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2C960451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44B23B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01A5400E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Public advisor 5 PRODESAL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B970B3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Questionnaire</w:t>
            </w:r>
          </w:p>
        </w:tc>
      </w:tr>
      <w:tr w:rsidR="00B273C7" w:rsidRPr="00B273C7" w14:paraId="70B79106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230535F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2FB22F9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Public advisor 6 PRODESAL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5779A4E4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Questionnaire</w:t>
            </w:r>
          </w:p>
        </w:tc>
      </w:tr>
      <w:tr w:rsidR="00B273C7" w:rsidRPr="00B273C7" w14:paraId="536EEFAA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D4376FC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3038794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Extension horticultural program University Chile 1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191DA4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35D6C9DC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1ED36D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45E5CA7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Extension horticultural program University Chile 2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3155E7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0E7DFAE8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0C0ADEB5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180E7AC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Public advisor municipality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E89FB6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66B032B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20F462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6F036F5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Private advisor 1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1D3D571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76F0D394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097125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0EA673D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Private advisor 2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2B78EDF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46997FC6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0FF1DB6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4C7B34B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Private advisor 3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DA24E10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validation / questionnaire</w:t>
            </w:r>
          </w:p>
        </w:tc>
      </w:tr>
      <w:tr w:rsidR="00B273C7" w:rsidRPr="00B273C7" w14:paraId="2FD8054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09C79F1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4A2F8FEC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Private advisor and researcher University of Valparaíso 1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DB124A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60FFAD7C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0D4FD3EF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4A822874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Private advisor and researcher University of Valparaíso 2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E56BF8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4EF09D19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BAF5479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20488B6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Regional centre technical extension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A1912B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354F5ADA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FC7AA02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29D21E71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Research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CE6978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273C7" w:rsidRPr="00B273C7" w14:paraId="744A63AD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405D2427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040C688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Researcher University of Chile 1 (Postharvest)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00D2B7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65E9A969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4DEDB0F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486A7F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Researcher University of Chile 2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CE7711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4FD496D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015143C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3B61BA3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Researcher University of Valparaiso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0C4F0DE4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0EBF2B2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29AC1DC9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4AFF73C6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Researcher USACH 1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5093EE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7C5859B0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6E7BEC7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138EADF0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Researcher USACH 1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3B39B44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3C9E04EB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475BAE8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13904DCB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Ministry of Agriculture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20533B9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273C7" w:rsidRPr="00B273C7" w14:paraId="54352870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52F748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895372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ACHIPIA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F70C4A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22967330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165D2E9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0FD087BC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FIA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DF3F1F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2782D8F1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00CDC5D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712B94EE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SAG organic agriculture / certification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FFD67C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486E9B30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61C9705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07E87F53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SAG organic agriculture / inputs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D6936F7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11EE44D1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6446B3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19D1CA3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INDAP sustainability program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04854E9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4BBE26DA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CD2B50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3A78BD97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INDAP commercialization program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450E2C16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validation / questionnaire</w:t>
            </w:r>
          </w:p>
        </w:tc>
      </w:tr>
      <w:tr w:rsidR="00B273C7" w:rsidRPr="00B273C7" w14:paraId="4F62FE64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8E55162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707014C9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ODEPA organic agriculture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16DA4A59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questionnaire</w:t>
            </w:r>
          </w:p>
        </w:tc>
      </w:tr>
      <w:tr w:rsidR="00B273C7" w:rsidRPr="00B273C7" w14:paraId="7227BF34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23C615C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013F1A4A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ODEPA sustainability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CE040E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Validation / questionnaire</w:t>
            </w:r>
          </w:p>
        </w:tc>
      </w:tr>
      <w:tr w:rsidR="00B273C7" w:rsidRPr="00B273C7" w14:paraId="65AB30A9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9DF240D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0076F1C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 xml:space="preserve">Ministry of Economy and Development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E26E850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273C7" w:rsidRPr="00B273C7" w14:paraId="11A71BF8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7376A27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29440F6B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CORFO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33104155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2D79DFF2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52E8B483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4461E101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Innova Chile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A01ADEA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3A5D9DA3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right w:val="nil"/>
            </w:tcBorders>
          </w:tcPr>
          <w:p w14:paraId="37911D28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</w:tcPr>
          <w:p w14:paraId="551863FE" w14:textId="258FDE41" w:rsidR="00B273C7" w:rsidRPr="00B273C7" w:rsidRDefault="00597D90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ProC</w:t>
            </w:r>
            <w:r w:rsidR="00B273C7"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hile</w:t>
            </w:r>
            <w:proofErr w:type="spellEnd"/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23C0E6A9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</w:t>
            </w:r>
          </w:p>
        </w:tc>
      </w:tr>
      <w:tr w:rsidR="00B273C7" w:rsidRPr="00B273C7" w14:paraId="6882FFED" w14:textId="77777777" w:rsidTr="00A42B95">
        <w:trPr>
          <w:trHeight w:val="20"/>
        </w:trPr>
        <w:tc>
          <w:tcPr>
            <w:tcW w:w="117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75518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6782D" w14:textId="77777777" w:rsidR="00B273C7" w:rsidRPr="00B273C7" w:rsidRDefault="00B273C7" w:rsidP="00A42B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Sustainability and Climate Change Agency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D03AE" w14:textId="77777777" w:rsidR="00B273C7" w:rsidRPr="00B273C7" w:rsidRDefault="00B273C7" w:rsidP="00A42B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73C7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Interview / validation / questionnaire</w:t>
            </w:r>
          </w:p>
        </w:tc>
      </w:tr>
    </w:tbl>
    <w:p w14:paraId="04A11F83" w14:textId="77777777" w:rsidR="00B273C7" w:rsidRPr="00B273C7" w:rsidRDefault="00B273C7" w:rsidP="00B273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34429418" w14:textId="77777777" w:rsidR="00B273C7" w:rsidRPr="00B273C7" w:rsidRDefault="00B273C7" w:rsidP="00B273C7">
      <w:pPr>
        <w:pStyle w:val="BodyText"/>
      </w:pPr>
      <w:r w:rsidRPr="00B273C7">
        <w:t xml:space="preserve">ASOF - National Trade Union Confederation of Street Markets, AFIPA - association of manufacturers and importers of phytosanitary products, PRODESAL - Program of Local development, INDAP - Institute for Agricultural Development, ODEPA - Office of Agricultural Studies and Policies, FIA -  Foundation for Agricultural Innovation, ACHIPIA - Chilean Agency for Food Safety, SAG - Agricultural and Livestock Service, INIA - Agricultural Research Institute, CORFO - Corporation for the Promotion of Production, </w:t>
      </w:r>
      <w:proofErr w:type="spellStart"/>
      <w:r w:rsidRPr="00B273C7">
        <w:t>ProChile</w:t>
      </w:r>
      <w:proofErr w:type="spellEnd"/>
      <w:r w:rsidRPr="00B273C7">
        <w:t xml:space="preserve"> - Chile’s Export Promotion Agency.</w:t>
      </w:r>
    </w:p>
    <w:p w14:paraId="79383CB3" w14:textId="77777777" w:rsidR="00B273C7" w:rsidRDefault="00B273C7"/>
    <w:p w14:paraId="7D7D9303" w14:textId="77777777" w:rsidR="00B273C7" w:rsidRDefault="00B273C7"/>
    <w:p w14:paraId="557DE12F" w14:textId="77777777" w:rsidR="00B273C7" w:rsidRDefault="00B273C7"/>
    <w:p w14:paraId="5934B518" w14:textId="77777777" w:rsidR="00B273C7" w:rsidRDefault="00B273C7"/>
    <w:p w14:paraId="56143E92" w14:textId="77777777" w:rsidR="00B273C7" w:rsidRDefault="00B273C7"/>
    <w:p w14:paraId="61B1539C" w14:textId="77777777" w:rsidR="00B273C7" w:rsidRDefault="00B273C7"/>
    <w:p w14:paraId="6AE16914" w14:textId="77777777" w:rsidR="00B273C7" w:rsidRDefault="00B273C7"/>
    <w:p w14:paraId="64890333" w14:textId="77777777" w:rsidR="00B273C7" w:rsidRDefault="00B273C7"/>
    <w:p w14:paraId="774C9AC2" w14:textId="77777777" w:rsidR="00B273C7" w:rsidRDefault="00B273C7"/>
    <w:p w14:paraId="50D9FF82" w14:textId="77777777" w:rsidR="00B273C7" w:rsidRDefault="00B273C7"/>
    <w:p w14:paraId="562C01F5" w14:textId="77777777" w:rsidR="00B273C7" w:rsidRDefault="00B273C7">
      <w:pPr>
        <w:sectPr w:rsidR="00B273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53E4C6" w14:textId="5FD3FA7C" w:rsidR="00B273C7" w:rsidRPr="00B273C7" w:rsidRDefault="00D80020" w:rsidP="00B273C7">
      <w:pPr>
        <w:tabs>
          <w:tab w:val="left" w:pos="168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Appendix</w:t>
      </w:r>
      <w:r w:rsidR="00B273C7" w:rsidRPr="00B27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r w:rsidR="00B273C7" w:rsidRPr="00B273C7">
        <w:rPr>
          <w:rFonts w:ascii="Times New Roman" w:hAnsi="Times New Roman" w:cs="Times New Roman"/>
          <w:color w:val="000000"/>
          <w:sz w:val="24"/>
          <w:szCs w:val="24"/>
        </w:rPr>
        <w:t>Detailed characteristics of vegetable food system types in Chile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6"/>
        <w:gridCol w:w="2403"/>
        <w:gridCol w:w="283"/>
        <w:gridCol w:w="2120"/>
        <w:gridCol w:w="213"/>
        <w:gridCol w:w="2190"/>
        <w:gridCol w:w="143"/>
        <w:gridCol w:w="2260"/>
        <w:gridCol w:w="73"/>
        <w:gridCol w:w="2333"/>
      </w:tblGrid>
      <w:tr w:rsidR="00B273C7" w:rsidRPr="00B273C7" w14:paraId="757504F3" w14:textId="77777777" w:rsidTr="00A42B95">
        <w:tc>
          <w:tcPr>
            <w:tcW w:w="709" w:type="pct"/>
            <w:tcBorders>
              <w:left w:val="nil"/>
              <w:bottom w:val="single" w:sz="4" w:space="0" w:color="auto"/>
              <w:right w:val="nil"/>
            </w:tcBorders>
          </w:tcPr>
          <w:p w14:paraId="3A7C78CA" w14:textId="77777777" w:rsidR="00B273C7" w:rsidRPr="00B273C7" w:rsidRDefault="00B273C7" w:rsidP="00A42B95">
            <w:pPr>
              <w:pStyle w:val="Heading4"/>
              <w:spacing w:line="240" w:lineRule="auto"/>
              <w:outlineLvl w:val="3"/>
              <w:rPr>
                <w:color w:val="000000"/>
                <w:sz w:val="15"/>
                <w:szCs w:val="15"/>
              </w:rPr>
            </w:pPr>
            <w:r w:rsidRPr="00B273C7">
              <w:rPr>
                <w:sz w:val="15"/>
                <w:szCs w:val="15"/>
              </w:rPr>
              <w:t>Characteristics</w:t>
            </w: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14:paraId="5432B6C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 xml:space="preserve">Small conventional / traditional system </w:t>
            </w:r>
          </w:p>
          <w:p w14:paraId="389A982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(Type I)</w:t>
            </w:r>
          </w:p>
        </w:tc>
        <w:tc>
          <w:tcPr>
            <w:tcW w:w="85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CC024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Small, agroecological system </w:t>
            </w:r>
          </w:p>
          <w:p w14:paraId="3680767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94EC70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(Type II)</w:t>
            </w:r>
          </w:p>
        </w:tc>
        <w:tc>
          <w:tcPr>
            <w:tcW w:w="85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35DF5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Small, organic system</w:t>
            </w:r>
          </w:p>
          <w:p w14:paraId="53C5BBE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3C5BE8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(Type III)</w:t>
            </w:r>
          </w:p>
        </w:tc>
        <w:tc>
          <w:tcPr>
            <w:tcW w:w="85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2BB47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Large, organic system</w:t>
            </w:r>
          </w:p>
          <w:p w14:paraId="0BB7D8A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6FF762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(Type IV)</w:t>
            </w:r>
          </w:p>
        </w:tc>
        <w:tc>
          <w:tcPr>
            <w:tcW w:w="85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6591B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Large, conventional system</w:t>
            </w:r>
          </w:p>
          <w:p w14:paraId="2092D1A6" w14:textId="77777777" w:rsid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14:paraId="3B81966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(Type V)</w:t>
            </w:r>
          </w:p>
        </w:tc>
      </w:tr>
      <w:tr w:rsidR="00B273C7" w:rsidRPr="00B273C7" w14:paraId="68415B53" w14:textId="77777777" w:rsidTr="00A42B95">
        <w:trPr>
          <w:trHeight w:val="198"/>
        </w:trPr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4BDC4F" w14:textId="77777777" w:rsidR="00B273C7" w:rsidRPr="00B273C7" w:rsidRDefault="00B273C7" w:rsidP="00A42B95">
            <w:pPr>
              <w:pStyle w:val="Heading5"/>
              <w:spacing w:after="0" w:line="240" w:lineRule="auto"/>
              <w:outlineLvl w:val="4"/>
              <w:rPr>
                <w:sz w:val="15"/>
                <w:szCs w:val="15"/>
              </w:rPr>
            </w:pPr>
            <w:r w:rsidRPr="00B273C7">
              <w:rPr>
                <w:sz w:val="15"/>
                <w:szCs w:val="15"/>
              </w:rPr>
              <w:t>Agricultural production system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4F8A4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77CB5D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C169E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08A8D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17AC500A" w14:textId="77777777" w:rsidTr="00A42B95"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973AB" w14:textId="77777777" w:rsidR="00B273C7" w:rsidRPr="00B273C7" w:rsidRDefault="00B273C7" w:rsidP="00B2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Area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72BE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&lt; 12 ha HRB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C336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less than 12 ha HRB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BF0B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less than 15 ha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FA76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more than 15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6EAD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more than 12 ha HRB</w:t>
            </w:r>
          </w:p>
        </w:tc>
      </w:tr>
      <w:tr w:rsidR="00B273C7" w:rsidRPr="00B273C7" w14:paraId="47513AA9" w14:textId="77777777" w:rsidTr="00A42B95"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</w:tcPr>
          <w:p w14:paraId="488754DE" w14:textId="77777777" w:rsidR="00B273C7" w:rsidRPr="00B273C7" w:rsidRDefault="00B273C7" w:rsidP="00B2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Labor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F9C3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Mainly family labour with occasional hired labour 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7F1F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Mainly family labour with occasional hired labour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9AB3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Family labour and commonly hired labour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9BF0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Hired labour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179196C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Mainly hired labour</w:t>
            </w:r>
          </w:p>
        </w:tc>
      </w:tr>
      <w:tr w:rsidR="00B273C7" w:rsidRPr="00B273C7" w14:paraId="79FB49F4" w14:textId="77777777" w:rsidTr="00A42B95"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</w:tcPr>
          <w:p w14:paraId="1244495A" w14:textId="77777777" w:rsidR="00B273C7" w:rsidRPr="00B273C7" w:rsidRDefault="00B273C7" w:rsidP="00B2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Level of EI / agronomic management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EC10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Low to medium level of EI / conventional 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management  +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traditional farming practices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563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Medium to very high level of EI / agroecological management with occasional use of conventional inputs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A32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Medium to very high level of EI / mostly agroecological management with use of commercial organic inputs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EA58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Low to medium level of EI / mostly input-substitution systems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9AFD7E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Very low to low level of EI / conventional management </w:t>
            </w:r>
          </w:p>
        </w:tc>
      </w:tr>
      <w:tr w:rsidR="00B273C7" w:rsidRPr="00B273C7" w14:paraId="4EE4E537" w14:textId="77777777" w:rsidTr="00A42B95"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</w:tcPr>
          <w:p w14:paraId="385111F3" w14:textId="77777777" w:rsidR="00B273C7" w:rsidRPr="00B273C7" w:rsidRDefault="00B273C7" w:rsidP="00B2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Tax compliance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A57F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–high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C890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–high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1882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High – very high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19D0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F230E3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Medium – very high</w:t>
            </w:r>
          </w:p>
        </w:tc>
      </w:tr>
      <w:tr w:rsidR="00B273C7" w:rsidRPr="00B273C7" w14:paraId="788E1303" w14:textId="77777777" w:rsidTr="00A42B95"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</w:tcPr>
          <w:p w14:paraId="3E3A4047" w14:textId="77777777" w:rsidR="00B273C7" w:rsidRPr="00B273C7" w:rsidRDefault="00B273C7" w:rsidP="00B2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Management level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0C0B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- medium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D9C3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- medium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F009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Low - high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6581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High – very high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9FDCC2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Medium – very high</w:t>
            </w:r>
          </w:p>
        </w:tc>
      </w:tr>
      <w:tr w:rsidR="00B273C7" w:rsidRPr="00B273C7" w14:paraId="2D90EA06" w14:textId="77777777" w:rsidTr="00A42B95">
        <w:tc>
          <w:tcPr>
            <w:tcW w:w="70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7C5D49" w14:textId="77777777" w:rsidR="00B273C7" w:rsidRPr="00B273C7" w:rsidRDefault="00B273C7" w:rsidP="00B2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Production orientation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713BBD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Auto-consumption and market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193C5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Auto-consumption and market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2C68F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Market and to a lower extent auto-consumption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CC293C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Market</w:t>
            </w:r>
          </w:p>
        </w:tc>
        <w:tc>
          <w:tcPr>
            <w:tcW w:w="833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FAC3C4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Market</w:t>
            </w:r>
          </w:p>
        </w:tc>
      </w:tr>
      <w:tr w:rsidR="00B273C7" w:rsidRPr="00B273C7" w14:paraId="0D780B8F" w14:textId="77777777" w:rsidTr="00A42B95">
        <w:tc>
          <w:tcPr>
            <w:tcW w:w="70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6EC28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Value chain</w:t>
            </w:r>
          </w:p>
        </w:tc>
        <w:tc>
          <w:tcPr>
            <w:tcW w:w="95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2A2A9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B0790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01F1D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569B5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93142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2C7AB575" w14:textId="77777777" w:rsidTr="00A42B95">
        <w:tc>
          <w:tcPr>
            <w:tcW w:w="709" w:type="pct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5160310F" w14:textId="77777777" w:rsidR="00B273C7" w:rsidRPr="00B273C7" w:rsidRDefault="00B273C7" w:rsidP="00B27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Network structure</w:t>
            </w:r>
          </w:p>
        </w:tc>
        <w:tc>
          <w:tcPr>
            <w:tcW w:w="959" w:type="pct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246EA8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25A14F2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386792D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878467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3934750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5E1E7F31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90258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a1. Vertical relationships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FC14E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collaboration in traditional channel. Food Corporation Market Observatory (CODEMA)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BA43E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collaboration in traditional channel. Moderate to strong collaboration in some short marketing channels (Farmers – consumer organizations and agroecological communities –/organized consumers)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CAA21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Moderate to strong collaboration in short marketing channels (e.g. association of ecological producers – eco-fairs and association of ecological producers – individual or consumer organizations)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B8612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Moderate to </w:t>
            </w:r>
            <w:r w:rsidR="00A42B9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very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high coordination between producers and supermarkets (logistics, volumes, standards, control mechanisms, price setting, sanctions)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73320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Limited collaboration in traditional channel </w:t>
            </w:r>
          </w:p>
          <w:p w14:paraId="3553778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Moderate to </w:t>
            </w:r>
            <w:r w:rsidR="00A42B9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very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high coordination producers – agroindustry or supermarkets ((logistics, volumes, standards, control mechanisms, price setting, sanctions). Contract farming producers and agroindustry</w:t>
            </w:r>
          </w:p>
        </w:tc>
      </w:tr>
      <w:tr w:rsidR="00B273C7" w:rsidRPr="00B273C7" w14:paraId="37A3CA7D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02574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a2. Horizontal relationships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DA84B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collaboration in traditional channel (e.g. groups of farmers in PRODESAL, ASOF)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228FD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collaboration in traditional channel (see Type I) / Moderate to strong collaboration in short marketing channels (e.g. agroecological communities, groups of farmers in PRODESAL, consumer organizations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F3F9E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Moderate to strong collaboration in short marketing channels (e.g. association of ecological producers, organization of street fairs, organization of consumers, marketing cooperatives)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C6D68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Lack or very low collaboration </w:t>
            </w:r>
          </w:p>
          <w:p w14:paraId="7E1FE68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DCD1A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collaboration in traditional channel (e.g. ASOF) / Very low collaboration in modern channels (supermarkets and agroindustry)</w:t>
            </w:r>
          </w:p>
          <w:p w14:paraId="3A645F2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11240A71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219BFD65" w14:textId="77777777" w:rsidR="00B273C7" w:rsidRPr="00B273C7" w:rsidRDefault="00B273C7" w:rsidP="00B27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Value chain governance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854D95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6A21D92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2F94C08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8ABC61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0DAB37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B273C7" w:rsidRPr="00B273C7" w14:paraId="30A1D63C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EB150A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b1. Bilateral contracts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3706BC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AE3082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2BCCB1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FC7DBD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149A09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78A0B90E" w14:textId="77777777" w:rsidTr="00A42B95">
        <w:tc>
          <w:tcPr>
            <w:tcW w:w="70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A4838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b11. Type of agreements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55BF3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m</w:t>
            </w:r>
            <w:r w:rsidR="00A42B9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arket and informal agreements. Long-term informal relations may also exist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94475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market and informal agreements in traditional channel and short marketing channels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080AEB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market and informal agreements in short marketing channels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BB81F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Written commercial agreements with retail 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/  Spot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market and informal agreements with small retailers and producers Type III</w:t>
            </w:r>
          </w:p>
        </w:tc>
        <w:tc>
          <w:tcPr>
            <w:tcW w:w="833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74BDC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market and informal agreements in traditional channel / Written commercial agreements with retail / Spot market and seasonal contracts (contr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act-farming) with agroindustry (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ODEPA </w:t>
            </w: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273C7" w:rsidRPr="00B273C7" w14:paraId="134BE35B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E8386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b12. Price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C8E46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Mostly spot price in traditional channel. In some 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cases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intermediaries set arbitrary prices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EEBEC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Spot price without bonus in traditional channel (see Type I) / price agree between actors with reference the market price in short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marketing channels / fixed price in box-schemes)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1981B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Price agree between actors in short marketing channels (e.g. producers and marketing cooperatives/eco-shops) / spot price for organic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products used as reference price in eco-fairs/markets/direct sales / fixed price in box schemes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92A79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Weekly/monthly/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annual  fixed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price with supermarkets + bonus / spot price or based on verbal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agreements + bonus with small retailers 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334E3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Spot price in traditional channel (see Type I) / Weekly/monthly/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annual  fixed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price with supermarkets and agroindustry </w:t>
            </w:r>
          </w:p>
        </w:tc>
      </w:tr>
      <w:tr w:rsidR="00B273C7" w:rsidRPr="00B273C7" w14:paraId="25371DA1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5DD1F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b13. Volume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4C6AC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volume or based on informal agreements in traditional channel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AA79F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volume or agreed on informal agreements in the traditional channel / spot volume or variable based on informal agreements in short marketing channels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16C33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volume or variable and based on informal agreements in short marketing channels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4CDD6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Volume and frequency fixed in written agreements with supermarkets / spot volume with producers and small retailers or variable and based on informal agreements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6243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Spot volume or agreed on informal agreements in traditional channel / Volume and frequency fixed in the written agreements with supermarkets and agroindustry. </w:t>
            </w:r>
          </w:p>
        </w:tc>
      </w:tr>
      <w:tr w:rsidR="00B273C7" w:rsidRPr="00B273C7" w14:paraId="6E22D537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787B4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b14. Safety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1F6D0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Almost non-existent standards and requirements and lack of traceability systems in traditional channel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A66B8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standards and requirements on safety and lack of traceability in traditional channel / social control in short marketing channels based on relations of trust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77E6B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Compliance with the technical regulations in organic production and internal control systems (PGS) / internal control systems in eco-fairs/markets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DA0D9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Compliance with the technical regulations in organic production. Audits of 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third party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certification body / Supermarket audits although mainly focus on phytosanitary standards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48F66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Lack of control and traceability in traditional channel / Moderate to high standards on safety with supermarkets - Audits by supermarket and the agroindustry, mostly focused on phytosanitary standards. High traceability.</w:t>
            </w:r>
          </w:p>
        </w:tc>
      </w:tr>
      <w:tr w:rsidR="00B273C7" w:rsidRPr="00B273C7" w14:paraId="191473EE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5A977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b15. Quality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718D1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market requirements in traditional channel (based on size, colour, firmness and postharvest shelf-life)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3DA10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Spot market requirements in traditional channel (see Type I) / Attributes of health, local production, food security 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and  sustainability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in short marketing channels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57CAA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Organic label and attributes on health, local production, food security and sustainability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05861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Organic label and health, and supermarket requirements on quality (</w:t>
            </w: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>size, colour, firmness, texture, freshness, postharvest shelf-life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F4EC2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Spot market requirements in traditional channel (see Type I) / Buyer requirements on quality (</w:t>
            </w: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>size, colour, firmness, texture, freshness, postharvest shelf-life)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B273C7" w:rsidRPr="00B273C7" w14:paraId="33662E7F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40B02A2F" w14:textId="77777777" w:rsidR="00B273C7" w:rsidRPr="00B273C7" w:rsidRDefault="00B273C7" w:rsidP="00B27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Network governance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414F13C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11B7B1A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4F27627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34F9EA7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2A4B2A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273C7" w:rsidRPr="00B273C7" w14:paraId="423C9965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128DC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c1. Leadership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D6351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 clear leadership in traditional channel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BF312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 clear leadership in traditional channel / Leadership by agroecological communities or organization of consumers in short marketing channels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CEA7A6" w14:textId="77777777" w:rsidR="00B273C7" w:rsidRPr="00B273C7" w:rsidRDefault="00B273C7" w:rsidP="0013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Leadership by associations of </w:t>
            </w:r>
            <w:r w:rsidR="00137EF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organic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producers 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02616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Leadership taken by supermarkets 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5F5494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 clear leadership in traditional channel / leadership taken by supermarkets and agroindustry</w:t>
            </w:r>
          </w:p>
        </w:tc>
      </w:tr>
      <w:tr w:rsidR="00B273C7" w:rsidRPr="00B273C7" w14:paraId="418651D9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D5810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2.Shared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governance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C47C8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Very low or no existent communication and consultation throughout the chain 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EA38B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communication and consultation throughout the chain in traditional channel / participation and autonomy in agroecological groups and communities and organization of consumers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8E66B8" w14:textId="77777777" w:rsidR="00B273C7" w:rsidRPr="00B273C7" w:rsidRDefault="00B273C7" w:rsidP="00137E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Horizontal participation and autonomy in the organizations of </w:t>
            </w:r>
            <w:r w:rsidR="00137EF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organic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producers, cooperatives and eco-fairs. Frequent assemblies and meetings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07A16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Limited communication and relationships are mainly commercial </w:t>
            </w:r>
          </w:p>
          <w:p w14:paraId="17C87A6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0BECC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communication and consultation in traditional channel / Communication and relations with supermarkets and agroindustry are mainly commercial</w:t>
            </w:r>
          </w:p>
        </w:tc>
      </w:tr>
      <w:tr w:rsidR="00B273C7" w:rsidRPr="00B273C7" w14:paraId="2E6E4A68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58FED257" w14:textId="77777777" w:rsidR="00B273C7" w:rsidRPr="00B273C7" w:rsidRDefault="00B273C7" w:rsidP="00B27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Informal mechanisms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42D8371C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BC70F6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1EA6C14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7E51992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14:paraId="1B6C8D1D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4D22515F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8294C7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d. Trust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366BB5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or lack of trust between actors in traditional channel, although there are long-term relationships between suppliers and buyers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72E7B4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very low trust between actors in traditional channel/ Medium to high trust between value chain actors in short marketing channels. Free riders may lower the trust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D3B6DB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Relatively high levels of trust between value chain actors. Free riders may lower the trust</w:t>
            </w:r>
          </w:p>
          <w:p w14:paraId="5BECDE0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90F40A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Low to moderate levels of trust between supplier and buyers.</w:t>
            </w:r>
          </w:p>
          <w:p w14:paraId="4930661D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0CA54C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Very low trust between actors in traditional channel / low to moderate levels of trust between supplier and supermarkets and agroindustry </w:t>
            </w:r>
          </w:p>
        </w:tc>
      </w:tr>
      <w:tr w:rsidR="00B273C7" w:rsidRPr="00B273C7" w14:paraId="0DC7246F" w14:textId="77777777" w:rsidTr="00A42B95">
        <w:tc>
          <w:tcPr>
            <w:tcW w:w="33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987A8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Support structures for innovation and everyday functioning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A0B4A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3E517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  <w:tr w:rsidR="00B273C7" w:rsidRPr="00B273C7" w14:paraId="08CB9CA6" w14:textId="77777777" w:rsidTr="00A42B95">
        <w:tc>
          <w:tcPr>
            <w:tcW w:w="709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BCD7BA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 &amp; D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50CD05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Formal education centres and public research centres (e.g. INIA). Research in vegetable production and commercialization for the peasant family agriculture is limited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7A269C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5"/>
                <w:szCs w:val="15"/>
                <w:highlight w:val="yellow"/>
                <w:lang w:eastAsia="en-US" w:bidi="ar-SA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 xml:space="preserve">NGOs, alternative research centres and grassroots networks and social movements (learning by doing). Alternative centres provide in some cases a scientific basis to agroecology enriching the experiences in the field.  </w:t>
            </w:r>
          </w:p>
          <w:p w14:paraId="0CC204D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</w:p>
          <w:p w14:paraId="0A4163E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lastRenderedPageBreak/>
              <w:t>Formal education centres (marginal – there are not undergraduate degrees or specializations in agroecology. However at least five universities present research and extension groups in agroecology (Montalba et al., 2017)</w:t>
            </w:r>
          </w:p>
          <w:p w14:paraId="09A1A78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</w:p>
          <w:p w14:paraId="19A4920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 xml:space="preserve">Public programs and research in agroecology or organic agriculture (marginal but there are initiatives in INIA, INDAP and </w:t>
            </w:r>
            <w:proofErr w:type="gramStart"/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>CONADI)  (</w:t>
            </w:r>
            <w:proofErr w:type="gramEnd"/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>Montalba et al., 2017)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982E1E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NGOs, alternative research centres and grassroots networks and social movements (learning by doing. Alternative centres provide in some cases a scientific basis to agroecology enriching the experiences in the field  </w:t>
            </w:r>
          </w:p>
          <w:p w14:paraId="0D21EA3D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923CEEB" w14:textId="77777777" w:rsidR="00B273C7" w:rsidRPr="00B273C7" w:rsidRDefault="00B273C7" w:rsidP="00A42B95">
            <w:pPr>
              <w:pStyle w:val="BodyText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lastRenderedPageBreak/>
              <w:t>Formal education centres (marginal – there are not undergraduate degrees or specializations in agroecology. However at least five universities present research and extension groups in agroecology (Montalba et al., 2017)</w:t>
            </w:r>
          </w:p>
          <w:p w14:paraId="1DC6066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</w:p>
          <w:p w14:paraId="50EF9E7D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>Public programs and research in agroecology or organic agriculture (marginal but there are initiatives in INIA, INDAP and CONADI) (Montalba et al., 2017)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3A006C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Private research centres and learning by doing. R&amp;D in formal education centres and public research centres is marginal.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D31440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Formal education centres and public research centres (INIA)</w:t>
            </w:r>
          </w:p>
          <w:p w14:paraId="660AC549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63F632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Post-harvest technologies, productivity, competitiveness, value-added</w:t>
            </w:r>
          </w:p>
        </w:tc>
      </w:tr>
      <w:tr w:rsidR="00B273C7" w:rsidRPr="00B273C7" w14:paraId="4CB024A5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4538B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Extension services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9E797D" w14:textId="77777777" w:rsidR="00B273C7" w:rsidRPr="00B273C7" w:rsidRDefault="00B273C7" w:rsidP="00A42B95">
            <w:pPr>
              <w:pStyle w:val="BodyText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>Extension financed by public institutions and delivered by private advisors, academic and civil society institutions.</w:t>
            </w:r>
          </w:p>
          <w:p w14:paraId="62A7672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 xml:space="preserve">Technical advice through INIA and input supplying companies (e.g. AFIPA). </w:t>
            </w:r>
          </w:p>
          <w:p w14:paraId="4B2E477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Pesticides: extension focuses on management and disposal of pesticides, GAP and CP agreements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77C44B" w14:textId="77777777" w:rsidR="00B273C7" w:rsidRPr="00B273C7" w:rsidRDefault="00B273C7" w:rsidP="00A42B95">
            <w:pPr>
              <w:pStyle w:val="BodyText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Grassroots knowledge sharing systems, NGOs, and alternative research centres. </w:t>
            </w: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>Extension financed by INDAP and delivered by private advisors, academic and civil society institutions.</w:t>
            </w:r>
          </w:p>
          <w:p w14:paraId="12B24FF5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 xml:space="preserve">Public extension in agroecology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 marginal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B2344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Grassroots knowledge sharing systems, NGOs, alternative research centres. Public extension in organic agriculture is marginal 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8BA20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Private extension with a demand- driven approach and input sellers </w:t>
            </w: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 xml:space="preserve">providing technical advice 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D4403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Private extension with a demand- driven approach and </w:t>
            </w: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 xml:space="preserve">technical advice by input supplying companies (e.g. AFIPA) 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Pesticides: extension focuses on pesticide efficiency via technological innovation, GAP and CP</w:t>
            </w:r>
          </w:p>
        </w:tc>
      </w:tr>
      <w:tr w:rsidR="00B273C7" w:rsidRPr="00B273C7" w14:paraId="07CA85A8" w14:textId="77777777" w:rsidTr="00A42B95">
        <w:tc>
          <w:tcPr>
            <w:tcW w:w="709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C7A9D4B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Innovation policy</w:t>
            </w:r>
          </w:p>
        </w:tc>
        <w:tc>
          <w:tcPr>
            <w:tcW w:w="959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6F10770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Public policies, programs and funding through INDAP. 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7B7083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Innovation comes from grassroots networks and social movements</w:t>
            </w:r>
          </w:p>
          <w:p w14:paraId="13C2E61F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public policies, programs and innovation in agroecology and commercialization.</w:t>
            </w:r>
          </w:p>
          <w:p w14:paraId="3702F952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823924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Integration of concepts of agroecology and organic agriculture in public funding (especially through FIA and the Ministry of the Environment </w:t>
            </w: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>(Montalba et al., 2017)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However, efforts are marginal.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7AED52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Law in organic production / Innovation comes from grassroots networks and social movements. </w:t>
            </w:r>
          </w:p>
          <w:p w14:paraId="6934179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Limited public policies, programs and innovation in agroecology and commercialization.</w:t>
            </w:r>
          </w:p>
          <w:p w14:paraId="0E795D8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>Integration of concepts of agroecology and organic agriculture in public funding (especially through FIA and the Ministry of the Environment (Montalba et al., 2017). However, efforts are marginal.</w:t>
            </w:r>
          </w:p>
        </w:tc>
        <w:tc>
          <w:tcPr>
            <w:tcW w:w="8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1052EC6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Law in organic production. Public innovation agencies and development programs (FIA, CORFO, etc.) but are not specific for the vegetable sector and for organic production and commercialization</w:t>
            </w:r>
          </w:p>
          <w:p w14:paraId="1EE04703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D10F2D8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E40F727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Integration of concepts in organic agriculture in competitive public funding (especially through FIA and the Ministry of the Environment </w:t>
            </w:r>
            <w:r w:rsidRPr="00B273C7">
              <w:rPr>
                <w:rFonts w:ascii="Times New Roman" w:eastAsiaTheme="minorHAnsi" w:hAnsi="Times New Roman" w:cs="Times New Roman"/>
                <w:sz w:val="15"/>
                <w:szCs w:val="15"/>
                <w:lang w:eastAsia="en-US" w:bidi="ar-SA"/>
              </w:rPr>
              <w:t>(Montalba et al., 2017)</w:t>
            </w: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However, efforts are marginal.</w:t>
            </w:r>
          </w:p>
        </w:tc>
        <w:tc>
          <w:tcPr>
            <w:tcW w:w="833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D564CDE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Existence of </w:t>
            </w:r>
            <w:proofErr w:type="gramStart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public  innovation</w:t>
            </w:r>
            <w:proofErr w:type="gramEnd"/>
            <w:r w:rsidRPr="00B273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agencies and development programs (e.g. FIA and CORFO)  but not specific for the vegetable sector </w:t>
            </w:r>
          </w:p>
          <w:p w14:paraId="42CF8EE1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FA92A5A" w14:textId="77777777" w:rsidR="00B273C7" w:rsidRPr="00B273C7" w:rsidRDefault="00B273C7" w:rsidP="00A42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273C7">
              <w:rPr>
                <w:rFonts w:ascii="Times New Roman" w:hAnsi="Times New Roman" w:cs="Times New Roman"/>
                <w:sz w:val="15"/>
                <w:szCs w:val="15"/>
              </w:rPr>
              <w:t>High Technology Program” of Innova Chile to support the development of high-tech projects with significant commercial potential. Technological innovation</w:t>
            </w:r>
          </w:p>
        </w:tc>
      </w:tr>
    </w:tbl>
    <w:p w14:paraId="7F763207" w14:textId="77777777" w:rsidR="00B273C7" w:rsidRPr="00B273C7" w:rsidRDefault="00B273C7" w:rsidP="00B273C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B273C7">
        <w:rPr>
          <w:rFonts w:ascii="Times New Roman" w:eastAsiaTheme="minorHAnsi" w:hAnsi="Times New Roman" w:cs="Times New Roman"/>
          <w:color w:val="131413"/>
          <w:sz w:val="19"/>
          <w:szCs w:val="19"/>
          <w:lang w:eastAsia="en-US" w:bidi="ar-SA"/>
        </w:rPr>
        <w:t xml:space="preserve">ASOF - National Trade Union Confederation of Street Markets, AFIPA - association of manufacturers and importers of phytosanitary products, PRODESAL - Program of Local development, INDAP - Institute for Agricultural Development, ODEPA - Office of Agricultural Studies and Policies, FIA -  Foundation for Agricultural Innovation, ACHIPIA - Chilean Agency for Food Safety, SAG - Agricultural and Livestock Service, INIA - Agricultural Research Institute, CORFO - Corporation for the Promotion of Production, </w:t>
      </w:r>
      <w:proofErr w:type="spellStart"/>
      <w:r w:rsidRPr="00B273C7">
        <w:rPr>
          <w:rFonts w:ascii="Times New Roman" w:eastAsiaTheme="minorHAnsi" w:hAnsi="Times New Roman" w:cs="Times New Roman"/>
          <w:color w:val="131413"/>
          <w:sz w:val="19"/>
          <w:szCs w:val="19"/>
          <w:lang w:eastAsia="en-US" w:bidi="ar-SA"/>
        </w:rPr>
        <w:t>ProChile</w:t>
      </w:r>
      <w:proofErr w:type="spellEnd"/>
      <w:r w:rsidRPr="00B273C7">
        <w:rPr>
          <w:rFonts w:ascii="Times New Roman" w:eastAsiaTheme="minorHAnsi" w:hAnsi="Times New Roman" w:cs="Times New Roman"/>
          <w:color w:val="131413"/>
          <w:sz w:val="19"/>
          <w:szCs w:val="19"/>
          <w:lang w:eastAsia="en-US" w:bidi="ar-SA"/>
        </w:rPr>
        <w:t xml:space="preserve"> - Chile’s Export Promotion Agency, CONADI – National Corporation of Indigenous Development, GAP – Good agricultural practices, CP – Clean production agreements.</w:t>
      </w:r>
      <w:r w:rsidRPr="00B273C7">
        <w:rPr>
          <w:rFonts w:ascii="Arial" w:hAnsi="Arial" w:cs="Arial"/>
          <w:sz w:val="20"/>
          <w:szCs w:val="20"/>
        </w:rPr>
        <w:t xml:space="preserve"> </w:t>
      </w:r>
    </w:p>
    <w:p w14:paraId="746A38FE" w14:textId="77777777" w:rsidR="00B273C7" w:rsidRDefault="00B273C7">
      <w:pPr>
        <w:sectPr w:rsidR="00B273C7" w:rsidSect="00B273C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194B41" w14:textId="63C106C3" w:rsidR="00B273C7" w:rsidRDefault="00D80020" w:rsidP="00B273C7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b/>
        </w:rPr>
        <w:lastRenderedPageBreak/>
        <w:t>Appendix</w:t>
      </w:r>
      <w:r w:rsidR="00B273C7">
        <w:rPr>
          <w:rFonts w:ascii="Times New Roman" w:hAnsi="Times New Roman" w:cs="Times New Roman"/>
          <w:b/>
        </w:rPr>
        <w:t xml:space="preserve"> 4</w:t>
      </w:r>
      <w:r w:rsidR="00B273C7" w:rsidRPr="00431845">
        <w:rPr>
          <w:rFonts w:ascii="Times New Roman" w:hAnsi="Times New Roman" w:cs="Times New Roman"/>
          <w:b/>
        </w:rPr>
        <w:t>.</w:t>
      </w:r>
      <w:r w:rsidR="00B273C7">
        <w:rPr>
          <w:rFonts w:ascii="Times New Roman" w:hAnsi="Times New Roman" w:cs="Times New Roman"/>
          <w:b/>
        </w:rPr>
        <w:t xml:space="preserve"> </w:t>
      </w:r>
      <w:r w:rsidR="00B273C7">
        <w:rPr>
          <w:rFonts w:ascii="Times New Roman" w:hAnsi="Times New Roman" w:cs="Times New Roman"/>
          <w:color w:val="auto"/>
          <w:sz w:val="22"/>
          <w:szCs w:val="22"/>
          <w:lang w:val="en-US" w:bidi="ar-SA"/>
        </w:rPr>
        <w:t>Expert assessm</w:t>
      </w:r>
      <w:r w:rsidR="009C7063">
        <w:rPr>
          <w:rFonts w:ascii="Times New Roman" w:hAnsi="Times New Roman" w:cs="Times New Roman"/>
          <w:color w:val="auto"/>
          <w:sz w:val="22"/>
          <w:szCs w:val="22"/>
          <w:lang w:val="en-US" w:bidi="ar-SA"/>
        </w:rPr>
        <w:t xml:space="preserve">ent of </w:t>
      </w:r>
      <w:r w:rsidR="006A4D3C">
        <w:rPr>
          <w:rFonts w:ascii="Times New Roman" w:hAnsi="Times New Roman" w:cs="Times New Roman"/>
          <w:color w:val="auto"/>
          <w:sz w:val="22"/>
          <w:szCs w:val="22"/>
          <w:lang w:val="en-US" w:bidi="ar-SA"/>
        </w:rPr>
        <w:t xml:space="preserve">current </w:t>
      </w:r>
      <w:r w:rsidR="009C7063">
        <w:rPr>
          <w:rFonts w:ascii="Times New Roman" w:hAnsi="Times New Roman" w:cs="Times New Roman"/>
          <w:color w:val="auto"/>
          <w:sz w:val="22"/>
          <w:szCs w:val="22"/>
          <w:lang w:val="en-US" w:bidi="ar-SA"/>
        </w:rPr>
        <w:t>food systems performance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361"/>
        <w:gridCol w:w="1361"/>
        <w:gridCol w:w="1361"/>
        <w:gridCol w:w="1361"/>
        <w:gridCol w:w="1361"/>
      </w:tblGrid>
      <w:tr w:rsidR="006A4D3C" w:rsidRPr="00B273C7" w14:paraId="410D023D" w14:textId="77777777" w:rsidTr="006A4D3C">
        <w:trPr>
          <w:trHeight w:val="480"/>
        </w:trPr>
        <w:tc>
          <w:tcPr>
            <w:tcW w:w="125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08981" w14:textId="3D31AFCE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Food system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>performance</w:t>
            </w: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 / statement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7FF3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 (Type I)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7BE2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 (Type II)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67C5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 (Type III)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DDD5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 (Type IV)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13F7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 w:bidi="ar-SA"/>
              </w:rPr>
              <w:t xml:space="preserve"> (Type V)</w:t>
            </w:r>
          </w:p>
        </w:tc>
      </w:tr>
      <w:tr w:rsidR="006A4D3C" w:rsidRPr="00B273C7" w14:paraId="06CD4126" w14:textId="77777777" w:rsidTr="006A4D3C">
        <w:trPr>
          <w:trHeight w:val="300"/>
        </w:trPr>
        <w:tc>
          <w:tcPr>
            <w:tcW w:w="12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C323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E1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DEF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2.5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2A8D7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3.0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40F87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9C9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4.4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171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4.4</w:t>
            </w:r>
          </w:p>
        </w:tc>
      </w:tr>
      <w:tr w:rsidR="006A4D3C" w:rsidRPr="00B273C7" w14:paraId="2515BDE6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8F67C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E2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9A33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59A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72F13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5A2E6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37D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3.1</w:t>
            </w:r>
          </w:p>
        </w:tc>
      </w:tr>
      <w:tr w:rsidR="006A4D3C" w:rsidRPr="00B273C7" w14:paraId="18244963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2DA06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E3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FE3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0066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AFF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EEC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8E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4.5</w:t>
            </w:r>
          </w:p>
        </w:tc>
      </w:tr>
      <w:tr w:rsidR="006A4D3C" w:rsidRPr="00B273C7" w14:paraId="6B500C8E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13E9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E4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AD4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829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AA9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F9E3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B63C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3.4</w:t>
            </w:r>
          </w:p>
        </w:tc>
      </w:tr>
      <w:tr w:rsidR="006A4D3C" w:rsidRPr="00B273C7" w14:paraId="17FE8E48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E8B0F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E5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B8C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1.7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A88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3.1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4256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B66F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D776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</w:tr>
      <w:tr w:rsidR="006A4D3C" w:rsidRPr="00B273C7" w14:paraId="509BB023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50D6A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nl-NL" w:bidi="ar-SA"/>
              </w:rPr>
              <w:t>Average E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06A42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2.4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93C24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52CF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9B067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1489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3.8</w:t>
            </w:r>
          </w:p>
        </w:tc>
      </w:tr>
      <w:tr w:rsidR="006A4D3C" w:rsidRPr="00B273C7" w14:paraId="537E5BEB" w14:textId="77777777" w:rsidTr="006A4D3C">
        <w:trPr>
          <w:trHeight w:val="300"/>
        </w:trPr>
        <w:tc>
          <w:tcPr>
            <w:tcW w:w="12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9AED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M1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D528F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2.1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1756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FA7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4263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938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1.9</w:t>
            </w:r>
          </w:p>
        </w:tc>
      </w:tr>
      <w:tr w:rsidR="006A4D3C" w:rsidRPr="00B273C7" w14:paraId="408BC519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1C17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M2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7067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F54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D18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0F7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0F24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1.9</w:t>
            </w:r>
          </w:p>
        </w:tc>
      </w:tr>
      <w:tr w:rsidR="006A4D3C" w:rsidRPr="00B273C7" w14:paraId="697A36FF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34EF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M3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A16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1.9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811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4.3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7B04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5279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3.2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D7FB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1.7</w:t>
            </w:r>
          </w:p>
        </w:tc>
      </w:tr>
      <w:tr w:rsidR="006A4D3C" w:rsidRPr="00B273C7" w14:paraId="1E7B510E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CBD77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Average M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D362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1.9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256C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4.3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89C8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4.4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A181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B593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1.8</w:t>
            </w:r>
          </w:p>
        </w:tc>
      </w:tr>
      <w:tr w:rsidR="006A4D3C" w:rsidRPr="00B273C7" w14:paraId="63A5F20C" w14:textId="77777777" w:rsidTr="006A4D3C">
        <w:trPr>
          <w:trHeight w:val="300"/>
        </w:trPr>
        <w:tc>
          <w:tcPr>
            <w:tcW w:w="12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70824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S1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FCE2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2.6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53F9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58DB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AD47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3.4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4AB8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</w:tr>
      <w:tr w:rsidR="006A4D3C" w:rsidRPr="00B273C7" w14:paraId="57D5B35A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AE8B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S2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F1D2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8F1B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DA6A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F8F8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27B6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2.8</w:t>
            </w:r>
          </w:p>
        </w:tc>
      </w:tr>
      <w:tr w:rsidR="006A4D3C" w:rsidRPr="00B273C7" w14:paraId="1DEA95D0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6AB9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S3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10BAF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EF32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3AF7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4DB7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285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3.1</w:t>
            </w:r>
          </w:p>
        </w:tc>
      </w:tr>
      <w:tr w:rsidR="006A4D3C" w:rsidRPr="00B273C7" w14:paraId="4D585972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031C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S4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2C0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AEC3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E41B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DB1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CED4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3.1</w:t>
            </w:r>
          </w:p>
        </w:tc>
      </w:tr>
      <w:tr w:rsidR="006A4D3C" w:rsidRPr="00B273C7" w14:paraId="53CFC6C3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4647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S5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0DFCB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4BF6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CCE5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E5BB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EFA7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2.9</w:t>
            </w:r>
          </w:p>
        </w:tc>
      </w:tr>
      <w:tr w:rsidR="006A4D3C" w:rsidRPr="00B273C7" w14:paraId="401B9E4F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12A9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S6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C5D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2.0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D14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3.9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5FAA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C75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17A4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2.2</w:t>
            </w:r>
          </w:p>
        </w:tc>
      </w:tr>
      <w:tr w:rsidR="006A4D3C" w:rsidRPr="00B273C7" w14:paraId="45C7DBC5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0B38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Average S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C715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2.0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4ABCF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00D8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3.7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49C8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6041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2.9</w:t>
            </w:r>
          </w:p>
        </w:tc>
      </w:tr>
      <w:tr w:rsidR="006A4D3C" w:rsidRPr="00B273C7" w14:paraId="73DD7C02" w14:textId="77777777" w:rsidTr="006A4D3C">
        <w:trPr>
          <w:trHeight w:val="300"/>
        </w:trPr>
        <w:tc>
          <w:tcPr>
            <w:tcW w:w="12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E572F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FS1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372C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2.7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7FC5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2.3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75AB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2.4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0B7B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3.1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3A92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4.3</w:t>
            </w:r>
          </w:p>
        </w:tc>
      </w:tr>
      <w:tr w:rsidR="006A4D3C" w:rsidRPr="00B273C7" w14:paraId="6A323DF9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B4B25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FS2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8C0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D9BB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ACD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2F4F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D1E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3.8</w:t>
            </w:r>
          </w:p>
        </w:tc>
      </w:tr>
      <w:tr w:rsidR="006A4D3C" w:rsidRPr="00B273C7" w14:paraId="352E215D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613C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FS3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043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FF3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81DF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B3E54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2.5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C8C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4.3</w:t>
            </w:r>
          </w:p>
        </w:tc>
      </w:tr>
      <w:tr w:rsidR="006A4D3C" w:rsidRPr="00B273C7" w14:paraId="52C82EDF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ABCD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FS4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5A81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1.3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8BA5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FF422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4.2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A939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4.5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9DDA0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 w:bidi="ar-SA"/>
              </w:rPr>
              <w:t>3.1</w:t>
            </w:r>
          </w:p>
        </w:tc>
      </w:tr>
      <w:tr w:rsidR="006A4D3C" w:rsidRPr="00B273C7" w14:paraId="06B98792" w14:textId="77777777" w:rsidTr="006A4D3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B027E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Average FS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B81AC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2.9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AA4E2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2.8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4669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2.8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1802E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3.0</w:t>
            </w: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F5B2D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3.9</w:t>
            </w:r>
          </w:p>
        </w:tc>
      </w:tr>
      <w:tr w:rsidR="006A4D3C" w:rsidRPr="00B273C7" w14:paraId="2C41867E" w14:textId="77777777" w:rsidTr="006A4D3C">
        <w:trPr>
          <w:trHeight w:val="300"/>
        </w:trPr>
        <w:tc>
          <w:tcPr>
            <w:tcW w:w="125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02F10" w14:textId="77777777" w:rsidR="006A4D3C" w:rsidRPr="00B273C7" w:rsidRDefault="006A4D3C" w:rsidP="0043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Overall performance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A6E2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2.3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092E1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3.5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F8ADF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3.6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F56C8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3.4</w:t>
            </w: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0F69B" w14:textId="77777777" w:rsidR="006A4D3C" w:rsidRPr="00B273C7" w:rsidRDefault="006A4D3C" w:rsidP="0043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</w:pPr>
            <w:r w:rsidRPr="00B2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 w:bidi="ar-SA"/>
              </w:rPr>
              <w:t>3.0</w:t>
            </w:r>
          </w:p>
        </w:tc>
      </w:tr>
    </w:tbl>
    <w:p w14:paraId="09C1A6E1" w14:textId="77777777" w:rsidR="006A4D3C" w:rsidRDefault="006A4D3C" w:rsidP="006A4D3C">
      <w:pPr>
        <w:pStyle w:val="BodyText2"/>
      </w:pPr>
    </w:p>
    <w:p w14:paraId="188C2401" w14:textId="697DCE9B" w:rsidR="006A4D3C" w:rsidRPr="006A4D3C" w:rsidRDefault="006A4D3C" w:rsidP="006A4D3C">
      <w:pPr>
        <w:pStyle w:val="BodyText2"/>
        <w:rPr>
          <w:lang w:val="en-US"/>
        </w:rPr>
      </w:pPr>
      <w:r w:rsidRPr="006A4D3C">
        <w:t xml:space="preserve">Performance scores </w:t>
      </w:r>
      <w:proofErr w:type="gramStart"/>
      <w:r w:rsidRPr="006A4D3C">
        <w:t>on the basis of</w:t>
      </w:r>
      <w:proofErr w:type="gramEnd"/>
      <w:r w:rsidRPr="006A4D3C">
        <w:t xml:space="preserve"> a five-point Likert scale, where 0 represented a strongly negative performance of the system type in relation to a given statement, and 5 a strongly positive performance.</w:t>
      </w:r>
      <w:r>
        <w:t xml:space="preserve"> </w:t>
      </w:r>
      <w:r w:rsidR="00B273C7" w:rsidRPr="00B273C7">
        <w:rPr>
          <w:i/>
        </w:rPr>
        <w:t>Type I</w:t>
      </w:r>
      <w:r w:rsidR="00B273C7" w:rsidRPr="00B273C7">
        <w:t xml:space="preserve">: Small, conventional/traditional system; </w:t>
      </w:r>
      <w:r w:rsidR="00B273C7" w:rsidRPr="00B273C7">
        <w:rPr>
          <w:i/>
        </w:rPr>
        <w:t>Type II</w:t>
      </w:r>
      <w:r w:rsidR="00B273C7" w:rsidRPr="00B273C7">
        <w:t xml:space="preserve">: Small, agroecological system; </w:t>
      </w:r>
      <w:r w:rsidR="00B273C7" w:rsidRPr="00B273C7">
        <w:rPr>
          <w:i/>
        </w:rPr>
        <w:t>Type III</w:t>
      </w:r>
      <w:r w:rsidR="00B273C7" w:rsidRPr="00B273C7">
        <w:t xml:space="preserve">: Small, organic system; </w:t>
      </w:r>
      <w:r w:rsidR="00B273C7" w:rsidRPr="00B273C7">
        <w:rPr>
          <w:i/>
        </w:rPr>
        <w:t>Type IV</w:t>
      </w:r>
      <w:r w:rsidR="00B273C7" w:rsidRPr="00B273C7">
        <w:t xml:space="preserve">: Large, organic system; </w:t>
      </w:r>
      <w:r w:rsidR="00B273C7" w:rsidRPr="00B273C7">
        <w:rPr>
          <w:i/>
        </w:rPr>
        <w:t>Type V</w:t>
      </w:r>
      <w:r w:rsidR="00B273C7" w:rsidRPr="00B273C7">
        <w:t>: Large, conventional system.</w:t>
      </w:r>
      <w:r>
        <w:t xml:space="preserve"> </w:t>
      </w:r>
      <w:r w:rsidR="00B273C7" w:rsidRPr="00B273C7">
        <w:rPr>
          <w:rFonts w:eastAsiaTheme="minorHAnsi"/>
          <w:i/>
          <w:lang w:eastAsia="en-US" w:bidi="ar-SA"/>
        </w:rPr>
        <w:t xml:space="preserve">Food system goals. </w:t>
      </w:r>
      <w:r w:rsidR="00101339">
        <w:rPr>
          <w:rFonts w:eastAsiaTheme="minorHAnsi"/>
          <w:i/>
          <w:lang w:eastAsia="en-US" w:bidi="ar-SA"/>
        </w:rPr>
        <w:t xml:space="preserve">E: </w:t>
      </w:r>
      <w:r w:rsidR="00101339" w:rsidRPr="00101339">
        <w:rPr>
          <w:rFonts w:eastAsiaTheme="minorHAnsi"/>
          <w:lang w:eastAsia="en-US" w:bidi="ar-SA"/>
        </w:rPr>
        <w:t>Economic performance</w:t>
      </w:r>
      <w:r w:rsidR="00101339">
        <w:rPr>
          <w:rFonts w:eastAsiaTheme="minorHAnsi"/>
          <w:i/>
          <w:lang w:eastAsia="en-US" w:bidi="ar-SA"/>
        </w:rPr>
        <w:t xml:space="preserve">; M: Environmental </w:t>
      </w:r>
      <w:proofErr w:type="gramStart"/>
      <w:r w:rsidR="00101339">
        <w:rPr>
          <w:rFonts w:eastAsiaTheme="minorHAnsi"/>
          <w:i/>
          <w:lang w:eastAsia="en-US" w:bidi="ar-SA"/>
        </w:rPr>
        <w:t>protection;  S</w:t>
      </w:r>
      <w:proofErr w:type="gramEnd"/>
      <w:r w:rsidR="00101339">
        <w:rPr>
          <w:rFonts w:eastAsiaTheme="minorHAnsi"/>
          <w:i/>
          <w:lang w:eastAsia="en-US" w:bidi="ar-SA"/>
        </w:rPr>
        <w:t xml:space="preserve">: </w:t>
      </w:r>
      <w:r w:rsidR="00101339" w:rsidRPr="00101339">
        <w:rPr>
          <w:rFonts w:eastAsiaTheme="minorHAnsi"/>
          <w:lang w:eastAsia="en-US" w:bidi="ar-SA"/>
        </w:rPr>
        <w:t>Social welfare</w:t>
      </w:r>
      <w:r w:rsidR="00101339">
        <w:rPr>
          <w:rFonts w:eastAsiaTheme="minorHAnsi"/>
          <w:lang w:eastAsia="en-US" w:bidi="ar-SA"/>
        </w:rPr>
        <w:t>,</w:t>
      </w:r>
      <w:r w:rsidR="00101339">
        <w:rPr>
          <w:rFonts w:eastAsiaTheme="minorHAnsi"/>
          <w:i/>
          <w:lang w:eastAsia="en-US" w:bidi="ar-SA"/>
        </w:rPr>
        <w:t xml:space="preserve"> </w:t>
      </w:r>
      <w:r w:rsidR="00101339" w:rsidRPr="00101339">
        <w:rPr>
          <w:rFonts w:eastAsiaTheme="minorHAnsi"/>
          <w:lang w:eastAsia="en-US" w:bidi="ar-SA"/>
        </w:rPr>
        <w:t>and</w:t>
      </w:r>
      <w:r w:rsidR="00101339">
        <w:rPr>
          <w:rFonts w:eastAsiaTheme="minorHAnsi"/>
          <w:i/>
          <w:lang w:eastAsia="en-US" w:bidi="ar-SA"/>
        </w:rPr>
        <w:t xml:space="preserve">  </w:t>
      </w:r>
      <w:r w:rsidR="00B273C7" w:rsidRPr="00B273C7">
        <w:rPr>
          <w:rFonts w:eastAsiaTheme="minorHAnsi"/>
          <w:i/>
          <w:lang w:eastAsia="en-US" w:bidi="ar-SA"/>
        </w:rPr>
        <w:t>FS</w:t>
      </w:r>
      <w:r w:rsidR="00B273C7" w:rsidRPr="00B273C7">
        <w:rPr>
          <w:rFonts w:eastAsiaTheme="minorHAnsi"/>
          <w:lang w:eastAsia="en-US" w:bidi="ar-SA"/>
        </w:rPr>
        <w:t>: food and nutrition security</w:t>
      </w:r>
      <w:r w:rsidR="009C7063">
        <w:rPr>
          <w:lang w:val="en-US"/>
        </w:rPr>
        <w:t xml:space="preserve">. Detailed information about the statements for each food system goal can be found in Appendix 1. </w:t>
      </w:r>
    </w:p>
    <w:sectPr w:rsidR="006A4D3C" w:rsidRPr="006A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597"/>
    <w:multiLevelType w:val="hybridMultilevel"/>
    <w:tmpl w:val="22A8EDDC"/>
    <w:lvl w:ilvl="0" w:tplc="9C2253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61E"/>
    <w:multiLevelType w:val="hybridMultilevel"/>
    <w:tmpl w:val="6728F7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C7"/>
    <w:rsid w:val="00101339"/>
    <w:rsid w:val="00137EFB"/>
    <w:rsid w:val="001E3B49"/>
    <w:rsid w:val="00597D90"/>
    <w:rsid w:val="006A4D3C"/>
    <w:rsid w:val="009B0B0C"/>
    <w:rsid w:val="009C7063"/>
    <w:rsid w:val="00A42B95"/>
    <w:rsid w:val="00AF15A5"/>
    <w:rsid w:val="00B273C7"/>
    <w:rsid w:val="00BD59AB"/>
    <w:rsid w:val="00CE13AB"/>
    <w:rsid w:val="00D80020"/>
    <w:rsid w:val="00DA6E91"/>
    <w:rsid w:val="00F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9FEE"/>
  <w15:chartTrackingRefBased/>
  <w15:docId w15:val="{8A671DEA-245E-46D4-AE51-F4CF910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C7"/>
    <w:pPr>
      <w:spacing w:after="200" w:line="276" w:lineRule="auto"/>
    </w:pPr>
    <w:rPr>
      <w:rFonts w:eastAsiaTheme="minorEastAsia"/>
      <w:lang w:val="en-GB" w:eastAsia="zh-CN"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3C7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hAnsi="Times New Roman" w:cs="Times New Roman"/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73C7"/>
    <w:pPr>
      <w:keepNext/>
      <w:autoSpaceDE w:val="0"/>
      <w:autoSpaceDN w:val="0"/>
      <w:adjustRightInd w:val="0"/>
      <w:jc w:val="both"/>
      <w:outlineLvl w:val="4"/>
    </w:pPr>
    <w:rPr>
      <w:rFonts w:ascii="Times New Roman" w:hAnsi="Times New Roman" w:cs="Times New Roman"/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3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zh-CN" w:bidi="he-IL"/>
    </w:rPr>
  </w:style>
  <w:style w:type="paragraph" w:styleId="CommentText">
    <w:name w:val="annotation text"/>
    <w:basedOn w:val="Normal"/>
    <w:link w:val="CommentTextChar"/>
    <w:uiPriority w:val="99"/>
    <w:unhideWhenUsed/>
    <w:rsid w:val="00B27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3C7"/>
    <w:rPr>
      <w:rFonts w:eastAsiaTheme="minorEastAsia"/>
      <w:sz w:val="20"/>
      <w:szCs w:val="20"/>
      <w:lang w:val="en-GB" w:eastAsia="zh-CN" w:bidi="he-IL"/>
    </w:rPr>
  </w:style>
  <w:style w:type="table" w:styleId="TableGrid">
    <w:name w:val="Table Grid"/>
    <w:basedOn w:val="TableNormal"/>
    <w:uiPriority w:val="39"/>
    <w:rsid w:val="00B273C7"/>
    <w:pPr>
      <w:spacing w:after="0" w:line="240" w:lineRule="auto"/>
    </w:pPr>
    <w:rPr>
      <w:rFonts w:eastAsiaTheme="minorEastAsia"/>
      <w:lang w:val="en-GB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273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HAnsi" w:hAnsi="Times New Roman" w:cs="Times New Roman"/>
      <w:color w:val="131413"/>
      <w:sz w:val="20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B273C7"/>
    <w:rPr>
      <w:rFonts w:ascii="Times New Roman" w:hAnsi="Times New Roman" w:cs="Times New Roman"/>
      <w:color w:val="131413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273C7"/>
    <w:rPr>
      <w:rFonts w:ascii="Times New Roman" w:eastAsiaTheme="minorEastAsia" w:hAnsi="Times New Roman" w:cs="Times New Roman"/>
      <w:b/>
      <w:sz w:val="16"/>
      <w:szCs w:val="16"/>
      <w:lang w:val="en-GB" w:eastAsia="zh-CN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B273C7"/>
    <w:rPr>
      <w:rFonts w:ascii="Times New Roman" w:eastAsiaTheme="minorEastAsia" w:hAnsi="Times New Roman" w:cs="Times New Roman"/>
      <w:b/>
      <w:color w:val="000000"/>
      <w:sz w:val="16"/>
      <w:szCs w:val="16"/>
      <w:lang w:val="en-GB" w:eastAsia="zh-CN" w:bidi="he-IL"/>
    </w:rPr>
  </w:style>
  <w:style w:type="paragraph" w:styleId="ListParagraph">
    <w:name w:val="List Paragraph"/>
    <w:basedOn w:val="Normal"/>
    <w:uiPriority w:val="34"/>
    <w:qFormat/>
    <w:rsid w:val="00B273C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B273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273C7"/>
    <w:rPr>
      <w:rFonts w:eastAsiaTheme="minorEastAsia"/>
      <w:sz w:val="16"/>
      <w:szCs w:val="16"/>
      <w:lang w:val="en-GB" w:eastAsia="zh-CN" w:bidi="he-IL"/>
    </w:rPr>
  </w:style>
  <w:style w:type="paragraph" w:styleId="BodyText2">
    <w:name w:val="Body Text 2"/>
    <w:basedOn w:val="Normal"/>
    <w:link w:val="BodyText2Char"/>
    <w:uiPriority w:val="99"/>
    <w:unhideWhenUsed/>
    <w:rsid w:val="006A4D3C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A4D3C"/>
    <w:rPr>
      <w:rFonts w:ascii="Times New Roman" w:eastAsiaTheme="minorEastAsia" w:hAnsi="Times New Roman" w:cs="Times New Roman"/>
      <w:sz w:val="20"/>
      <w:szCs w:val="20"/>
      <w:lang w:val="en-GB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7" ma:contentTypeDescription="Een nieuw document maken." ma:contentTypeScope="" ma:versionID="7ea6785f1daa27bcc8b655491fc34905">
  <xsd:schema xmlns:xsd="http://www.w3.org/2001/XMLSchema" xmlns:xs="http://www.w3.org/2001/XMLSchema" xmlns:p="http://schemas.microsoft.com/office/2006/metadata/properties" xmlns:ns3="3ffa7738-bc79-438c-83ec-90d19dddbc47" targetNamespace="http://schemas.microsoft.com/office/2006/metadata/properties" ma:root="true" ma:fieldsID="94d06a9a536e9e4975bc49473db247e0" ns3:_=""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23967-BCB8-48AC-8942-5A4AE9F80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CEA53-5920-47F3-89F9-061DB6A80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0733-87F4-431A-80A6-38C593104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Gaitán Cremaschi, Daniel</dc:creator>
  <cp:keywords/>
  <dc:description/>
  <cp:lastModifiedBy>THAHEER HUSSAIN I.</cp:lastModifiedBy>
  <cp:revision>2</cp:revision>
  <dcterms:created xsi:type="dcterms:W3CDTF">2020-02-01T11:24:00Z</dcterms:created>
  <dcterms:modified xsi:type="dcterms:W3CDTF">2020-02-01T11:24:00Z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