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33" w:rsidRPr="000F009C" w:rsidRDefault="000F009C" w:rsidP="00B92EB2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SUPPLEMENTAL TABLE 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731D33" w:rsidRPr="00895364">
        <w:rPr>
          <w:rFonts w:ascii="Times New Roman" w:hAnsi="Times New Roman" w:cs="Times New Roman"/>
          <w:sz w:val="24"/>
          <w:szCs w:val="24"/>
        </w:rPr>
        <w:t>General data for the phase</w:t>
      </w:r>
      <w:r w:rsidR="00895364">
        <w:rPr>
          <w:rFonts w:ascii="Times New Roman" w:hAnsi="Times New Roman" w:cs="Times New Roman"/>
          <w:sz w:val="24"/>
          <w:szCs w:val="24"/>
        </w:rPr>
        <w:t xml:space="preserve"> II, III and IV clinical trials</w:t>
      </w:r>
    </w:p>
    <w:tbl>
      <w:tblPr>
        <w:tblStyle w:val="a7"/>
        <w:tblW w:w="15219" w:type="dxa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926"/>
        <w:gridCol w:w="12"/>
        <w:gridCol w:w="3914"/>
        <w:gridCol w:w="25"/>
        <w:gridCol w:w="3939"/>
      </w:tblGrid>
      <w:tr w:rsidR="00B92EB2" w:rsidRPr="00731D33" w:rsidTr="00895364">
        <w:trPr>
          <w:trHeight w:val="615"/>
          <w:jc w:val="center"/>
        </w:trPr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Phase II</w:t>
            </w: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Phase III</w:t>
            </w: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Phase IV</w:t>
            </w: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731D33" w:rsidRPr="00731D33" w:rsidTr="00895364">
        <w:trPr>
          <w:trHeight w:val="313"/>
          <w:jc w:val="center"/>
        </w:trPr>
        <w:tc>
          <w:tcPr>
            <w:tcW w:w="34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Study timeline</w:t>
            </w:r>
          </w:p>
        </w:tc>
        <w:tc>
          <w:tcPr>
            <w:tcW w:w="39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February 2005 to June 2005</w:t>
            </w:r>
          </w:p>
        </w:tc>
        <w:tc>
          <w:tcPr>
            <w:tcW w:w="39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June 2005 to September 2005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April 2013 to June 2014</w:t>
            </w:r>
          </w:p>
        </w:tc>
      </w:tr>
      <w:tr w:rsidR="00731D33" w:rsidRPr="00731D33" w:rsidTr="00895364">
        <w:trPr>
          <w:trHeight w:val="303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Registration number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2004L02887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2004L02887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2011LS00817</w:t>
            </w:r>
          </w:p>
        </w:tc>
      </w:tr>
      <w:tr w:rsidR="00731D33" w:rsidRPr="00731D33" w:rsidTr="00895364">
        <w:trPr>
          <w:trHeight w:val="303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Registration authority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State Food and Drug Administration (SFDA)</w:t>
            </w: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Study design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731D33" w:rsidRPr="00731D33" w:rsidRDefault="00731D33" w:rsidP="00B92EB2">
            <w:pPr>
              <w:tabs>
                <w:tab w:val="left" w:pos="1744"/>
                <w:tab w:val="center" w:pos="3818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Multicenter, double-blind, parallel controlled</w:t>
            </w:r>
          </w:p>
        </w:tc>
        <w:tc>
          <w:tcPr>
            <w:tcW w:w="3926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tabs>
                <w:tab w:val="left" w:pos="2960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Multicenter, double-blind, parallel controlled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Multicenter, open, single-arm registration </w:t>
            </w:r>
          </w:p>
        </w:tc>
      </w:tr>
      <w:tr w:rsidR="00731D33" w:rsidRPr="00731D33" w:rsidTr="00895364">
        <w:trPr>
          <w:trHeight w:val="768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vertAlign w:val="superscript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Number of cases</w:t>
            </w: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238 (10 mL ginkgolide,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80; 6 mL ginkgolide,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79; control,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79)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476 (10 mL ginkgolide,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357; control,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119)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3652</w:t>
            </w:r>
          </w:p>
        </w:tc>
      </w:tr>
      <w:tr w:rsidR="00731D33" w:rsidRPr="00731D33" w:rsidTr="00895364">
        <w:trPr>
          <w:trHeight w:val="121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Trial accomplishment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 mL ginkgolide: 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80;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0; rejected,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1;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79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6 mL ginkgolide: 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79;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0; rejected,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lastRenderedPageBreak/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76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Control: 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79,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1; rejected,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2;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76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 xml:space="preserve">10 mL ginkgolide: 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357;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8; rejected,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24;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325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Control group: 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119;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4; rejected,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4;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lastRenderedPageBreak/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111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 xml:space="preserve">Enrolled,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3652; drop-off,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300; valid, </w:t>
            </w:r>
            <w:r w:rsidRPr="00731D33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= 3352</w:t>
            </w: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Diagnostic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In accordance with the diagnostic criteria for ischemic stroke in Western medicine: acute onset; symptoms and signs maintained for more than a few hours; cerebral hemorrhage and other diseases excluded by cerebral CT or MRI; cerebral infarction lesion shown in cerebral CT or MRI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Inclusion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(1) Ischemic stroke diagnosed in accordance with the diagnostic criteria used in Western medicine; (2) onset 7 days to 6 months previously; (3) no disturbance of consciousness; (4) written informed consent provided by patient; (5) for the phase II/III study, 5 ≤ NIHSS score ≤ 22 (no NIHSS score restriction in the phase IV study); (6) for the phase II/III study, age 30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softHyphen/>
              <w:t xml:space="preserve">–75 years (no age restriction in the phase IV study) </w:t>
            </w:r>
          </w:p>
        </w:tc>
      </w:tr>
      <w:tr w:rsidR="00731D33" w:rsidRPr="00731D33" w:rsidTr="00895364">
        <w:trPr>
          <w:trHeight w:val="121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Exclusion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(1) Cerebral embolism caused by brain tumor, trauma, rheumatic heart disease, coronary heart disease or other heart diseases with atrial fibrillation; (2) allergy to ginkgo preparations, glycerol or ethanol or patients with an allergic constitution; (3) pregnancy, breastfeeding or planning to become pregnant; (4) alanine transaminase or aspartate transaminase ≥ 2.5 times the upper limit of normal (5) creatinine ≥ 1.5 times the upper limit of normal; (6) hemorrhagic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tendency or severe hemorrhage had occurred within previous 3 months; (7) physical or mental disability as prescribed by law; (8) recently participated in other clinical trials</w:t>
            </w:r>
          </w:p>
        </w:tc>
      </w:tr>
      <w:tr w:rsidR="00731D33" w:rsidRPr="00731D33" w:rsidTr="00895364">
        <w:trPr>
          <w:trHeight w:val="2450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lastRenderedPageBreak/>
              <w:t>Intervention methods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 mL ginkgolide group: </w:t>
            </w: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ginkgolide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intravenous infusion</w:t>
            </w: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 mL/time, 1 time/day 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6 mL ginkgolide group: </w:t>
            </w: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ginkgolide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intravenous infusion, 6 mL/time, 1 time/day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Control group: shuxuening intravenous infusion, 20 mL/time, 1 time/day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10 mL ginkgolide group: </w:t>
            </w: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ginkgolide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intravenous infusion, 10 mL/time, 1 time/day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Control group: shuxuening intravenous infusion, 20 mL/time, 1 time/day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Ginkgolide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intravenous infusion</w:t>
            </w:r>
            <w:r w:rsidRPr="00731D33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10 mL/time, 1 time/day</w:t>
            </w:r>
          </w:p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Drop-off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(1) Serious adverse events</w:t>
            </w:r>
            <w:bookmarkStart w:id="0" w:name="OLE_LINK47"/>
            <w:bookmarkStart w:id="1" w:name="OLE_LINK48"/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occurred; (2) the disease was exacerbated or symptoms appeared that might affect the experimental observations; </w:t>
            </w:r>
            <w:bookmarkEnd w:id="0"/>
            <w:bookmarkEnd w:id="1"/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(3) poor adherence to therapy or reluctance to continue participating in the clinical trial</w:t>
            </w: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Rejection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(1) Patients not selected in line with the inclusion criteria; (2) patients not administrated the study drug or not recorded after administration</w:t>
            </w:r>
          </w:p>
        </w:tc>
      </w:tr>
      <w:tr w:rsidR="00731D33" w:rsidRPr="00731D33" w:rsidTr="00895364">
        <w:trPr>
          <w:trHeight w:val="60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lastRenderedPageBreak/>
              <w:t>Withdrawal criteria</w:t>
            </w:r>
          </w:p>
        </w:tc>
        <w:tc>
          <w:tcPr>
            <w:tcW w:w="11816" w:type="dxa"/>
            <w:gridSpan w:val="5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(1) Patients were able to withdraw from the study at any time; (2) disease was exacerbated during the trial or symptoms appeared that might affect the experimental observations; (3) use of drugs that were prohibited during the study</w:t>
            </w:r>
          </w:p>
        </w:tc>
      </w:tr>
      <w:tr w:rsidR="00731D33" w:rsidRPr="00731D33" w:rsidTr="00895364">
        <w:trPr>
          <w:trHeight w:val="303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Leading units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tabs>
                <w:tab w:val="center" w:pos="3818"/>
                <w:tab w:val="left" w:pos="5008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The Traditional Chinese Medicine Hospital of Xinjiang Uyghur Autonomous Region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tabs>
                <w:tab w:val="center" w:pos="3818"/>
                <w:tab w:val="left" w:pos="5008"/>
              </w:tabs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The Traditional Chinese Medicine Hospital of Xinjiang Uyghur Autonomous Region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The Second Affiliated Hospital of Tianjing College of Traditional Chinese Medicine</w:t>
            </w:r>
          </w:p>
        </w:tc>
      </w:tr>
      <w:tr w:rsidR="00731D33" w:rsidRPr="00731D33" w:rsidTr="00895364">
        <w:trPr>
          <w:trHeight w:val="1825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731D3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Participating units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First Affiliated Hospital, JiLin; First Affiliated Hospital, Heilongjiang University of Chinese Medicine; Second Affiliated Hospital, Heilongjiang University of Chinese Medicine; First Affiliated Hospital, Guangxi Traditional Chinese Medicine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>First Affiliated Hospital, JiLin; First Affiliated Hospital, Heilongjiang University of Chinese Medicine; Second Affiliated Hospital, Heilongjiang University of Chinese Medicine; First Affiliated Hospital, Guangxi Traditional Chinese Medicine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31D33" w:rsidRPr="00731D33" w:rsidRDefault="00731D33" w:rsidP="00B92EB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82 centers including: Affiliated Hospital, Liaoning College of Chinese Medicine; First Affiliated Hospital, Tianjing College of Traditional Chinese Medicine; </w:t>
            </w:r>
            <w:r w:rsidRPr="0073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Affiliated Hospital, Guiyang Medical College;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First </w:t>
            </w:r>
            <w:r w:rsidRPr="0073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Affiliated Hospital, Yunnan University of Traditional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Chinese Medicine; First Affiliated Hospital, Henan University of Traditional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 xml:space="preserve">Chinese Medicine; Beijing Tiantan Hospital, Capital Medical University;West China Hospital, Sichuan University; Xiyuan Hospital, China Academy of Chinese Medical Sciences; Tangdu Hospital, Fourth Military Medical University; </w:t>
            </w:r>
            <w:r w:rsidRPr="0073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Sichuan Provincial Traditional Chinese Medicine Hospital; 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First Hospital of Jilin University; Third Affiliated Hospital, Zhongshan University; </w:t>
            </w:r>
            <w:r w:rsidRPr="00731D33">
              <w:rPr>
                <w:rFonts w:ascii="Times New Roman" w:eastAsia="Times New Roman" w:hAnsi="Times New Roman" w:cs="Times New Roman"/>
                <w:sz w:val="24"/>
                <w:szCs w:val="24"/>
              </w:rPr>
              <w:t>No. 1 Affiliated Hospital, Guangzhou University of Traditional Chinese Medicine;</w:t>
            </w:r>
            <w:r w:rsidRPr="00731D3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Xiangya School of Medicine, CSU </w:t>
            </w:r>
          </w:p>
        </w:tc>
      </w:tr>
    </w:tbl>
    <w:p w:rsidR="00731D33" w:rsidRPr="00731D33" w:rsidRDefault="00731D33" w:rsidP="00B92EB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1D33">
        <w:rPr>
          <w:rFonts w:ascii="Times New Roman" w:hAnsi="Times New Roman" w:cs="Times New Roman"/>
          <w:sz w:val="24"/>
          <w:szCs w:val="24"/>
        </w:rPr>
        <w:lastRenderedPageBreak/>
        <w:t xml:space="preserve">Note: </w:t>
      </w:r>
      <w:r w:rsidRPr="00731D3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731D33">
        <w:rPr>
          <w:rFonts w:ascii="Times New Roman" w:hAnsi="Times New Roman" w:cs="Times New Roman"/>
          <w:sz w:val="24"/>
          <w:szCs w:val="24"/>
        </w:rPr>
        <w:t xml:space="preserve">The results of the phase II, III and IV clinical studies have not been previously published. </w:t>
      </w:r>
      <w:r w:rsidRPr="00731D33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731D33">
        <w:rPr>
          <w:rFonts w:ascii="Times New Roman" w:hAnsi="Times New Roman" w:cs="Times New Roman"/>
          <w:sz w:val="24"/>
          <w:szCs w:val="24"/>
        </w:rPr>
        <w:t xml:space="preserve">The number of cases was determined </w:t>
      </w:r>
      <w:r w:rsidRPr="00731D33">
        <w:rPr>
          <w:rFonts w:ascii="Times New Roman" w:hAnsi="Times New Roman" w:cs="Times New Roman"/>
          <w:sz w:val="24"/>
          <w:szCs w:val="24"/>
        </w:rPr>
        <w:lastRenderedPageBreak/>
        <w:t xml:space="preserve">according to the minimum number of cases in the phase II, III and IV clinical studies, as specified by the State Food and Drug Administration. </w:t>
      </w:r>
    </w:p>
    <w:p w:rsidR="000C3CFE" w:rsidRDefault="000C3CF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CFE" w:rsidRPr="009B172B" w:rsidRDefault="000C3CFE" w:rsidP="000C3CFE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Pr="00BB2D1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B2D11">
        <w:rPr>
          <w:rFonts w:ascii="Times New Roman" w:hAnsi="Times New Roman" w:cs="Times New Roman"/>
          <w:sz w:val="24"/>
          <w:szCs w:val="24"/>
        </w:rPr>
        <w:t xml:space="preserve">Incidence of study drug-related adverse events in the </w:t>
      </w:r>
      <w:r>
        <w:rPr>
          <w:rFonts w:ascii="Times New Roman" w:hAnsi="Times New Roman" w:cs="Times New Roman"/>
          <w:sz w:val="24"/>
          <w:szCs w:val="24"/>
        </w:rPr>
        <w:t>post-marketing (phase IV) study</w:t>
      </w:r>
    </w:p>
    <w:tbl>
      <w:tblPr>
        <w:tblW w:w="0" w:type="auto"/>
        <w:tblInd w:w="-318" w:type="dxa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4473"/>
        <w:gridCol w:w="1310"/>
        <w:gridCol w:w="576"/>
        <w:gridCol w:w="1603"/>
        <w:gridCol w:w="3140"/>
        <w:gridCol w:w="1310"/>
        <w:gridCol w:w="456"/>
        <w:gridCol w:w="1603"/>
      </w:tblGrid>
      <w:tr w:rsidR="000C3CFE" w:rsidRPr="003D5938" w:rsidTr="006F3D7F">
        <w:tc>
          <w:tcPr>
            <w:tcW w:w="4473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RANGE!A1"/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Adverse event</w:t>
            </w:r>
            <w:bookmarkEnd w:id="2"/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cases (</w:t>
            </w:r>
            <w:r w:rsidRPr="003D593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= 3652)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Adverse event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cases (</w:t>
            </w:r>
            <w:r w:rsidRPr="003D593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= 3652)</w:t>
            </w:r>
          </w:p>
        </w:tc>
      </w:tr>
      <w:tr w:rsidR="000C3CFE" w:rsidRPr="003D5938" w:rsidTr="006F3D7F">
        <w:tc>
          <w:tcPr>
            <w:tcW w:w="4473" w:type="dxa"/>
            <w:vMerge/>
            <w:tcBorders>
              <w:top w:val="nil"/>
              <w:bottom w:val="single" w:sz="6" w:space="0" w:color="auto"/>
            </w:tcBorders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Incidence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Incidence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0C3CFE" w:rsidRPr="003D5938" w:rsidTr="006F3D7F">
        <w:tc>
          <w:tcPr>
            <w:tcW w:w="447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Examinations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Gastrointestinal diseases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Elevated γ-glutamyl transferase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Flatulence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Increased alanine aminotransferase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Nausea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noWrap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Prolonged partial thromboplastin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Regurgitation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Increased liver enzymes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Diarrhea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Hematuria 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Retching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Elevated aspartate transaminase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Dry 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Normal fibrin D-dimer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Vomiting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Elevated serum creatine phosphokinase MB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Projectile vomiting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Elevated serum creatine phosphokinase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Elevated blood urea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Epigastric discomfort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Elevated blood pressure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Nervous system diseases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Musculoskeletal and connective tissue diseases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Rigidity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Cerebral infarction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Pain in the neck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Numbness of upper limb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General arthralgia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Drowsiness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Pain of upper limb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Head discomfort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Limb pain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Giddiness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Headache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Dizziness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Fullness of head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3" w:name="RANGE!A25"/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Diseases of skin and subcutaneous tissue </w:t>
            </w: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bookmarkEnd w:id="3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Systemic disease and response at administration 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Maculopapular rash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Idrosis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Tiredness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Allergic dermatitis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Facial tidal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Erythema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Fatigue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Local itching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Weariness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Facial redness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General pyrexia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Dryness of the 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Erythema at infusion 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Dermatitis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Phlebitis at infusion 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Erythrasma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Discomfort of the chest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Papular erythrasma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Chest tightness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Erythrasma of human trunk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Blushing at injection 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General redness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Redness at injection 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Urticaria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Pyrexia at injection site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OLE_LINK39"/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Pruritus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Pain at injection site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bookmarkEnd w:id="4"/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Vascular and lymphatic diseases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Eye disorders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Hypotension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Conjunctival hyperemia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Facial flushing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Conjunctival edema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Skin flushing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Clouded vision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Pruritus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Discomfort of the eyes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Mental diseases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Cardiac diseases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Coronary artery disease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Insomnia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Palpitations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Gastrointestinal somatization disorders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Sinus tachycardia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Excitatory state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Immune system diseases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Respiratory system,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thoracic and mediastinal diseases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Erythrasma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vMerge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Pruritus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Irritation of the throat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3CFE" w:rsidRPr="003D5938" w:rsidTr="006F3D7F">
        <w:tc>
          <w:tcPr>
            <w:tcW w:w="4473" w:type="dxa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59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CFE" w:rsidRPr="003D5938" w:rsidRDefault="000C3CFE" w:rsidP="006F3D7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3CFE" w:rsidRDefault="000C3CFE" w:rsidP="000C3CFE"/>
    <w:p w:rsidR="00F61054" w:rsidRPr="00731D33" w:rsidRDefault="00F61054" w:rsidP="00B92EB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F61054" w:rsidRPr="00731D33" w:rsidSect="00731D33">
      <w:pgSz w:w="16817" w:h="11901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02" w:rsidRDefault="00736302" w:rsidP="00731D33">
      <w:r>
        <w:separator/>
      </w:r>
    </w:p>
  </w:endnote>
  <w:endnote w:type="continuationSeparator" w:id="0">
    <w:p w:rsidR="00736302" w:rsidRDefault="00736302" w:rsidP="0073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02" w:rsidRDefault="00736302" w:rsidP="00731D33">
      <w:r>
        <w:separator/>
      </w:r>
    </w:p>
  </w:footnote>
  <w:footnote w:type="continuationSeparator" w:id="0">
    <w:p w:rsidR="00736302" w:rsidRDefault="00736302" w:rsidP="0073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1D0"/>
    <w:rsid w:val="000C3CFE"/>
    <w:rsid w:val="000F009C"/>
    <w:rsid w:val="00265CC3"/>
    <w:rsid w:val="00342DAE"/>
    <w:rsid w:val="003B509B"/>
    <w:rsid w:val="003D5938"/>
    <w:rsid w:val="00461049"/>
    <w:rsid w:val="00557297"/>
    <w:rsid w:val="005F1D8D"/>
    <w:rsid w:val="00636DDF"/>
    <w:rsid w:val="0068678E"/>
    <w:rsid w:val="006F3575"/>
    <w:rsid w:val="00731D33"/>
    <w:rsid w:val="00736302"/>
    <w:rsid w:val="00895364"/>
    <w:rsid w:val="009B172B"/>
    <w:rsid w:val="00B92EB2"/>
    <w:rsid w:val="00B931A9"/>
    <w:rsid w:val="00BA51D0"/>
    <w:rsid w:val="00BB2D11"/>
    <w:rsid w:val="00BE027B"/>
    <w:rsid w:val="00CC57FD"/>
    <w:rsid w:val="00CC7883"/>
    <w:rsid w:val="00EC239B"/>
    <w:rsid w:val="00F134DE"/>
    <w:rsid w:val="00F61054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49F6D-DB00-4886-8EF3-DAAED67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D33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731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731D33"/>
    <w:rPr>
      <w:rFonts w:ascii="Courier" w:hAnsi="Courier" w:cs="Courier"/>
      <w:kern w:val="0"/>
      <w:sz w:val="20"/>
      <w:szCs w:val="20"/>
    </w:rPr>
  </w:style>
  <w:style w:type="table" w:styleId="a7">
    <w:name w:val="Table Grid"/>
    <w:basedOn w:val="a1"/>
    <w:uiPriority w:val="39"/>
    <w:qFormat/>
    <w:rsid w:val="00731D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1275</Words>
  <Characters>7268</Characters>
  <Application>Microsoft Office Word</Application>
  <DocSecurity>0</DocSecurity>
  <Lines>60</Lines>
  <Paragraphs>17</Paragraphs>
  <ScaleCrop>false</ScaleCrop>
  <Company>微软中国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Doris Dong</cp:lastModifiedBy>
  <cp:revision>21</cp:revision>
  <dcterms:created xsi:type="dcterms:W3CDTF">2017-12-22T07:06:00Z</dcterms:created>
  <dcterms:modified xsi:type="dcterms:W3CDTF">2017-12-26T07:06:00Z</dcterms:modified>
</cp:coreProperties>
</file>