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F85" w:rsidRDefault="007F4F85" w:rsidP="007F4F85">
      <w:r>
        <w:rPr>
          <w:rFonts w:hint="eastAsia"/>
        </w:rPr>
        <w:t>(</w:t>
      </w:r>
      <w:r>
        <w:t>a</w:t>
      </w:r>
      <w:r>
        <w:rPr>
          <w:rFonts w:hint="eastAsia"/>
        </w:rPr>
        <w:t>)</w:t>
      </w:r>
      <w:r>
        <w:t xml:space="preserve"> Zero nutrition</w:t>
      </w:r>
      <w:bookmarkStart w:id="0" w:name="_GoBack"/>
      <w:bookmarkEnd w:id="0"/>
    </w:p>
    <w:p w:rsidR="007F4F85" w:rsidRDefault="007F4F85" w:rsidP="007F4F85">
      <w:r>
        <w:rPr>
          <w:noProof/>
          <w:lang w:val="en-IN" w:eastAsia="en-IN"/>
        </w:rPr>
        <w:drawing>
          <wp:inline distT="0" distB="0" distL="0" distR="0" wp14:anchorId="61CFF257" wp14:editId="0190D9D0">
            <wp:extent cx="4017645" cy="3932555"/>
            <wp:effectExtent l="0" t="0" r="190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5" w:rsidRDefault="007F4F85" w:rsidP="007F4F85">
      <w:r>
        <w:rPr>
          <w:rFonts w:hint="eastAsia"/>
        </w:rPr>
        <w:t>(</w:t>
      </w:r>
      <w:r>
        <w:t>b</w:t>
      </w:r>
      <w:r>
        <w:rPr>
          <w:rFonts w:hint="eastAsia"/>
        </w:rPr>
        <w:t>)</w:t>
      </w:r>
      <w:r>
        <w:t xml:space="preserve"> High nutrition</w:t>
      </w:r>
    </w:p>
    <w:p w:rsidR="007F4F85" w:rsidRDefault="007F4F85" w:rsidP="007F4F85">
      <w:r>
        <w:rPr>
          <w:noProof/>
          <w:lang w:val="en-IN" w:eastAsia="en-IN"/>
        </w:rPr>
        <w:drawing>
          <wp:inline distT="0" distB="0" distL="0" distR="0" wp14:anchorId="2D00AAC0" wp14:editId="0DA34558">
            <wp:extent cx="6328410" cy="3938270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5" w:rsidRDefault="007F4F85" w:rsidP="007F4F85">
      <w:r w:rsidRPr="00A44DFB">
        <w:t>Supplemental Fig. S1. Images of soybean seedlings grown in non-UFB and UFB water under Air or N2 gas treatments, under zero or high nutrition levels.</w:t>
      </w:r>
    </w:p>
    <w:p w:rsidR="007F4F85" w:rsidRDefault="007F4F85" w:rsidP="007F4F85"/>
    <w:p w:rsidR="007F4F85" w:rsidRDefault="007F4F85" w:rsidP="007F4F85">
      <w:r>
        <w:t xml:space="preserve"> </w:t>
      </w:r>
    </w:p>
    <w:p w:rsidR="007F4F85" w:rsidRDefault="007F4F85" w:rsidP="007F4F85">
      <w:r>
        <w:rPr>
          <w:rFonts w:hint="eastAsia"/>
        </w:rPr>
        <w:lastRenderedPageBreak/>
        <w:t>(</w:t>
      </w:r>
      <w:r>
        <w:t>a</w:t>
      </w:r>
      <w:r>
        <w:rPr>
          <w:rFonts w:hint="eastAsia"/>
        </w:rPr>
        <w:t>)</w:t>
      </w:r>
      <w:r>
        <w:t xml:space="preserve"> Zero nutrition</w:t>
      </w:r>
    </w:p>
    <w:p w:rsidR="007F4F85" w:rsidRDefault="007F4F85" w:rsidP="007F4F85">
      <w:r w:rsidRPr="003800B0">
        <w:rPr>
          <w:noProof/>
          <w:lang w:val="en-IN" w:eastAsia="en-IN"/>
        </w:rPr>
        <w:drawing>
          <wp:inline distT="0" distB="0" distL="0" distR="0" wp14:anchorId="4BA80BC9" wp14:editId="08D8F2CE">
            <wp:extent cx="4124468" cy="2028825"/>
            <wp:effectExtent l="0" t="0" r="952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06" cy="20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5" w:rsidRDefault="007F4F85" w:rsidP="007F4F85"/>
    <w:p w:rsidR="007F4F85" w:rsidRDefault="007F4F85" w:rsidP="007F4F85">
      <w:r>
        <w:rPr>
          <w:rFonts w:hint="eastAsia"/>
        </w:rPr>
        <w:t>(</w:t>
      </w:r>
      <w:r>
        <w:t>b</w:t>
      </w:r>
      <w:r>
        <w:rPr>
          <w:rFonts w:hint="eastAsia"/>
        </w:rPr>
        <w:t>)</w:t>
      </w:r>
      <w:r>
        <w:t xml:space="preserve"> Low nutrition</w:t>
      </w:r>
    </w:p>
    <w:p w:rsidR="007F4F85" w:rsidRDefault="007F4F85" w:rsidP="007F4F85">
      <w:r w:rsidRPr="00BE5FFB">
        <w:rPr>
          <w:noProof/>
          <w:lang w:val="en-IN" w:eastAsia="en-IN"/>
        </w:rPr>
        <w:drawing>
          <wp:inline distT="0" distB="0" distL="0" distR="0" wp14:anchorId="05E77D4A" wp14:editId="1CBE390E">
            <wp:extent cx="4110080" cy="2009775"/>
            <wp:effectExtent l="0" t="0" r="508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18" cy="20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5" w:rsidRDefault="007F4F85" w:rsidP="007F4F85"/>
    <w:p w:rsidR="007F4F85" w:rsidRDefault="007F4F85" w:rsidP="007F4F85">
      <w:r>
        <w:rPr>
          <w:rFonts w:hint="eastAsia"/>
        </w:rPr>
        <w:t xml:space="preserve"> (</w:t>
      </w:r>
      <w:r>
        <w:t>c</w:t>
      </w:r>
      <w:r>
        <w:rPr>
          <w:rFonts w:hint="eastAsia"/>
        </w:rPr>
        <w:t>)</w:t>
      </w:r>
      <w:r>
        <w:t xml:space="preserve"> High nutrition </w:t>
      </w:r>
    </w:p>
    <w:p w:rsidR="007F4F85" w:rsidRDefault="007F4F85" w:rsidP="007F4F85">
      <w:r w:rsidRPr="00BE5FFB">
        <w:rPr>
          <w:noProof/>
          <w:lang w:val="en-IN" w:eastAsia="en-IN"/>
        </w:rPr>
        <w:drawing>
          <wp:inline distT="0" distB="0" distL="0" distR="0" wp14:anchorId="489F9844" wp14:editId="2DA13BCD">
            <wp:extent cx="6645910" cy="2167287"/>
            <wp:effectExtent l="0" t="0" r="2540" b="444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5" w:rsidRDefault="007F4F85" w:rsidP="007F4F85">
      <w:r w:rsidRPr="00964A63">
        <w:rPr>
          <w:rFonts w:ascii="Times New Roman" w:hAnsi="Times New Roman"/>
          <w:sz w:val="24"/>
          <w:szCs w:val="24"/>
        </w:rPr>
        <w:t xml:space="preserve">Supplemental </w:t>
      </w:r>
      <w:r w:rsidRPr="00914C98">
        <w:rPr>
          <w:rFonts w:ascii="Times New Roman" w:hAnsi="Times New Roman"/>
          <w:sz w:val="24"/>
          <w:szCs w:val="24"/>
        </w:rPr>
        <w:t>Fig.</w:t>
      </w:r>
      <w:r w:rsidRPr="00964A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964A63">
        <w:rPr>
          <w:rFonts w:ascii="Times New Roman" w:hAnsi="Times New Roman"/>
          <w:sz w:val="24"/>
          <w:szCs w:val="24"/>
        </w:rPr>
        <w:t xml:space="preserve">2. Tukey-Kramer multiple comparison test </w:t>
      </w:r>
      <w:r>
        <w:rPr>
          <w:rFonts w:ascii="Times New Roman" w:hAnsi="Times New Roman"/>
          <w:sz w:val="24"/>
          <w:szCs w:val="24"/>
        </w:rPr>
        <w:t>for</w:t>
      </w:r>
      <w:r w:rsidRPr="00964A63">
        <w:rPr>
          <w:rFonts w:ascii="Times New Roman" w:hAnsi="Times New Roman"/>
          <w:sz w:val="24"/>
          <w:szCs w:val="24"/>
        </w:rPr>
        <w:t xml:space="preserve"> traits show</w:t>
      </w:r>
      <w:r>
        <w:rPr>
          <w:rFonts w:ascii="Times New Roman" w:hAnsi="Times New Roman"/>
          <w:sz w:val="24"/>
          <w:szCs w:val="24"/>
        </w:rPr>
        <w:t>ing</w:t>
      </w:r>
      <w:r w:rsidRPr="00964A63">
        <w:rPr>
          <w:rFonts w:ascii="Times New Roman" w:hAnsi="Times New Roman"/>
          <w:sz w:val="24"/>
          <w:szCs w:val="24"/>
        </w:rPr>
        <w:t xml:space="preserve"> interaction effect</w:t>
      </w:r>
      <w:r>
        <w:rPr>
          <w:rFonts w:ascii="Times New Roman" w:hAnsi="Times New Roman"/>
          <w:sz w:val="24"/>
          <w:szCs w:val="24"/>
        </w:rPr>
        <w:t>s</w:t>
      </w:r>
      <w:r w:rsidRPr="00964A63">
        <w:rPr>
          <w:rFonts w:ascii="Times New Roman" w:hAnsi="Times New Roman"/>
          <w:sz w:val="24"/>
          <w:szCs w:val="24"/>
        </w:rPr>
        <w:t xml:space="preserve"> between two treatments (Water*Gas flow, Water*Fluid movement) in 3-way ANOVA in Table 1.</w:t>
      </w:r>
      <w:r w:rsidRPr="00E3775D">
        <w:t xml:space="preserve"> </w:t>
      </w:r>
      <w:r w:rsidRPr="009B028F">
        <w:rPr>
          <w:rFonts w:ascii="Times New Roman" w:hAnsi="Times New Roman"/>
          <w:sz w:val="24"/>
          <w:szCs w:val="24"/>
        </w:rPr>
        <w:t>Means followed by the s</w:t>
      </w:r>
      <w:r w:rsidRPr="00800652">
        <w:rPr>
          <w:rFonts w:ascii="Times New Roman" w:hAnsi="Times New Roman"/>
          <w:sz w:val="24"/>
          <w:szCs w:val="24"/>
        </w:rPr>
        <w:t>ame lowercase letter were not</w:t>
      </w:r>
      <w:r w:rsidRPr="00E3775D">
        <w:rPr>
          <w:rFonts w:ascii="Times New Roman" w:hAnsi="Times New Roman"/>
          <w:sz w:val="24"/>
          <w:szCs w:val="24"/>
        </w:rPr>
        <w:t xml:space="preserve"> significant</w:t>
      </w:r>
      <w:r>
        <w:rPr>
          <w:rFonts w:ascii="Times New Roman" w:hAnsi="Times New Roman"/>
          <w:sz w:val="24"/>
          <w:szCs w:val="24"/>
        </w:rPr>
        <w:t>ly</w:t>
      </w:r>
      <w:r w:rsidRPr="00E3775D">
        <w:rPr>
          <w:rFonts w:ascii="Times New Roman" w:hAnsi="Times New Roman"/>
          <w:sz w:val="24"/>
          <w:szCs w:val="24"/>
        </w:rPr>
        <w:t xml:space="preserve"> differen</w:t>
      </w:r>
      <w:r>
        <w:rPr>
          <w:rFonts w:ascii="Times New Roman" w:hAnsi="Times New Roman"/>
          <w:sz w:val="24"/>
          <w:szCs w:val="24"/>
        </w:rPr>
        <w:t>t</w:t>
      </w:r>
      <w:r w:rsidRPr="00E3775D">
        <w:rPr>
          <w:rFonts w:ascii="Times New Roman" w:hAnsi="Times New Roman"/>
          <w:sz w:val="24"/>
          <w:szCs w:val="24"/>
        </w:rPr>
        <w:t xml:space="preserve"> at P &lt; 0.05</w:t>
      </w:r>
      <w:r>
        <w:rPr>
          <w:rFonts w:ascii="Times New Roman" w:hAnsi="Times New Roman"/>
          <w:sz w:val="24"/>
          <w:szCs w:val="24"/>
        </w:rPr>
        <w:t>,</w:t>
      </w:r>
      <w:r w:rsidRPr="00E3775D">
        <w:rPr>
          <w:rFonts w:ascii="Times New Roman" w:hAnsi="Times New Roman"/>
          <w:sz w:val="24"/>
          <w:szCs w:val="24"/>
        </w:rPr>
        <w:t xml:space="preserve"> according to Tukey-Kramer multiple comparison test</w:t>
      </w:r>
      <w:r>
        <w:rPr>
          <w:rFonts w:ascii="Times New Roman" w:eastAsia="MS Mincho" w:hAnsi="Times New Roman"/>
          <w:color w:val="000000"/>
          <w:sz w:val="24"/>
          <w:szCs w:val="24"/>
        </w:rPr>
        <w:t>.</w:t>
      </w:r>
    </w:p>
    <w:p w:rsidR="007F4F85" w:rsidRPr="007E2A22" w:rsidRDefault="007F4F85" w:rsidP="007F4F85">
      <w:pPr>
        <w:rPr>
          <w:sz w:val="10"/>
        </w:rPr>
      </w:pPr>
    </w:p>
    <w:p w:rsidR="007F4F85" w:rsidRDefault="007F4F85" w:rsidP="007F4F85"/>
    <w:p w:rsidR="000E75D9" w:rsidRDefault="000E75D9"/>
    <w:sectPr w:rsidR="000E75D9" w:rsidSect="00682E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85"/>
    <w:rsid w:val="000E75D9"/>
    <w:rsid w:val="007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5A8343-BF99-4829-8944-1920BAE32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F85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Arunjunai Rajan PSamy, Integra-PDY, IN</dc:creator>
  <cp:keywords/>
  <dc:description/>
  <cp:lastModifiedBy>Arunjunai Rajan PSamy, Integra-PDY, IN</cp:lastModifiedBy>
  <cp:revision>1</cp:revision>
  <dcterms:created xsi:type="dcterms:W3CDTF">2020-02-10T11:43:00Z</dcterms:created>
  <dcterms:modified xsi:type="dcterms:W3CDTF">2020-02-10T11:44:00Z</dcterms:modified>
</cp:coreProperties>
</file>