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D57F5"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17520" cy="2790908"/>
            <wp:effectExtent l="19050" t="19050" r="11430" b="284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27" cy="279230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D57F5">
        <w:rPr>
          <w:rFonts w:ascii="Times New Roman" w:hAnsi="Times New Roman" w:cs="Times New Roman"/>
          <w:b/>
          <w:bCs/>
          <w:sz w:val="20"/>
          <w:szCs w:val="20"/>
        </w:rPr>
        <w:t xml:space="preserve">Fig. S1. </w:t>
      </w:r>
      <w:r w:rsidRPr="002D57F5">
        <w:rPr>
          <w:rFonts w:ascii="Times New Roman" w:hAnsi="Times New Roman" w:cs="Times New Roman"/>
          <w:sz w:val="20"/>
          <w:szCs w:val="20"/>
        </w:rPr>
        <w:t xml:space="preserve">Exposure of hamster </w:t>
      </w:r>
      <w:r>
        <w:rPr>
          <w:rFonts w:ascii="Times New Roman" w:hAnsi="Times New Roman" w:cs="Times New Roman"/>
          <w:sz w:val="20"/>
          <w:szCs w:val="20"/>
        </w:rPr>
        <w:t xml:space="preserve">with OSCC </w:t>
      </w:r>
      <w:r w:rsidRPr="002D57F5">
        <w:rPr>
          <w:rFonts w:ascii="Times New Roman" w:hAnsi="Times New Roman" w:cs="Times New Roman"/>
          <w:sz w:val="20"/>
          <w:szCs w:val="20"/>
        </w:rPr>
        <w:t xml:space="preserve">to </w:t>
      </w:r>
      <w:r>
        <w:rPr>
          <w:rFonts w:ascii="Times New Roman" w:hAnsi="Times New Roman" w:cs="Times New Roman"/>
          <w:sz w:val="20"/>
          <w:szCs w:val="20"/>
        </w:rPr>
        <w:t xml:space="preserve">near-infrared </w:t>
      </w:r>
      <w:r w:rsidRPr="002D57F5">
        <w:rPr>
          <w:rFonts w:ascii="Times New Roman" w:hAnsi="Times New Roman" w:cs="Times New Roman"/>
          <w:sz w:val="20"/>
          <w:szCs w:val="20"/>
        </w:rPr>
        <w:t>laser.</w:t>
      </w:r>
    </w:p>
    <w:p w:rsidR="002D57F5" w:rsidRP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2907030" cy="2896520"/>
            <wp:effectExtent l="19050" t="19050" r="26670" b="181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59" cy="2899538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F5" w:rsidRP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D57F5">
        <w:rPr>
          <w:rFonts w:ascii="Times New Roman" w:hAnsi="Times New Roman" w:cs="Times New Roman"/>
          <w:b/>
          <w:bCs/>
          <w:sz w:val="20"/>
          <w:szCs w:val="20"/>
        </w:rPr>
        <w:t xml:space="preserve">Fig. S1. </w:t>
      </w:r>
      <w:r>
        <w:rPr>
          <w:rFonts w:ascii="Times New Roman" w:hAnsi="Times New Roman" w:cs="Times New Roman"/>
          <w:sz w:val="20"/>
          <w:szCs w:val="20"/>
        </w:rPr>
        <w:t>Tumor size measurements with a caliber</w:t>
      </w:r>
      <w:r w:rsidRPr="002D57F5">
        <w:rPr>
          <w:rFonts w:ascii="Times New Roman" w:hAnsi="Times New Roman" w:cs="Times New Roman"/>
          <w:sz w:val="20"/>
          <w:szCs w:val="20"/>
        </w:rPr>
        <w:t>.</w:t>
      </w:r>
    </w:p>
    <w:p w:rsidR="002D57F5" w:rsidRDefault="002D57F5" w:rsidP="002D57F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D57F5" w:rsidRDefault="002D57F5" w:rsidP="0019546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17DF9" w:rsidRPr="0019546E" w:rsidRDefault="00217DF9" w:rsidP="001954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Grading of epithelial dysplasia</w:t>
      </w:r>
      <w:r w:rsidRPr="0019546E">
        <w:rPr>
          <w:rFonts w:ascii="Times New Roman" w:hAnsi="Times New Roman" w:cs="Times New Roman"/>
          <w:sz w:val="24"/>
          <w:szCs w:val="24"/>
        </w:rPr>
        <w:t xml:space="preserve"> was carried out according to </w:t>
      </w:r>
      <w:proofErr w:type="spellStart"/>
      <w:r w:rsidRPr="0019546E">
        <w:rPr>
          <w:rFonts w:ascii="Times New Roman" w:hAnsi="Times New Roman" w:cs="Times New Roman"/>
          <w:sz w:val="24"/>
          <w:szCs w:val="24"/>
        </w:rPr>
        <w:t>Banoczy</w:t>
      </w:r>
      <w:proofErr w:type="spellEnd"/>
      <w:r w:rsidRPr="0019546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9546E">
        <w:rPr>
          <w:rFonts w:ascii="Times New Roman" w:hAnsi="Times New Roman" w:cs="Times New Roman"/>
          <w:sz w:val="24"/>
          <w:szCs w:val="24"/>
        </w:rPr>
        <w:t>Sciba</w:t>
      </w:r>
      <w:proofErr w:type="spellEnd"/>
      <w:r w:rsidRPr="0019546E">
        <w:rPr>
          <w:rFonts w:ascii="Times New Roman" w:hAnsi="Times New Roman" w:cs="Times New Roman"/>
          <w:sz w:val="24"/>
          <w:szCs w:val="24"/>
        </w:rPr>
        <w:t xml:space="preserve"> (1976) and modified by El-</w:t>
      </w:r>
      <w:proofErr w:type="spellStart"/>
      <w:r w:rsidRPr="0019546E">
        <w:rPr>
          <w:rFonts w:ascii="Times New Roman" w:hAnsi="Times New Roman" w:cs="Times New Roman"/>
          <w:sz w:val="24"/>
          <w:szCs w:val="24"/>
        </w:rPr>
        <w:t>Dakhakhny</w:t>
      </w:r>
      <w:proofErr w:type="spellEnd"/>
      <w:r w:rsidRPr="0019546E">
        <w:rPr>
          <w:rFonts w:ascii="Times New Roman" w:hAnsi="Times New Roman" w:cs="Times New Roman"/>
          <w:sz w:val="24"/>
          <w:szCs w:val="24"/>
        </w:rPr>
        <w:t xml:space="preserve"> et al (2010) due to thin nature of hamsters’ epithelial lining. Epithelial dysplasia was graded into mild, moderate, severe, and carcinoma in situ.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Mild: when less than 3 dysplastic criteria were present.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Moderate: when 3-7 changes are present.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Severe: when more than 7 changes were present.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Carcinoma in situ: when dysplastic criteria distributed from top to bottom with intact basement membrane.</w:t>
      </w:r>
    </w:p>
    <w:p w:rsidR="0019546E" w:rsidRDefault="0019546E" w:rsidP="0019546E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17DF9" w:rsidRPr="0019546E" w:rsidRDefault="00217DF9" w:rsidP="001954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Grading of squamous cell carcinoma</w:t>
      </w:r>
      <w:r w:rsidRPr="0019546E">
        <w:rPr>
          <w:rFonts w:ascii="Times New Roman" w:hAnsi="Times New Roman" w:cs="Times New Roman"/>
          <w:sz w:val="24"/>
          <w:szCs w:val="24"/>
        </w:rPr>
        <w:t xml:space="preserve"> was carried out according to Broder’s classification. Tumors were graded on the basis of degree of differentiation and </w:t>
      </w:r>
      <w:proofErr w:type="spellStart"/>
      <w:r w:rsidRPr="0019546E">
        <w:rPr>
          <w:rFonts w:ascii="Times New Roman" w:hAnsi="Times New Roman" w:cs="Times New Roman"/>
          <w:sz w:val="24"/>
          <w:szCs w:val="24"/>
        </w:rPr>
        <w:t>keratinisation</w:t>
      </w:r>
      <w:proofErr w:type="spellEnd"/>
      <w:r w:rsidRPr="0019546E">
        <w:rPr>
          <w:rFonts w:ascii="Times New Roman" w:hAnsi="Times New Roman" w:cs="Times New Roman"/>
          <w:sz w:val="24"/>
          <w:szCs w:val="24"/>
        </w:rPr>
        <w:t xml:space="preserve"> of tumor cells into: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Grade I: well differentiated tumors (75-100%) of cells are differentiated.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Grade II: moderately differentiated tumors (50-75%) of cells are differentiated.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Grade III: poorly differentiated tumors (25-50%) of cells are differentiated.</w:t>
      </w:r>
    </w:p>
    <w:p w:rsidR="00217DF9" w:rsidRPr="0019546E" w:rsidRDefault="00217DF9" w:rsidP="00217DF9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546E">
        <w:rPr>
          <w:rFonts w:ascii="Times New Roman" w:hAnsi="Times New Roman" w:cs="Times New Roman"/>
          <w:sz w:val="24"/>
          <w:szCs w:val="24"/>
        </w:rPr>
        <w:t>Grade IV: anaplastic tumors (0-25%) of cells are differentiated.</w:t>
      </w:r>
    </w:p>
    <w:p w:rsidR="00C14C87" w:rsidRPr="0019546E" w:rsidRDefault="00C14C87">
      <w:pPr>
        <w:rPr>
          <w:sz w:val="24"/>
          <w:szCs w:val="24"/>
        </w:rPr>
      </w:pPr>
    </w:p>
    <w:sectPr w:rsidR="00C14C87" w:rsidRPr="0019546E" w:rsidSect="00C14C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F9"/>
    <w:rsid w:val="0019546E"/>
    <w:rsid w:val="00217DF9"/>
    <w:rsid w:val="002D57F5"/>
    <w:rsid w:val="0059139C"/>
    <w:rsid w:val="00956E0B"/>
    <w:rsid w:val="00C1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FEA1B1-61F8-47FB-8E21-C06762FD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DF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7F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wael</dc:creator>
  <cp:lastModifiedBy>Geethanjali D</cp:lastModifiedBy>
  <cp:revision>2</cp:revision>
  <dcterms:created xsi:type="dcterms:W3CDTF">2020-02-10T09:55:00Z</dcterms:created>
  <dcterms:modified xsi:type="dcterms:W3CDTF">2020-02-10T09:55:00Z</dcterms:modified>
</cp:coreProperties>
</file>