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0896" w14:textId="321B2DCD" w:rsidR="00A30E9F" w:rsidRPr="00627610" w:rsidRDefault="00A30E9F" w:rsidP="00627610">
      <w:pPr>
        <w:jc w:val="both"/>
        <w:rPr>
          <w:rFonts w:ascii="Times New Roman" w:hAnsi="Times New Roman" w:cs="Times New Roman"/>
          <w:b/>
          <w:bCs/>
          <w:color w:val="1D176E"/>
          <w:lang w:val="en-GB"/>
        </w:rPr>
      </w:pPr>
      <w:bookmarkStart w:id="0" w:name="_GoBack"/>
      <w:bookmarkEnd w:id="0"/>
      <w:r w:rsidRPr="00627610">
        <w:rPr>
          <w:rFonts w:ascii="Times New Roman" w:hAnsi="Times New Roman" w:cs="Times New Roman"/>
          <w:b/>
          <w:bCs/>
          <w:color w:val="1D176E"/>
          <w:lang w:val="en-GB"/>
        </w:rPr>
        <w:t xml:space="preserve">Supplementary Material </w:t>
      </w:r>
    </w:p>
    <w:p w14:paraId="63F31943" w14:textId="57B8DC2D" w:rsidR="00A30E9F" w:rsidRPr="00627610" w:rsidRDefault="00A30E9F" w:rsidP="00627610">
      <w:pPr>
        <w:jc w:val="both"/>
        <w:rPr>
          <w:rFonts w:ascii="Times New Roman" w:hAnsi="Times New Roman" w:cs="Times New Roman"/>
          <w:b/>
          <w:bCs/>
          <w:color w:val="1D176E"/>
          <w:lang w:val="en-GB"/>
        </w:rPr>
      </w:pPr>
    </w:p>
    <w:p w14:paraId="001D1714" w14:textId="58DFD0C5" w:rsidR="00A30E9F" w:rsidRPr="00627610" w:rsidRDefault="00A30E9F" w:rsidP="00627610">
      <w:pPr>
        <w:jc w:val="both"/>
        <w:rPr>
          <w:rFonts w:ascii="Times New Roman" w:hAnsi="Times New Roman" w:cs="Times New Roman"/>
          <w:color w:val="1D176E"/>
          <w:sz w:val="20"/>
          <w:szCs w:val="20"/>
        </w:rPr>
      </w:pPr>
      <w:r w:rsidRPr="00627610">
        <w:rPr>
          <w:rFonts w:ascii="Times New Roman" w:hAnsi="Times New Roman" w:cs="Times New Roman"/>
          <w:b/>
          <w:bCs/>
          <w:color w:val="1D176E"/>
          <w:lang w:val="en-GB"/>
        </w:rPr>
        <w:t>Appendix A: Constructing Natural Capital Accounts for the</w:t>
      </w:r>
    </w:p>
    <w:p w14:paraId="770B17C7" w14:textId="7C0FAA78" w:rsidR="00A30E9F" w:rsidRPr="00627610" w:rsidRDefault="00A30E9F" w:rsidP="00627610">
      <w:pPr>
        <w:jc w:val="both"/>
        <w:rPr>
          <w:rFonts w:ascii="Times New Roman" w:hAnsi="Times New Roman" w:cs="Times New Roman"/>
          <w:b/>
          <w:bCs/>
          <w:color w:val="1D176E"/>
          <w:lang w:val="en-GB"/>
        </w:rPr>
      </w:pPr>
      <w:proofErr w:type="spellStart"/>
      <w:r w:rsidRPr="00627610">
        <w:rPr>
          <w:rFonts w:ascii="Times New Roman" w:hAnsi="Times New Roman" w:cs="Times New Roman"/>
          <w:b/>
          <w:bCs/>
          <w:color w:val="1D176E"/>
          <w:lang w:val="en-GB"/>
        </w:rPr>
        <w:t>Hambach</w:t>
      </w:r>
      <w:proofErr w:type="spellEnd"/>
      <w:r w:rsidRPr="00627610">
        <w:rPr>
          <w:rFonts w:ascii="Times New Roman" w:hAnsi="Times New Roman" w:cs="Times New Roman"/>
          <w:b/>
          <w:bCs/>
          <w:color w:val="1D176E"/>
          <w:lang w:val="en-GB"/>
        </w:rPr>
        <w:t xml:space="preserve"> Opencast Mine and Forest Across Alternative Scenarios</w:t>
      </w:r>
    </w:p>
    <w:p w14:paraId="7F9C325D" w14:textId="000BC2F8" w:rsidR="00A30E9F" w:rsidRPr="002F5611" w:rsidRDefault="00A30E9F" w:rsidP="00627610">
      <w:pPr>
        <w:jc w:val="both"/>
        <w:rPr>
          <w:rFonts w:ascii="Times New Roman" w:hAnsi="Times New Roman" w:cs="Times New Roman"/>
          <w:sz w:val="20"/>
          <w:szCs w:val="20"/>
        </w:rPr>
      </w:pPr>
    </w:p>
    <w:p w14:paraId="264518CA" w14:textId="6564FC36" w:rsidR="00A30E9F" w:rsidRPr="002F5611" w:rsidRDefault="00A30E9F" w:rsidP="00627610">
      <w:pPr>
        <w:jc w:val="both"/>
        <w:rPr>
          <w:rFonts w:ascii="Times New Roman" w:hAnsi="Times New Roman" w:cs="Times New Roman"/>
        </w:rPr>
      </w:pPr>
      <w:r w:rsidRPr="002F5611">
        <w:rPr>
          <w:rFonts w:ascii="Times New Roman" w:hAnsi="Times New Roman" w:cs="Times New Roman"/>
        </w:rPr>
        <w:t xml:space="preserve">This Appendix provides supplementary materials detailing how the nature capital accounts in Section 5 were computed. The underlying model and data forming the basis of the analysis is available upon request. </w:t>
      </w:r>
    </w:p>
    <w:p w14:paraId="43D4D2BA" w14:textId="6E2C8B2A" w:rsidR="00A30E9F" w:rsidRPr="002F5611" w:rsidRDefault="00A30E9F" w:rsidP="00627610">
      <w:pPr>
        <w:jc w:val="both"/>
        <w:rPr>
          <w:rFonts w:ascii="Times New Roman" w:hAnsi="Times New Roman" w:cs="Times New Roman"/>
          <w:b/>
        </w:rPr>
      </w:pPr>
    </w:p>
    <w:p w14:paraId="56A4FF23" w14:textId="670320CD" w:rsidR="00A30E9F" w:rsidRPr="00367D1C" w:rsidRDefault="00A30E9F" w:rsidP="00627610">
      <w:pPr>
        <w:jc w:val="both"/>
        <w:rPr>
          <w:rFonts w:ascii="Times New Roman" w:hAnsi="Times New Roman" w:cs="Times New Roman"/>
          <w:b/>
          <w:color w:val="1D176E"/>
        </w:rPr>
      </w:pPr>
      <w:r w:rsidRPr="00367D1C">
        <w:rPr>
          <w:rFonts w:ascii="Times New Roman" w:hAnsi="Times New Roman" w:cs="Times New Roman"/>
          <w:b/>
          <w:color w:val="1D176E"/>
        </w:rPr>
        <w:t>Scenarios</w:t>
      </w:r>
    </w:p>
    <w:p w14:paraId="12DCCC31" w14:textId="479A2A7A" w:rsidR="00A30E9F" w:rsidRPr="002F5611" w:rsidRDefault="00A30E9F" w:rsidP="00627610">
      <w:pPr>
        <w:jc w:val="both"/>
        <w:rPr>
          <w:rFonts w:ascii="Times New Roman" w:hAnsi="Times New Roman" w:cs="Times New Roman"/>
          <w:iCs/>
          <w:lang w:val="en-GB"/>
        </w:rPr>
      </w:pPr>
      <w:r w:rsidRPr="002F5611">
        <w:rPr>
          <w:rFonts w:ascii="Times New Roman" w:hAnsi="Times New Roman" w:cs="Times New Roman"/>
          <w:iCs/>
          <w:lang w:val="en-GB"/>
        </w:rPr>
        <w:t xml:space="preserve">The natural capital accounts calculate the value of ecosystem services and environmental damages across three plausible scenarios at the </w:t>
      </w:r>
      <w:proofErr w:type="spellStart"/>
      <w:r w:rsidRPr="002F5611">
        <w:rPr>
          <w:rFonts w:ascii="Times New Roman" w:hAnsi="Times New Roman" w:cs="Times New Roman"/>
          <w:iCs/>
          <w:lang w:val="en-GB"/>
        </w:rPr>
        <w:t>Hambach</w:t>
      </w:r>
      <w:proofErr w:type="spellEnd"/>
      <w:r w:rsidRPr="002F5611">
        <w:rPr>
          <w:rFonts w:ascii="Times New Roman" w:hAnsi="Times New Roman" w:cs="Times New Roman"/>
          <w:iCs/>
          <w:lang w:val="en-GB"/>
        </w:rPr>
        <w:t xml:space="preserve"> mine. Parameter values such as price of carbon and the discount rate are assumed to be constant across scenarios. The only changing variables across scenarios are: the size of the forest and the amount of lignite excavation and combustion. </w:t>
      </w:r>
    </w:p>
    <w:p w14:paraId="3B922B8C" w14:textId="005C6C2E" w:rsidR="00A30E9F" w:rsidRPr="002F5611" w:rsidRDefault="00A30E9F" w:rsidP="00627610">
      <w:pPr>
        <w:jc w:val="both"/>
        <w:rPr>
          <w:rFonts w:ascii="Times New Roman" w:hAnsi="Times New Roman" w:cs="Times New Roman"/>
          <w:iCs/>
          <w:lang w:val="en-GB"/>
        </w:rPr>
      </w:pPr>
    </w:p>
    <w:p w14:paraId="719D7917" w14:textId="2240F14C" w:rsidR="00A30E9F" w:rsidRPr="002F5611" w:rsidRDefault="00A30E9F" w:rsidP="00627610">
      <w:pPr>
        <w:jc w:val="both"/>
        <w:rPr>
          <w:rFonts w:ascii="Times New Roman" w:hAnsi="Times New Roman" w:cs="Times New Roman"/>
          <w:iCs/>
          <w:lang w:val="en-GB"/>
        </w:rPr>
      </w:pPr>
      <w:r w:rsidRPr="002F5611">
        <w:rPr>
          <w:rFonts w:ascii="Times New Roman" w:hAnsi="Times New Roman" w:cs="Times New Roman"/>
          <w:iCs/>
          <w:lang w:val="en-GB"/>
        </w:rPr>
        <w:t xml:space="preserve">In scenario 1 (baseline), </w:t>
      </w:r>
      <w:proofErr w:type="spellStart"/>
      <w:r w:rsidRPr="002F5611">
        <w:rPr>
          <w:rFonts w:ascii="Times New Roman" w:hAnsi="Times New Roman" w:cs="Times New Roman"/>
          <w:iCs/>
          <w:lang w:val="en-GB"/>
        </w:rPr>
        <w:t>Hambach</w:t>
      </w:r>
      <w:proofErr w:type="spellEnd"/>
      <w:r w:rsidRPr="002F5611">
        <w:rPr>
          <w:rFonts w:ascii="Times New Roman" w:hAnsi="Times New Roman" w:cs="Times New Roman"/>
          <w:iCs/>
          <w:lang w:val="en-GB"/>
        </w:rPr>
        <w:t xml:space="preserve"> forest is 1 km</w:t>
      </w:r>
      <w:r w:rsidRPr="002F5611">
        <w:rPr>
          <w:rFonts w:ascii="Times New Roman" w:hAnsi="Times New Roman" w:cs="Times New Roman"/>
          <w:iCs/>
          <w:vertAlign w:val="superscript"/>
          <w:lang w:val="en-GB"/>
        </w:rPr>
        <w:t>2</w:t>
      </w:r>
      <w:r w:rsidRPr="002F5611">
        <w:rPr>
          <w:rFonts w:ascii="Times New Roman" w:hAnsi="Times New Roman" w:cs="Times New Roman"/>
          <w:iCs/>
          <w:lang w:val="en-GB"/>
        </w:rPr>
        <w:t xml:space="preserve">.  Excavation and combustion </w:t>
      </w:r>
      <w:r>
        <w:rPr>
          <w:rFonts w:ascii="Times New Roman" w:hAnsi="Times New Roman" w:cs="Times New Roman"/>
          <w:iCs/>
          <w:lang w:val="en-GB"/>
        </w:rPr>
        <w:t>occur up until</w:t>
      </w:r>
      <w:r w:rsidRPr="002F5611">
        <w:rPr>
          <w:rFonts w:ascii="Times New Roman" w:hAnsi="Times New Roman" w:cs="Times New Roman"/>
          <w:iCs/>
          <w:lang w:val="en-GB"/>
        </w:rPr>
        <w:t xml:space="preserve"> 2038</w:t>
      </w:r>
      <w:r>
        <w:rPr>
          <w:rFonts w:ascii="Times New Roman" w:hAnsi="Times New Roman" w:cs="Times New Roman"/>
          <w:iCs/>
          <w:lang w:val="en-GB"/>
        </w:rPr>
        <w:t xml:space="preserve">, after which </w:t>
      </w:r>
      <w:r w:rsidRPr="002F5611">
        <w:rPr>
          <w:rFonts w:ascii="Times New Roman" w:hAnsi="Times New Roman" w:cs="Times New Roman"/>
          <w:iCs/>
          <w:lang w:val="en-GB"/>
        </w:rPr>
        <w:t xml:space="preserve">all remaining lignite is stranded. We assume some sort of ‘compromise’ </w:t>
      </w:r>
      <w:r>
        <w:rPr>
          <w:rFonts w:ascii="Times New Roman" w:hAnsi="Times New Roman" w:cs="Times New Roman"/>
          <w:iCs/>
          <w:lang w:val="en-GB"/>
        </w:rPr>
        <w:t xml:space="preserve">between the federal government and RWE is </w:t>
      </w:r>
      <w:r w:rsidRPr="002F5611">
        <w:rPr>
          <w:rFonts w:ascii="Times New Roman" w:hAnsi="Times New Roman" w:cs="Times New Roman"/>
          <w:iCs/>
          <w:lang w:val="en-GB"/>
        </w:rPr>
        <w:t xml:space="preserve">the </w:t>
      </w:r>
      <w:r>
        <w:rPr>
          <w:rFonts w:ascii="Times New Roman" w:hAnsi="Times New Roman" w:cs="Times New Roman"/>
          <w:iCs/>
          <w:lang w:val="en-GB"/>
        </w:rPr>
        <w:t>most likely</w:t>
      </w:r>
      <w:r w:rsidRPr="002F5611">
        <w:rPr>
          <w:rFonts w:ascii="Times New Roman" w:hAnsi="Times New Roman" w:cs="Times New Roman"/>
          <w:iCs/>
          <w:lang w:val="en-GB"/>
        </w:rPr>
        <w:t xml:space="preserve"> trajectory given the current political situation and</w:t>
      </w:r>
      <w:r>
        <w:rPr>
          <w:rFonts w:ascii="Times New Roman" w:hAnsi="Times New Roman" w:cs="Times New Roman"/>
          <w:iCs/>
          <w:lang w:val="en-GB"/>
        </w:rPr>
        <w:t>,</w:t>
      </w:r>
      <w:r w:rsidRPr="002F5611">
        <w:rPr>
          <w:rFonts w:ascii="Times New Roman" w:hAnsi="Times New Roman" w:cs="Times New Roman"/>
          <w:iCs/>
          <w:lang w:val="en-GB"/>
        </w:rPr>
        <w:t xml:space="preserve"> hence, </w:t>
      </w:r>
      <w:r>
        <w:rPr>
          <w:rFonts w:ascii="Times New Roman" w:hAnsi="Times New Roman" w:cs="Times New Roman"/>
          <w:iCs/>
          <w:lang w:val="en-GB"/>
        </w:rPr>
        <w:t>call</w:t>
      </w:r>
      <w:r w:rsidRPr="002F5611">
        <w:rPr>
          <w:rFonts w:ascii="Times New Roman" w:hAnsi="Times New Roman" w:cs="Times New Roman"/>
          <w:iCs/>
          <w:lang w:val="en-GB"/>
        </w:rPr>
        <w:t xml:space="preserve"> this scenario our baseline. </w:t>
      </w:r>
    </w:p>
    <w:p w14:paraId="413B6263" w14:textId="36615718" w:rsidR="00A30E9F" w:rsidRPr="002F5611" w:rsidRDefault="00A30E9F" w:rsidP="00627610">
      <w:pPr>
        <w:jc w:val="both"/>
        <w:rPr>
          <w:rFonts w:ascii="Times New Roman" w:hAnsi="Times New Roman" w:cs="Times New Roman"/>
          <w:iCs/>
          <w:lang w:val="en-GB"/>
        </w:rPr>
      </w:pPr>
      <w:r w:rsidRPr="002F5611">
        <w:rPr>
          <w:rFonts w:ascii="Times New Roman" w:hAnsi="Times New Roman" w:cs="Times New Roman"/>
          <w:iCs/>
          <w:lang w:val="en-GB"/>
        </w:rPr>
        <w:t>In scenario 2 (high emissions) the forest is 0 km</w:t>
      </w:r>
      <w:r w:rsidRPr="002F5611">
        <w:rPr>
          <w:rFonts w:ascii="Times New Roman" w:hAnsi="Times New Roman" w:cs="Times New Roman"/>
          <w:iCs/>
          <w:vertAlign w:val="superscript"/>
          <w:lang w:val="en-GB"/>
        </w:rPr>
        <w:t>2</w:t>
      </w:r>
      <w:r w:rsidRPr="002F5611">
        <w:rPr>
          <w:rFonts w:ascii="Times New Roman" w:hAnsi="Times New Roman" w:cs="Times New Roman"/>
          <w:iCs/>
          <w:lang w:val="en-GB"/>
        </w:rPr>
        <w:t xml:space="preserve"> and excavation and combustion continue </w:t>
      </w:r>
      <w:r>
        <w:rPr>
          <w:rFonts w:ascii="Times New Roman" w:hAnsi="Times New Roman" w:cs="Times New Roman"/>
          <w:iCs/>
          <w:lang w:val="en-GB"/>
        </w:rPr>
        <w:t>until</w:t>
      </w:r>
      <w:r w:rsidRPr="002F5611">
        <w:rPr>
          <w:rFonts w:ascii="Times New Roman" w:hAnsi="Times New Roman" w:cs="Times New Roman"/>
          <w:iCs/>
          <w:lang w:val="en-GB"/>
        </w:rPr>
        <w:t xml:space="preserve"> all lignite reserves are exhausted. This is RWE’s preference. </w:t>
      </w:r>
    </w:p>
    <w:p w14:paraId="1E3A53B2" w14:textId="55C59A62" w:rsidR="00A30E9F" w:rsidRPr="002F5611" w:rsidRDefault="00A30E9F" w:rsidP="00627610">
      <w:pPr>
        <w:jc w:val="both"/>
        <w:rPr>
          <w:rFonts w:ascii="Times New Roman" w:hAnsi="Times New Roman" w:cs="Times New Roman"/>
          <w:b/>
        </w:rPr>
      </w:pPr>
      <w:r w:rsidRPr="002F5611">
        <w:rPr>
          <w:rFonts w:ascii="Times New Roman" w:hAnsi="Times New Roman" w:cs="Times New Roman"/>
          <w:iCs/>
          <w:lang w:val="en-GB"/>
        </w:rPr>
        <w:t>In scenario 3 (climate action) the forest is 5 km</w:t>
      </w:r>
      <w:r w:rsidRPr="002F5611">
        <w:rPr>
          <w:rFonts w:ascii="Times New Roman" w:hAnsi="Times New Roman" w:cs="Times New Roman"/>
          <w:iCs/>
          <w:vertAlign w:val="superscript"/>
          <w:lang w:val="en-GB"/>
        </w:rPr>
        <w:t>2</w:t>
      </w:r>
      <w:r w:rsidRPr="002F5611">
        <w:rPr>
          <w:rFonts w:ascii="Times New Roman" w:hAnsi="Times New Roman" w:cs="Times New Roman"/>
          <w:iCs/>
          <w:lang w:val="en-GB"/>
        </w:rPr>
        <w:t xml:space="preserve">, which is </w:t>
      </w:r>
      <w:r>
        <w:rPr>
          <w:rFonts w:ascii="Times New Roman" w:hAnsi="Times New Roman" w:cs="Times New Roman"/>
          <w:iCs/>
          <w:lang w:val="en-GB"/>
        </w:rPr>
        <w:t>its</w:t>
      </w:r>
      <w:r w:rsidRPr="002F5611">
        <w:rPr>
          <w:rFonts w:ascii="Times New Roman" w:hAnsi="Times New Roman" w:cs="Times New Roman"/>
          <w:iCs/>
          <w:lang w:val="en-GB"/>
        </w:rPr>
        <w:t xml:space="preserve"> present-day size, and there is an immediate cessation of all mining activities. This is the demand of </w:t>
      </w:r>
      <w:r>
        <w:rPr>
          <w:rFonts w:ascii="Times New Roman" w:hAnsi="Times New Roman" w:cs="Times New Roman"/>
          <w:iCs/>
          <w:lang w:val="en-GB"/>
        </w:rPr>
        <w:t xml:space="preserve">environmental </w:t>
      </w:r>
      <w:r w:rsidRPr="002F5611">
        <w:rPr>
          <w:rFonts w:ascii="Times New Roman" w:hAnsi="Times New Roman" w:cs="Times New Roman"/>
          <w:iCs/>
          <w:lang w:val="en-GB"/>
        </w:rPr>
        <w:t xml:space="preserve">NGOs and civil society groups. </w:t>
      </w:r>
    </w:p>
    <w:p w14:paraId="3EA9A470" w14:textId="18C07899" w:rsidR="00A30E9F" w:rsidRPr="002F5611" w:rsidRDefault="00A30E9F" w:rsidP="00627610">
      <w:pPr>
        <w:jc w:val="both"/>
        <w:rPr>
          <w:rFonts w:ascii="Times New Roman" w:hAnsi="Times New Roman" w:cs="Times New Roman"/>
        </w:rPr>
      </w:pPr>
    </w:p>
    <w:p w14:paraId="0D162F30" w14:textId="4FF32DC0" w:rsidR="00A30E9F" w:rsidRPr="002F5611" w:rsidRDefault="00A30E9F" w:rsidP="00627610">
      <w:pPr>
        <w:jc w:val="both"/>
        <w:rPr>
          <w:rFonts w:ascii="Times New Roman" w:hAnsi="Times New Roman" w:cs="Times New Roman"/>
        </w:rPr>
      </w:pPr>
      <w:r w:rsidRPr="002F5611">
        <w:rPr>
          <w:rFonts w:ascii="Times New Roman" w:hAnsi="Times New Roman" w:cs="Times New Roman"/>
        </w:rPr>
        <w:t xml:space="preserve">All figures are in 2019 euros, adjusted for inflation. </w:t>
      </w:r>
    </w:p>
    <w:p w14:paraId="271CF764" w14:textId="3F2F051A" w:rsidR="00A30E9F" w:rsidRPr="002F5611" w:rsidRDefault="00A30E9F" w:rsidP="00627610">
      <w:pPr>
        <w:jc w:val="both"/>
        <w:rPr>
          <w:rFonts w:ascii="Times New Roman" w:hAnsi="Times New Roman" w:cs="Times New Roman"/>
        </w:rPr>
      </w:pPr>
    </w:p>
    <w:p w14:paraId="1D4B7E96" w14:textId="74FE81AB" w:rsidR="00A30E9F" w:rsidRPr="00367D1C" w:rsidRDefault="00A30E9F" w:rsidP="00627610">
      <w:pPr>
        <w:jc w:val="both"/>
        <w:rPr>
          <w:rFonts w:ascii="Times New Roman" w:hAnsi="Times New Roman" w:cs="Times New Roman"/>
          <w:b/>
          <w:iCs/>
          <w:color w:val="1D176E"/>
          <w:lang w:val="en-GB"/>
        </w:rPr>
      </w:pPr>
      <w:r w:rsidRPr="00367D1C">
        <w:rPr>
          <w:rFonts w:ascii="Times New Roman" w:hAnsi="Times New Roman" w:cs="Times New Roman"/>
          <w:b/>
          <w:iCs/>
          <w:color w:val="1D176E"/>
          <w:lang w:val="en-GB"/>
        </w:rPr>
        <w:t xml:space="preserve">Carbon Sequestration </w:t>
      </w:r>
    </w:p>
    <w:p w14:paraId="7444105D" w14:textId="104D70E3" w:rsidR="00A30E9F" w:rsidRPr="002F5611" w:rsidRDefault="00A30E9F" w:rsidP="00627610">
      <w:pPr>
        <w:jc w:val="both"/>
        <w:rPr>
          <w:rFonts w:ascii="Times New Roman" w:hAnsi="Times New Roman" w:cs="Times New Roman"/>
          <w:iCs/>
          <w:lang w:val="en-GB"/>
        </w:rPr>
      </w:pPr>
      <w:r w:rsidRPr="002F5611">
        <w:rPr>
          <w:rFonts w:ascii="Times New Roman" w:hAnsi="Times New Roman" w:cs="Times New Roman"/>
          <w:iCs/>
          <w:lang w:val="en-GB"/>
        </w:rPr>
        <w:t xml:space="preserve">Biophysical data on the type of tree species in the forest, their average spacing, age and yield class is used to determine the carbon sequestration rate of the forest. A comprehensive mapping from these biophysical characteristics to the carbon sequestration rate can be found in Woodland Carbon Code (2019) look-up tables. Since </w:t>
      </w:r>
      <w:proofErr w:type="spellStart"/>
      <w:r w:rsidRPr="002F5611">
        <w:rPr>
          <w:rFonts w:ascii="Times New Roman" w:hAnsi="Times New Roman" w:cs="Times New Roman"/>
          <w:iCs/>
          <w:lang w:val="en-GB"/>
        </w:rPr>
        <w:t>Hambach</w:t>
      </w:r>
      <w:proofErr w:type="spellEnd"/>
      <w:r w:rsidRPr="002F5611">
        <w:rPr>
          <w:rFonts w:ascii="Times New Roman" w:hAnsi="Times New Roman" w:cs="Times New Roman"/>
          <w:iCs/>
          <w:lang w:val="en-GB"/>
        </w:rPr>
        <w:t xml:space="preserve"> is an oak-hornbeam forest, we use oak as the representative species and assume the yield class is 4, the spacing is 1.2 meters.  We assume a standard distribution of tree ages which implies the average carbon sequestration rate is around 7.5 tCO</w:t>
      </w:r>
      <w:r w:rsidRPr="002F5611">
        <w:rPr>
          <w:rFonts w:ascii="Times New Roman" w:hAnsi="Times New Roman" w:cs="Times New Roman"/>
          <w:iCs/>
          <w:vertAlign w:val="subscript"/>
          <w:lang w:val="en-GB"/>
        </w:rPr>
        <w:t>2</w:t>
      </w:r>
      <w:r w:rsidRPr="002F5611">
        <w:rPr>
          <w:rFonts w:ascii="Times New Roman" w:hAnsi="Times New Roman" w:cs="Times New Roman"/>
          <w:iCs/>
          <w:lang w:val="en-GB"/>
        </w:rPr>
        <w:t>/ha/year. Peak sequestration can be as much as 34 tCO</w:t>
      </w:r>
      <w:r w:rsidRPr="002F5611">
        <w:rPr>
          <w:rFonts w:ascii="Times New Roman" w:hAnsi="Times New Roman" w:cs="Times New Roman"/>
          <w:iCs/>
          <w:vertAlign w:val="subscript"/>
          <w:lang w:val="en-GB"/>
        </w:rPr>
        <w:t>2</w:t>
      </w:r>
      <w:r w:rsidRPr="002F5611">
        <w:rPr>
          <w:rFonts w:ascii="Times New Roman" w:hAnsi="Times New Roman" w:cs="Times New Roman"/>
          <w:iCs/>
          <w:lang w:val="en-GB"/>
        </w:rPr>
        <w:t xml:space="preserve">/ha/year while minimum sequestration is close to 0 (see Figure 3). </w:t>
      </w:r>
    </w:p>
    <w:p w14:paraId="7234B1C0" w14:textId="05F0731C" w:rsidR="00A30E9F" w:rsidRPr="002F5611" w:rsidRDefault="00A30E9F" w:rsidP="00627610">
      <w:pPr>
        <w:jc w:val="both"/>
        <w:rPr>
          <w:rFonts w:ascii="Times New Roman" w:hAnsi="Times New Roman" w:cs="Times New Roman"/>
          <w:iCs/>
          <w:lang w:val="en-GB"/>
        </w:rPr>
      </w:pPr>
    </w:p>
    <w:p w14:paraId="6A93F73A" w14:textId="45DA49C5" w:rsidR="00A30E9F" w:rsidRPr="006118B6" w:rsidRDefault="00A30E9F" w:rsidP="00367D1C">
      <w:pPr>
        <w:jc w:val="center"/>
        <w:rPr>
          <w:rFonts w:ascii="Times New Roman" w:hAnsi="Times New Roman" w:cs="Times New Roman"/>
          <w:iCs/>
          <w:lang w:val="en-GB"/>
        </w:rPr>
      </w:pPr>
      <w:r w:rsidRPr="002F5611">
        <w:rPr>
          <w:rFonts w:ascii="Times New Roman" w:hAnsi="Times New Roman" w:cs="Times New Roman"/>
          <w:smallCaps/>
        </w:rPr>
        <w:lastRenderedPageBreak/>
        <w:t xml:space="preserve">Figure 6: Sequestration </w:t>
      </w:r>
      <w:r w:rsidR="00367D1C">
        <w:rPr>
          <w:rFonts w:ascii="Times New Roman" w:hAnsi="Times New Roman" w:cs="Times New Roman"/>
          <w:smallCaps/>
        </w:rPr>
        <w:t>R</w:t>
      </w:r>
      <w:r w:rsidRPr="002F5611">
        <w:rPr>
          <w:rFonts w:ascii="Times New Roman" w:hAnsi="Times New Roman" w:cs="Times New Roman"/>
          <w:smallCaps/>
        </w:rPr>
        <w:t xml:space="preserve">ates for </w:t>
      </w:r>
      <w:r w:rsidR="00367D1C">
        <w:rPr>
          <w:rFonts w:ascii="Times New Roman" w:hAnsi="Times New Roman" w:cs="Times New Roman"/>
          <w:smallCaps/>
        </w:rPr>
        <w:t>O</w:t>
      </w:r>
      <w:r w:rsidRPr="002F5611">
        <w:rPr>
          <w:rFonts w:ascii="Times New Roman" w:hAnsi="Times New Roman" w:cs="Times New Roman"/>
          <w:smallCaps/>
        </w:rPr>
        <w:t xml:space="preserve">ak </w:t>
      </w:r>
      <w:r w:rsidR="00367D1C">
        <w:rPr>
          <w:rFonts w:ascii="Times New Roman" w:hAnsi="Times New Roman" w:cs="Times New Roman"/>
          <w:smallCaps/>
        </w:rPr>
        <w:t>T</w:t>
      </w:r>
      <w:r w:rsidRPr="002F5611">
        <w:rPr>
          <w:rFonts w:ascii="Times New Roman" w:hAnsi="Times New Roman" w:cs="Times New Roman"/>
          <w:smallCaps/>
        </w:rPr>
        <w:t>rees</w:t>
      </w:r>
      <w:r w:rsidRPr="006118B6">
        <w:rPr>
          <w:rFonts w:ascii="Times New Roman" w:hAnsi="Times New Roman" w:cs="Times New Roman"/>
          <w:noProof/>
        </w:rPr>
        <w:drawing>
          <wp:inline distT="0" distB="0" distL="0" distR="0" wp14:anchorId="5FB176CE" wp14:editId="62EE6CB6">
            <wp:extent cx="3444705" cy="2823472"/>
            <wp:effectExtent l="0" t="0" r="10160" b="0"/>
            <wp:docPr id="13" name="Chart 1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805C3D" w14:textId="00C2B8FB" w:rsidR="00A30E9F" w:rsidRPr="00206B61" w:rsidRDefault="00A30E9F" w:rsidP="00367D1C">
      <w:pPr>
        <w:jc w:val="center"/>
        <w:rPr>
          <w:rFonts w:ascii="Times New Roman" w:hAnsi="Times New Roman" w:cs="Times New Roman"/>
          <w:iCs/>
          <w:sz w:val="20"/>
          <w:szCs w:val="20"/>
          <w:lang w:val="en-GB"/>
        </w:rPr>
      </w:pPr>
      <w:r w:rsidRPr="00206B61">
        <w:rPr>
          <w:rFonts w:ascii="Times New Roman" w:hAnsi="Times New Roman" w:cs="Times New Roman"/>
          <w:iCs/>
          <w:sz w:val="20"/>
          <w:szCs w:val="20"/>
          <w:lang w:val="en-GB"/>
        </w:rPr>
        <w:t>Source: Woodland Carbon Code (2019)</w:t>
      </w:r>
    </w:p>
    <w:p w14:paraId="5C5F66C7" w14:textId="493F13FB" w:rsidR="00A30E9F" w:rsidRPr="00C7453A" w:rsidRDefault="00A30E9F" w:rsidP="00627610">
      <w:pPr>
        <w:jc w:val="both"/>
        <w:rPr>
          <w:rFonts w:ascii="Times New Roman" w:hAnsi="Times New Roman" w:cs="Times New Roman"/>
          <w:iCs/>
          <w:lang w:val="en-GB"/>
        </w:rPr>
      </w:pPr>
    </w:p>
    <w:p w14:paraId="52F6B93B" w14:textId="3E1437F3" w:rsidR="00A30E9F" w:rsidRPr="00AD41E5" w:rsidRDefault="00A30E9F" w:rsidP="00627610">
      <w:pPr>
        <w:jc w:val="both"/>
        <w:rPr>
          <w:rFonts w:ascii="Times New Roman" w:hAnsi="Times New Roman" w:cs="Times New Roman"/>
          <w:iCs/>
          <w:lang w:val="en-GB"/>
        </w:rPr>
      </w:pPr>
      <w:r w:rsidRPr="0007753E">
        <w:rPr>
          <w:rFonts w:ascii="Times New Roman" w:hAnsi="Times New Roman" w:cs="Times New Roman"/>
          <w:iCs/>
          <w:lang w:val="en-GB"/>
        </w:rPr>
        <w:t xml:space="preserve">This representative sequestration rate is multiplied by the size of </w:t>
      </w:r>
      <w:proofErr w:type="spellStart"/>
      <w:r w:rsidRPr="0007753E">
        <w:rPr>
          <w:rFonts w:ascii="Times New Roman" w:hAnsi="Times New Roman" w:cs="Times New Roman"/>
          <w:iCs/>
          <w:lang w:val="en-GB"/>
        </w:rPr>
        <w:t>Hambach</w:t>
      </w:r>
      <w:proofErr w:type="spellEnd"/>
      <w:r w:rsidRPr="0007753E">
        <w:rPr>
          <w:rFonts w:ascii="Times New Roman" w:hAnsi="Times New Roman" w:cs="Times New Roman"/>
          <w:iCs/>
          <w:lang w:val="en-GB"/>
        </w:rPr>
        <w:t xml:space="preserve"> forest across alternative scenarios to obtain the total seq</w:t>
      </w:r>
      <w:r w:rsidRPr="001C5896">
        <w:rPr>
          <w:rFonts w:ascii="Times New Roman" w:hAnsi="Times New Roman" w:cs="Times New Roman"/>
          <w:iCs/>
          <w:lang w:val="en-GB"/>
        </w:rPr>
        <w:t>uestration per year, which is then multiplied by the price of carbon which is EUR 30/tCO</w:t>
      </w:r>
      <w:r w:rsidRPr="00B504EF">
        <w:rPr>
          <w:rFonts w:ascii="Times New Roman" w:hAnsi="Times New Roman" w:cs="Times New Roman"/>
          <w:iCs/>
          <w:vertAlign w:val="subscript"/>
          <w:lang w:val="en-GB"/>
        </w:rPr>
        <w:t xml:space="preserve">2. </w:t>
      </w:r>
      <w:r w:rsidRPr="00111EEE">
        <w:rPr>
          <w:rFonts w:ascii="Times New Roman" w:hAnsi="Times New Roman" w:cs="Times New Roman"/>
          <w:iCs/>
          <w:lang w:val="en-GB"/>
        </w:rPr>
        <w:t>The value for each year is summed up across the 34 years and discounted using a constant discount rate of 3.4% to produce the net present value of carbon sequestrati</w:t>
      </w:r>
      <w:r w:rsidRPr="00AD41E5">
        <w:rPr>
          <w:rFonts w:ascii="Times New Roman" w:hAnsi="Times New Roman" w:cs="Times New Roman"/>
          <w:iCs/>
          <w:lang w:val="en-GB"/>
        </w:rPr>
        <w:t xml:space="preserve">on across different scenarios. </w:t>
      </w:r>
    </w:p>
    <w:p w14:paraId="5E2CFD93" w14:textId="28B33501" w:rsidR="00A30E9F" w:rsidRPr="00F14C00" w:rsidRDefault="00A30E9F" w:rsidP="00627610">
      <w:pPr>
        <w:jc w:val="both"/>
        <w:rPr>
          <w:rFonts w:ascii="Times New Roman" w:hAnsi="Times New Roman" w:cs="Times New Roman"/>
          <w:b/>
        </w:rPr>
      </w:pPr>
    </w:p>
    <w:p w14:paraId="7F08D4E1" w14:textId="3D04151E" w:rsidR="00A30E9F" w:rsidRPr="00627610" w:rsidRDefault="00A30E9F" w:rsidP="00627610">
      <w:pPr>
        <w:jc w:val="both"/>
        <w:rPr>
          <w:rFonts w:ascii="Times New Roman" w:hAnsi="Times New Roman" w:cs="Times New Roman"/>
          <w:b/>
          <w:color w:val="1D176E"/>
        </w:rPr>
      </w:pPr>
      <w:r w:rsidRPr="00627610">
        <w:rPr>
          <w:rFonts w:ascii="Times New Roman" w:hAnsi="Times New Roman" w:cs="Times New Roman"/>
          <w:b/>
          <w:color w:val="1D176E"/>
        </w:rPr>
        <w:t>Pollination and Recreation</w:t>
      </w:r>
    </w:p>
    <w:p w14:paraId="10DBABD6" w14:textId="2C062131" w:rsidR="00A30E9F" w:rsidRPr="002F5611" w:rsidRDefault="00A30E9F" w:rsidP="00627610">
      <w:pPr>
        <w:jc w:val="both"/>
        <w:rPr>
          <w:rFonts w:ascii="Times New Roman" w:hAnsi="Times New Roman" w:cs="Times New Roman"/>
        </w:rPr>
      </w:pPr>
      <w:r w:rsidRPr="00100FCE">
        <w:rPr>
          <w:rFonts w:ascii="Times New Roman" w:hAnsi="Times New Roman" w:cs="Times New Roman"/>
        </w:rPr>
        <w:t>We obtain data on the value of the ecosystem service per hectare of the habitat (</w:t>
      </w:r>
      <w:proofErr w:type="spellStart"/>
      <w:r w:rsidRPr="00331DBA">
        <w:rPr>
          <w:rFonts w:ascii="Times New Roman" w:hAnsi="Times New Roman" w:cs="Times New Roman"/>
          <w:i/>
        </w:rPr>
        <w:t>val</w:t>
      </w:r>
      <w:r w:rsidRPr="00091B69">
        <w:rPr>
          <w:rFonts w:ascii="Times New Roman" w:hAnsi="Times New Roman" w:cs="Times New Roman"/>
          <w:i/>
          <w:vertAlign w:val="subscript"/>
        </w:rPr>
        <w:t>ib</w:t>
      </w:r>
      <w:proofErr w:type="spellEnd"/>
      <w:r w:rsidRPr="00625CB6">
        <w:rPr>
          <w:rFonts w:ascii="Times New Roman" w:hAnsi="Times New Roman" w:cs="Times New Roman"/>
        </w:rPr>
        <w:t>). The subscripts</w:t>
      </w:r>
      <w:r w:rsidRPr="001979D3">
        <w:rPr>
          <w:rFonts w:ascii="Times New Roman" w:hAnsi="Times New Roman" w:cs="Times New Roman"/>
          <w:i/>
        </w:rPr>
        <w:t xml:space="preserve"> i </w:t>
      </w:r>
      <w:r w:rsidRPr="002F5611">
        <w:rPr>
          <w:rFonts w:ascii="Times New Roman" w:hAnsi="Times New Roman" w:cs="Times New Roman"/>
        </w:rPr>
        <w:t xml:space="preserve">and </w:t>
      </w:r>
      <w:r w:rsidRPr="002F5611">
        <w:rPr>
          <w:rFonts w:ascii="Times New Roman" w:hAnsi="Times New Roman" w:cs="Times New Roman"/>
          <w:i/>
        </w:rPr>
        <w:t>b</w:t>
      </w:r>
      <w:r w:rsidRPr="002F5611">
        <w:rPr>
          <w:rFonts w:ascii="Times New Roman" w:hAnsi="Times New Roman" w:cs="Times New Roman"/>
        </w:rPr>
        <w:t xml:space="preserve"> denote the ecosystem service and habitat respectively. We then calculate value of the ecosystem service per year by multiplying the unit value (</w:t>
      </w:r>
      <w:proofErr w:type="spellStart"/>
      <w:r w:rsidRPr="002F5611">
        <w:rPr>
          <w:rFonts w:ascii="Times New Roman" w:hAnsi="Times New Roman" w:cs="Times New Roman"/>
          <w:i/>
        </w:rPr>
        <w:t>val</w:t>
      </w:r>
      <w:r w:rsidRPr="002F5611">
        <w:rPr>
          <w:rFonts w:ascii="Times New Roman" w:hAnsi="Times New Roman" w:cs="Times New Roman"/>
          <w:i/>
          <w:vertAlign w:val="subscript"/>
        </w:rPr>
        <w:t>ib</w:t>
      </w:r>
      <w:proofErr w:type="spellEnd"/>
      <w:r w:rsidRPr="002F5611">
        <w:rPr>
          <w:rFonts w:ascii="Times New Roman" w:hAnsi="Times New Roman" w:cs="Times New Roman"/>
        </w:rPr>
        <w:t xml:space="preserve">) by the hectarage of </w:t>
      </w:r>
      <w:proofErr w:type="spellStart"/>
      <w:r w:rsidRPr="002F5611">
        <w:rPr>
          <w:rFonts w:ascii="Times New Roman" w:hAnsi="Times New Roman" w:cs="Times New Roman"/>
        </w:rPr>
        <w:t>Hambach</w:t>
      </w:r>
      <w:proofErr w:type="spellEnd"/>
      <w:r w:rsidRPr="002F5611">
        <w:rPr>
          <w:rFonts w:ascii="Times New Roman" w:hAnsi="Times New Roman" w:cs="Times New Roman"/>
        </w:rPr>
        <w:t xml:space="preserve"> forest across different scenarios (</w:t>
      </w:r>
      <w:r w:rsidRPr="002F5611">
        <w:rPr>
          <w:rFonts w:ascii="Times New Roman" w:hAnsi="Times New Roman" w:cs="Times New Roman"/>
          <w:i/>
        </w:rPr>
        <w:t>habitat</w:t>
      </w:r>
      <w:r w:rsidRPr="002F5611">
        <w:rPr>
          <w:rFonts w:ascii="Times New Roman" w:hAnsi="Times New Roman" w:cs="Times New Roman"/>
          <w:i/>
          <w:vertAlign w:val="subscript"/>
        </w:rPr>
        <w:t>s</w:t>
      </w:r>
      <w:r w:rsidRPr="002F5611">
        <w:rPr>
          <w:rFonts w:ascii="Times New Roman" w:hAnsi="Times New Roman" w:cs="Times New Roman"/>
        </w:rPr>
        <w:t>) and the discount factor for each year (</w:t>
      </w:r>
      <w:proofErr w:type="spellStart"/>
      <w:r w:rsidRPr="002F5611">
        <w:rPr>
          <w:rFonts w:ascii="Times New Roman" w:hAnsi="Times New Roman" w:cs="Times New Roman"/>
          <w:i/>
          <w:iCs/>
        </w:rPr>
        <w:t>discount_factor</w:t>
      </w:r>
      <w:r w:rsidRPr="002F5611">
        <w:rPr>
          <w:rFonts w:ascii="Times New Roman" w:hAnsi="Times New Roman" w:cs="Times New Roman"/>
          <w:i/>
          <w:iCs/>
          <w:vertAlign w:val="subscript"/>
        </w:rPr>
        <w:t>t</w:t>
      </w:r>
      <w:proofErr w:type="spellEnd"/>
      <w:r w:rsidRPr="002F5611">
        <w:rPr>
          <w:rFonts w:ascii="Times New Roman" w:hAnsi="Times New Roman" w:cs="Times New Roman"/>
        </w:rPr>
        <w:t xml:space="preserve">) which is based on a constant discount rate of 3.5%. The calculation is as follows: </w:t>
      </w:r>
      <w:proofErr w:type="spellStart"/>
      <w:r w:rsidRPr="002F5611">
        <w:rPr>
          <w:rFonts w:ascii="Times New Roman" w:hAnsi="Times New Roman" w:cs="Times New Roman"/>
          <w:i/>
          <w:iCs/>
        </w:rPr>
        <w:t>val</w:t>
      </w:r>
      <w:r w:rsidRPr="002F5611">
        <w:rPr>
          <w:rFonts w:ascii="Times New Roman" w:hAnsi="Times New Roman" w:cs="Times New Roman"/>
          <w:i/>
          <w:vertAlign w:val="subscript"/>
        </w:rPr>
        <w:t>ib</w:t>
      </w:r>
      <w:proofErr w:type="spellEnd"/>
      <w:r w:rsidRPr="002F5611">
        <w:rPr>
          <w:rFonts w:ascii="Times New Roman" w:hAnsi="Times New Roman" w:cs="Times New Roman"/>
          <w:i/>
          <w:vertAlign w:val="subscript"/>
        </w:rPr>
        <w:t xml:space="preserve"> </w:t>
      </w:r>
      <w:r w:rsidRPr="002F5611">
        <w:rPr>
          <w:rFonts w:ascii="Times New Roman" w:hAnsi="Times New Roman" w:cs="Times New Roman"/>
          <w:i/>
        </w:rPr>
        <w:t>*habitat</w:t>
      </w:r>
      <w:r w:rsidRPr="002F5611">
        <w:rPr>
          <w:rFonts w:ascii="Times New Roman" w:hAnsi="Times New Roman" w:cs="Times New Roman"/>
          <w:i/>
          <w:vertAlign w:val="subscript"/>
        </w:rPr>
        <w:t>s</w:t>
      </w:r>
      <w:r w:rsidRPr="002F5611">
        <w:rPr>
          <w:rFonts w:ascii="Times New Roman" w:hAnsi="Times New Roman" w:cs="Times New Roman"/>
        </w:rPr>
        <w:t>*</w:t>
      </w:r>
      <w:proofErr w:type="spellStart"/>
      <w:r w:rsidRPr="002F5611">
        <w:rPr>
          <w:rFonts w:ascii="Times New Roman" w:hAnsi="Times New Roman" w:cs="Times New Roman"/>
          <w:i/>
          <w:iCs/>
        </w:rPr>
        <w:t>discount_factor</w:t>
      </w:r>
      <w:r w:rsidRPr="002F5611">
        <w:rPr>
          <w:rFonts w:ascii="Times New Roman" w:hAnsi="Times New Roman" w:cs="Times New Roman"/>
          <w:i/>
          <w:iCs/>
          <w:vertAlign w:val="subscript"/>
        </w:rPr>
        <w:t>t</w:t>
      </w:r>
      <w:proofErr w:type="spellEnd"/>
      <w:r w:rsidRPr="002F5611">
        <w:rPr>
          <w:rFonts w:ascii="Times New Roman" w:hAnsi="Times New Roman" w:cs="Times New Roman"/>
        </w:rPr>
        <w:t>.</w:t>
      </w:r>
      <w:r w:rsidRPr="002F5611">
        <w:rPr>
          <w:rFonts w:ascii="Times New Roman" w:hAnsi="Times New Roman" w:cs="Times New Roman"/>
          <w:i/>
        </w:rPr>
        <w:t xml:space="preserve"> </w:t>
      </w:r>
      <w:r w:rsidRPr="002F5611">
        <w:rPr>
          <w:rFonts w:ascii="Times New Roman" w:hAnsi="Times New Roman" w:cs="Times New Roman"/>
          <w:iCs/>
        </w:rPr>
        <w:t xml:space="preserve">The net present value of the ecosystem service is calculated for </w:t>
      </w:r>
      <w:r w:rsidRPr="002F5611">
        <w:rPr>
          <w:rFonts w:ascii="Times New Roman" w:hAnsi="Times New Roman" w:cs="Times New Roman"/>
        </w:rPr>
        <w:t>by summing up all of the annual values for each scenario across the 34 years. All unit values are obtained from the TEEB Valuation database which lists several studies from which unit values can be chosen. Specifically, for pollination services</w:t>
      </w:r>
      <w:r w:rsidRPr="002F5611">
        <w:rPr>
          <w:rFonts w:ascii="Times New Roman" w:hAnsi="Times New Roman" w:cs="Times New Roman"/>
          <w:i/>
        </w:rPr>
        <w:t xml:space="preserve"> </w:t>
      </w:r>
      <w:proofErr w:type="spellStart"/>
      <w:r w:rsidRPr="002F5611">
        <w:rPr>
          <w:rFonts w:ascii="Times New Roman" w:hAnsi="Times New Roman" w:cs="Times New Roman"/>
          <w:i/>
        </w:rPr>
        <w:t>val</w:t>
      </w:r>
      <w:r w:rsidRPr="002F5611">
        <w:rPr>
          <w:rFonts w:ascii="Times New Roman" w:hAnsi="Times New Roman" w:cs="Times New Roman"/>
          <w:i/>
          <w:vertAlign w:val="subscript"/>
        </w:rPr>
        <w:t>ib</w:t>
      </w:r>
      <w:proofErr w:type="spellEnd"/>
      <w:r w:rsidRPr="002F5611">
        <w:rPr>
          <w:rFonts w:ascii="Times New Roman" w:hAnsi="Times New Roman" w:cs="Times New Roman"/>
        </w:rPr>
        <w:t xml:space="preserve"> is obtained from Brenner-Guillermo (2007) who uses a benefit transfer method to infer the value of pollination services for a temperate forest. For recreation, </w:t>
      </w:r>
      <w:proofErr w:type="spellStart"/>
      <w:r w:rsidRPr="002F5611">
        <w:rPr>
          <w:rFonts w:ascii="Times New Roman" w:hAnsi="Times New Roman" w:cs="Times New Roman"/>
          <w:i/>
        </w:rPr>
        <w:t>val</w:t>
      </w:r>
      <w:r w:rsidRPr="002F5611">
        <w:rPr>
          <w:rFonts w:ascii="Times New Roman" w:hAnsi="Times New Roman" w:cs="Times New Roman"/>
          <w:i/>
          <w:vertAlign w:val="subscript"/>
        </w:rPr>
        <w:t>ib</w:t>
      </w:r>
      <w:proofErr w:type="spellEnd"/>
      <w:r w:rsidRPr="002F5611">
        <w:rPr>
          <w:rFonts w:ascii="Times New Roman" w:hAnsi="Times New Roman" w:cs="Times New Roman"/>
        </w:rPr>
        <w:t xml:space="preserve"> was obtained from Cruz and </w:t>
      </w:r>
      <w:proofErr w:type="spellStart"/>
      <w:r w:rsidRPr="002F5611">
        <w:rPr>
          <w:rFonts w:ascii="Times New Roman" w:hAnsi="Times New Roman" w:cs="Times New Roman"/>
        </w:rPr>
        <w:t>Benedicto</w:t>
      </w:r>
      <w:proofErr w:type="spellEnd"/>
      <w:r w:rsidRPr="002F5611">
        <w:rPr>
          <w:rFonts w:ascii="Times New Roman" w:hAnsi="Times New Roman" w:cs="Times New Roman"/>
        </w:rPr>
        <w:t xml:space="preserve"> (2009) where it is calculated based on a travel cost method. </w:t>
      </w:r>
    </w:p>
    <w:p w14:paraId="565BDA07" w14:textId="21F7946A" w:rsidR="00A30E9F" w:rsidRPr="002F5611" w:rsidRDefault="00A30E9F" w:rsidP="00627610">
      <w:pPr>
        <w:jc w:val="both"/>
        <w:rPr>
          <w:rFonts w:ascii="Times New Roman" w:hAnsi="Times New Roman" w:cs="Times New Roman"/>
          <w:iCs/>
          <w:lang w:val="en-GB"/>
        </w:rPr>
      </w:pPr>
      <w:r w:rsidRPr="002F5611">
        <w:rPr>
          <w:rFonts w:ascii="Times New Roman" w:hAnsi="Times New Roman" w:cs="Times New Roman"/>
        </w:rPr>
        <w:tab/>
      </w:r>
    </w:p>
    <w:p w14:paraId="1CC81B9B" w14:textId="4F450A9E" w:rsidR="00A30E9F" w:rsidRPr="00627610" w:rsidRDefault="00A30E9F" w:rsidP="00627610">
      <w:pPr>
        <w:jc w:val="both"/>
        <w:rPr>
          <w:rFonts w:ascii="Times New Roman" w:hAnsi="Times New Roman" w:cs="Times New Roman"/>
          <w:b/>
          <w:color w:val="1D176E"/>
        </w:rPr>
      </w:pPr>
      <w:r w:rsidRPr="00627610">
        <w:rPr>
          <w:rFonts w:ascii="Times New Roman" w:hAnsi="Times New Roman" w:cs="Times New Roman"/>
          <w:b/>
          <w:color w:val="1D176E"/>
        </w:rPr>
        <w:t xml:space="preserve">Air Pollution </w:t>
      </w:r>
    </w:p>
    <w:p w14:paraId="43D7D3B6" w14:textId="479ECE5D" w:rsidR="00A30E9F" w:rsidRPr="002F5611" w:rsidRDefault="00A30E9F" w:rsidP="00627610">
      <w:pPr>
        <w:jc w:val="both"/>
        <w:rPr>
          <w:rFonts w:ascii="Times New Roman" w:hAnsi="Times New Roman" w:cs="Times New Roman"/>
        </w:rPr>
      </w:pPr>
      <w:r w:rsidRPr="002F5611">
        <w:rPr>
          <w:rFonts w:ascii="Times New Roman" w:hAnsi="Times New Roman" w:cs="Times New Roman"/>
        </w:rPr>
        <w:t xml:space="preserve">A host of rich literature has shown that the combustion of coal is associated with particulate matter pollution which endangers human health. Lignite that is excavated at </w:t>
      </w:r>
      <w:proofErr w:type="spellStart"/>
      <w:r w:rsidRPr="002F5611">
        <w:rPr>
          <w:rFonts w:ascii="Times New Roman" w:hAnsi="Times New Roman" w:cs="Times New Roman"/>
        </w:rPr>
        <w:t>Hambach</w:t>
      </w:r>
      <w:proofErr w:type="spellEnd"/>
      <w:r w:rsidRPr="002F5611">
        <w:rPr>
          <w:rFonts w:ascii="Times New Roman" w:hAnsi="Times New Roman" w:cs="Times New Roman"/>
        </w:rPr>
        <w:t xml:space="preserve"> open-cast mine is combusted locally. Some epidemiological studies have already linked </w:t>
      </w:r>
      <w:proofErr w:type="spellStart"/>
      <w:r w:rsidRPr="002F5611">
        <w:rPr>
          <w:rFonts w:ascii="Times New Roman" w:hAnsi="Times New Roman" w:cs="Times New Roman"/>
        </w:rPr>
        <w:t>Hambach</w:t>
      </w:r>
      <w:proofErr w:type="spellEnd"/>
      <w:r w:rsidRPr="002F5611">
        <w:rPr>
          <w:rFonts w:ascii="Times New Roman" w:hAnsi="Times New Roman" w:cs="Times New Roman"/>
        </w:rPr>
        <w:t xml:space="preserve"> mine to premature deaths (</w:t>
      </w:r>
      <w:proofErr w:type="spellStart"/>
      <w:r w:rsidRPr="002F5611">
        <w:rPr>
          <w:rFonts w:ascii="Times New Roman" w:hAnsi="Times New Roman" w:cs="Times New Roman"/>
        </w:rPr>
        <w:t>Fearnehough</w:t>
      </w:r>
      <w:proofErr w:type="spellEnd"/>
      <w:r>
        <w:rPr>
          <w:rFonts w:ascii="Times New Roman" w:hAnsi="Times New Roman" w:cs="Times New Roman"/>
        </w:rPr>
        <w:t xml:space="preserve"> </w:t>
      </w:r>
      <w:r w:rsidRPr="00206B61">
        <w:rPr>
          <w:rFonts w:ascii="Times New Roman" w:hAnsi="Times New Roman" w:cs="Times New Roman"/>
          <w:i/>
        </w:rPr>
        <w:t>et al</w:t>
      </w:r>
      <w:r>
        <w:rPr>
          <w:rFonts w:ascii="Times New Roman" w:hAnsi="Times New Roman" w:cs="Times New Roman"/>
        </w:rPr>
        <w:t xml:space="preserve">. </w:t>
      </w:r>
      <w:r w:rsidRPr="002F5611">
        <w:rPr>
          <w:rFonts w:ascii="Times New Roman" w:hAnsi="Times New Roman" w:cs="Times New Roman"/>
        </w:rPr>
        <w:t>2018).</w:t>
      </w:r>
    </w:p>
    <w:p w14:paraId="49E1D51E" w14:textId="325F9596" w:rsidR="00A30E9F" w:rsidRPr="002F5611" w:rsidRDefault="00A30E9F" w:rsidP="00627610">
      <w:pPr>
        <w:jc w:val="both"/>
        <w:rPr>
          <w:rFonts w:ascii="Times New Roman" w:hAnsi="Times New Roman" w:cs="Times New Roman"/>
        </w:rPr>
      </w:pPr>
    </w:p>
    <w:p w14:paraId="77B9BE3B" w14:textId="75898ECA" w:rsidR="00A30E9F" w:rsidRPr="00F14C00" w:rsidRDefault="00A30E9F" w:rsidP="00627610">
      <w:pPr>
        <w:jc w:val="both"/>
        <w:rPr>
          <w:rFonts w:ascii="Times New Roman" w:hAnsi="Times New Roman" w:cs="Times New Roman"/>
        </w:rPr>
      </w:pPr>
      <w:r w:rsidRPr="002F5611">
        <w:rPr>
          <w:rFonts w:ascii="Times New Roman" w:hAnsi="Times New Roman" w:cs="Times New Roman"/>
        </w:rPr>
        <w:t xml:space="preserve">We calculate the cost of air pollution by performing the following calculation: </w:t>
      </w:r>
      <w:proofErr w:type="spellStart"/>
      <w:r w:rsidRPr="002F5611">
        <w:rPr>
          <w:rFonts w:ascii="Times New Roman" w:hAnsi="Times New Roman" w:cs="Times New Roman"/>
          <w:i/>
          <w:iCs/>
        </w:rPr>
        <w:t>val</w:t>
      </w:r>
      <w:r w:rsidRPr="002F5611">
        <w:rPr>
          <w:rFonts w:ascii="Times New Roman" w:hAnsi="Times New Roman" w:cs="Times New Roman"/>
          <w:i/>
          <w:vertAlign w:val="subscript"/>
        </w:rPr>
        <w:t>i</w:t>
      </w:r>
      <w:proofErr w:type="spellEnd"/>
      <w:r w:rsidRPr="002F5611">
        <w:rPr>
          <w:rFonts w:ascii="Times New Roman" w:hAnsi="Times New Roman" w:cs="Times New Roman"/>
          <w:i/>
          <w:vertAlign w:val="subscript"/>
        </w:rPr>
        <w:t xml:space="preserve"> </w:t>
      </w:r>
      <w:r w:rsidRPr="002F5611">
        <w:rPr>
          <w:rFonts w:ascii="Times New Roman" w:hAnsi="Times New Roman" w:cs="Times New Roman"/>
          <w:i/>
        </w:rPr>
        <w:t xml:space="preserve">* </w:t>
      </w:r>
      <w:proofErr w:type="spellStart"/>
      <w:r w:rsidRPr="002F5611">
        <w:rPr>
          <w:rFonts w:ascii="Times New Roman" w:hAnsi="Times New Roman" w:cs="Times New Roman"/>
          <w:i/>
        </w:rPr>
        <w:t>emissions</w:t>
      </w:r>
      <w:r w:rsidRPr="002F5611">
        <w:rPr>
          <w:rFonts w:ascii="Times New Roman" w:hAnsi="Times New Roman" w:cs="Times New Roman"/>
          <w:i/>
          <w:vertAlign w:val="subscript"/>
        </w:rPr>
        <w:t>s</w:t>
      </w:r>
      <w:proofErr w:type="spellEnd"/>
      <w:r w:rsidRPr="002F5611">
        <w:rPr>
          <w:rFonts w:ascii="Times New Roman" w:hAnsi="Times New Roman" w:cs="Times New Roman"/>
        </w:rPr>
        <w:t>*</w:t>
      </w:r>
      <w:proofErr w:type="spellStart"/>
      <w:r w:rsidRPr="002F5611">
        <w:rPr>
          <w:rFonts w:ascii="Times New Roman" w:hAnsi="Times New Roman" w:cs="Times New Roman"/>
          <w:i/>
          <w:iCs/>
        </w:rPr>
        <w:t>discount_factor</w:t>
      </w:r>
      <w:r w:rsidRPr="002F5611">
        <w:rPr>
          <w:rFonts w:ascii="Times New Roman" w:hAnsi="Times New Roman" w:cs="Times New Roman"/>
          <w:i/>
          <w:iCs/>
          <w:vertAlign w:val="subscript"/>
        </w:rPr>
        <w:t>t</w:t>
      </w:r>
      <w:proofErr w:type="spellEnd"/>
      <w:r w:rsidRPr="002F5611">
        <w:rPr>
          <w:rFonts w:ascii="Times New Roman" w:hAnsi="Times New Roman" w:cs="Times New Roman"/>
        </w:rPr>
        <w:t>.</w:t>
      </w:r>
      <w:r w:rsidRPr="002F5611">
        <w:rPr>
          <w:rFonts w:ascii="Times New Roman" w:hAnsi="Times New Roman" w:cs="Times New Roman"/>
          <w:i/>
        </w:rPr>
        <w:t xml:space="preserve"> </w:t>
      </w:r>
      <w:r w:rsidRPr="002F5611">
        <w:rPr>
          <w:rFonts w:ascii="Times New Roman" w:hAnsi="Times New Roman" w:cs="Times New Roman"/>
        </w:rPr>
        <w:t xml:space="preserve">Data on the cost of air pollution (PM2.5 damages) per </w:t>
      </w:r>
      <w:proofErr w:type="spellStart"/>
      <w:r w:rsidRPr="002F5611">
        <w:rPr>
          <w:rFonts w:ascii="Times New Roman" w:hAnsi="Times New Roman" w:cs="Times New Roman"/>
        </w:rPr>
        <w:t>tonne</w:t>
      </w:r>
      <w:proofErr w:type="spellEnd"/>
      <w:r w:rsidRPr="002F5611">
        <w:rPr>
          <w:rFonts w:ascii="Times New Roman" w:hAnsi="Times New Roman" w:cs="Times New Roman"/>
        </w:rPr>
        <w:t xml:space="preserve"> of </w:t>
      </w:r>
      <w:r w:rsidRPr="002F5611">
        <w:rPr>
          <w:rFonts w:ascii="Times New Roman" w:hAnsi="Times New Roman" w:cs="Times New Roman"/>
        </w:rPr>
        <w:lastRenderedPageBreak/>
        <w:t>emitted CO</w:t>
      </w:r>
      <w:r w:rsidRPr="002F5611">
        <w:rPr>
          <w:rFonts w:ascii="Times New Roman" w:hAnsi="Times New Roman" w:cs="Times New Roman"/>
          <w:vertAlign w:val="subscript"/>
        </w:rPr>
        <w:t>2</w:t>
      </w:r>
      <w:r w:rsidRPr="002F5611">
        <w:rPr>
          <w:rFonts w:ascii="Times New Roman" w:hAnsi="Times New Roman" w:cs="Times New Roman"/>
        </w:rPr>
        <w:t>-equivalent (</w:t>
      </w:r>
      <w:proofErr w:type="spellStart"/>
      <w:r w:rsidRPr="002F5611">
        <w:rPr>
          <w:rFonts w:ascii="Times New Roman" w:hAnsi="Times New Roman" w:cs="Times New Roman"/>
          <w:i/>
        </w:rPr>
        <w:t>val</w:t>
      </w:r>
      <w:r w:rsidRPr="002F5611">
        <w:rPr>
          <w:rFonts w:ascii="Times New Roman" w:hAnsi="Times New Roman" w:cs="Times New Roman"/>
          <w:i/>
          <w:vertAlign w:val="subscript"/>
        </w:rPr>
        <w:t>i</w:t>
      </w:r>
      <w:proofErr w:type="spellEnd"/>
      <w:r w:rsidRPr="002F5611">
        <w:rPr>
          <w:rFonts w:ascii="Times New Roman" w:hAnsi="Times New Roman" w:cs="Times New Roman"/>
        </w:rPr>
        <w:t xml:space="preserve">) for Germany is obtained from Hamilton </w:t>
      </w:r>
      <w:r w:rsidRPr="002F5611">
        <w:rPr>
          <w:rFonts w:ascii="Times New Roman" w:hAnsi="Times New Roman" w:cs="Times New Roman"/>
          <w:i/>
        </w:rPr>
        <w:t>et al</w:t>
      </w:r>
      <w:r w:rsidRPr="002F5611">
        <w:rPr>
          <w:rFonts w:ascii="Times New Roman" w:hAnsi="Times New Roman" w:cs="Times New Roman"/>
        </w:rPr>
        <w:t xml:space="preserve">. (2017) who do a meta-analysis of modelling studies that estimate the benefits from avoided PM2.5 damages for each </w:t>
      </w:r>
      <w:proofErr w:type="spellStart"/>
      <w:r w:rsidRPr="002F5611">
        <w:rPr>
          <w:rFonts w:ascii="Times New Roman" w:hAnsi="Times New Roman" w:cs="Times New Roman"/>
        </w:rPr>
        <w:t>tonne</w:t>
      </w:r>
      <w:proofErr w:type="spellEnd"/>
      <w:r w:rsidRPr="002F5611">
        <w:rPr>
          <w:rFonts w:ascii="Times New Roman" w:hAnsi="Times New Roman" w:cs="Times New Roman"/>
        </w:rPr>
        <w:t xml:space="preserve"> of abated CO</w:t>
      </w:r>
      <w:r w:rsidRPr="002F5611">
        <w:rPr>
          <w:rFonts w:ascii="Times New Roman" w:hAnsi="Times New Roman" w:cs="Times New Roman"/>
          <w:vertAlign w:val="subscript"/>
        </w:rPr>
        <w:t>2</w:t>
      </w:r>
      <w:r w:rsidRPr="002F5611">
        <w:rPr>
          <w:rFonts w:ascii="Times New Roman" w:hAnsi="Times New Roman" w:cs="Times New Roman"/>
        </w:rPr>
        <w:t xml:space="preserve">. </w:t>
      </w:r>
      <w:r w:rsidRPr="002F5611">
        <w:rPr>
          <w:rFonts w:ascii="Times New Roman" w:hAnsi="Times New Roman" w:cs="Times New Roman"/>
          <w:iCs/>
        </w:rPr>
        <w:t xml:space="preserve">From RWE’s website we get the annual figure for metric </w:t>
      </w:r>
      <w:proofErr w:type="spellStart"/>
      <w:r w:rsidRPr="002F5611">
        <w:rPr>
          <w:rFonts w:ascii="Times New Roman" w:hAnsi="Times New Roman" w:cs="Times New Roman"/>
          <w:iCs/>
        </w:rPr>
        <w:t>tonnes</w:t>
      </w:r>
      <w:proofErr w:type="spellEnd"/>
      <w:r w:rsidRPr="002F5611">
        <w:rPr>
          <w:rFonts w:ascii="Times New Roman" w:hAnsi="Times New Roman" w:cs="Times New Roman"/>
          <w:iCs/>
        </w:rPr>
        <w:t xml:space="preserve"> of excavated lignite and multiply this by the </w:t>
      </w:r>
      <w:r w:rsidR="00334EA7">
        <w:rPr>
          <w:rFonts w:ascii="Times New Roman" w:hAnsi="Times New Roman" w:cs="Times New Roman"/>
          <w:iCs/>
        </w:rPr>
        <w:t xml:space="preserve">Rhineland-specific </w:t>
      </w:r>
      <w:r w:rsidRPr="002F5611">
        <w:rPr>
          <w:rFonts w:ascii="Times New Roman" w:hAnsi="Times New Roman" w:cs="Times New Roman"/>
          <w:iCs/>
        </w:rPr>
        <w:t xml:space="preserve">emissions factor </w:t>
      </w:r>
      <w:r w:rsidR="00334EA7">
        <w:rPr>
          <w:rFonts w:ascii="Times New Roman" w:hAnsi="Times New Roman" w:cs="Times New Roman"/>
          <w:iCs/>
        </w:rPr>
        <w:t xml:space="preserve">for lignite </w:t>
      </w:r>
      <w:r w:rsidRPr="002F5611">
        <w:rPr>
          <w:rFonts w:ascii="Times New Roman" w:hAnsi="Times New Roman" w:cs="Times New Roman"/>
          <w:iCs/>
        </w:rPr>
        <w:t>(1.03 kgCO</w:t>
      </w:r>
      <w:r w:rsidRPr="002F5611">
        <w:rPr>
          <w:rFonts w:ascii="Times New Roman" w:hAnsi="Times New Roman" w:cs="Times New Roman"/>
          <w:iCs/>
          <w:vertAlign w:val="subscript"/>
        </w:rPr>
        <w:t>2</w:t>
      </w:r>
      <w:r w:rsidRPr="002F5611">
        <w:rPr>
          <w:rFonts w:ascii="Times New Roman" w:hAnsi="Times New Roman" w:cs="Times New Roman"/>
          <w:iCs/>
        </w:rPr>
        <w:t>/kg</w:t>
      </w:r>
      <w:r w:rsidR="00334EA7">
        <w:rPr>
          <w:rFonts w:ascii="Times New Roman" w:hAnsi="Times New Roman" w:cs="Times New Roman"/>
          <w:iCs/>
        </w:rPr>
        <w:t xml:space="preserve">, </w:t>
      </w:r>
      <w:r w:rsidR="00324ED6">
        <w:rPr>
          <w:rFonts w:ascii="Times New Roman" w:hAnsi="Times New Roman" w:cs="Times New Roman"/>
          <w:iCs/>
        </w:rPr>
        <w:t>as in</w:t>
      </w:r>
      <w:r w:rsidR="00334EA7">
        <w:rPr>
          <w:rFonts w:ascii="Times New Roman" w:hAnsi="Times New Roman" w:cs="Times New Roman"/>
          <w:iCs/>
        </w:rPr>
        <w:t xml:space="preserve"> </w:t>
      </w:r>
      <w:proofErr w:type="spellStart"/>
      <w:r w:rsidR="00334EA7">
        <w:rPr>
          <w:rFonts w:ascii="Times New Roman" w:hAnsi="Times New Roman" w:cs="Times New Roman"/>
          <w:iCs/>
        </w:rPr>
        <w:t>Juhrich</w:t>
      </w:r>
      <w:proofErr w:type="spellEnd"/>
      <w:r w:rsidR="00334EA7">
        <w:rPr>
          <w:rFonts w:ascii="Times New Roman" w:hAnsi="Times New Roman" w:cs="Times New Roman"/>
          <w:iCs/>
        </w:rPr>
        <w:t xml:space="preserve"> (2016)</w:t>
      </w:r>
      <w:r w:rsidRPr="002F5611">
        <w:rPr>
          <w:rFonts w:ascii="Times New Roman" w:hAnsi="Times New Roman" w:cs="Times New Roman"/>
          <w:iCs/>
        </w:rPr>
        <w:t>)</w:t>
      </w:r>
      <w:r w:rsidRPr="006118B6">
        <w:rPr>
          <w:rFonts w:ascii="Times New Roman" w:hAnsi="Times New Roman" w:cs="Times New Roman"/>
          <w:iCs/>
        </w:rPr>
        <w:t xml:space="preserve"> to calculate the quantity of </w:t>
      </w:r>
      <w:r w:rsidRPr="00756C5F">
        <w:rPr>
          <w:rFonts w:ascii="Times New Roman" w:hAnsi="Times New Roman" w:cs="Times New Roman"/>
        </w:rPr>
        <w:t>CO</w:t>
      </w:r>
      <w:r w:rsidRPr="00C7453A">
        <w:rPr>
          <w:rFonts w:ascii="Times New Roman" w:hAnsi="Times New Roman" w:cs="Times New Roman"/>
          <w:vertAlign w:val="subscript"/>
        </w:rPr>
        <w:t xml:space="preserve">2 </w:t>
      </w:r>
      <w:r w:rsidRPr="00C7453A">
        <w:rPr>
          <w:rFonts w:ascii="Times New Roman" w:hAnsi="Times New Roman" w:cs="Times New Roman"/>
          <w:iCs/>
        </w:rPr>
        <w:t>emissions across each scenario (</w:t>
      </w:r>
      <w:proofErr w:type="spellStart"/>
      <w:r w:rsidRPr="0007753E">
        <w:rPr>
          <w:rFonts w:ascii="Times New Roman" w:hAnsi="Times New Roman" w:cs="Times New Roman"/>
          <w:i/>
        </w:rPr>
        <w:t>emissions</w:t>
      </w:r>
      <w:r w:rsidRPr="001C5896">
        <w:rPr>
          <w:rFonts w:ascii="Times New Roman" w:hAnsi="Times New Roman" w:cs="Times New Roman"/>
          <w:i/>
          <w:vertAlign w:val="subscript"/>
        </w:rPr>
        <w:t>s</w:t>
      </w:r>
      <w:proofErr w:type="spellEnd"/>
      <w:r w:rsidRPr="00B504EF">
        <w:rPr>
          <w:rFonts w:ascii="Times New Roman" w:hAnsi="Times New Roman" w:cs="Times New Roman"/>
          <w:iCs/>
        </w:rPr>
        <w:t xml:space="preserve">). We assume that the amount of lignite excavated in any given year is also combusted that year. Finally, the net present value of air pollution is calculated by </w:t>
      </w:r>
      <w:r w:rsidRPr="00111EEE">
        <w:rPr>
          <w:rFonts w:ascii="Times New Roman" w:hAnsi="Times New Roman" w:cs="Times New Roman"/>
        </w:rPr>
        <w:t>summing up all of the annual values for each scenario</w:t>
      </w:r>
      <w:r w:rsidRPr="00111EEE">
        <w:rPr>
          <w:rFonts w:ascii="Times New Roman" w:hAnsi="Times New Roman" w:cs="Times New Roman"/>
          <w:iCs/>
        </w:rPr>
        <w:t xml:space="preserve"> over the</w:t>
      </w:r>
      <w:r w:rsidRPr="00AD41E5">
        <w:rPr>
          <w:rFonts w:ascii="Times New Roman" w:hAnsi="Times New Roman" w:cs="Times New Roman"/>
          <w:i/>
        </w:rPr>
        <w:t xml:space="preserve"> </w:t>
      </w:r>
      <w:r w:rsidRPr="00F14C00">
        <w:rPr>
          <w:rFonts w:ascii="Times New Roman" w:hAnsi="Times New Roman" w:cs="Times New Roman"/>
        </w:rPr>
        <w:t xml:space="preserve">34 years. </w:t>
      </w:r>
    </w:p>
    <w:p w14:paraId="2BC3D193" w14:textId="5D743B85" w:rsidR="00A30E9F" w:rsidRPr="00FC7863" w:rsidRDefault="00A30E9F" w:rsidP="00627610">
      <w:pPr>
        <w:jc w:val="both"/>
        <w:rPr>
          <w:rFonts w:ascii="Times New Roman" w:hAnsi="Times New Roman" w:cs="Times New Roman"/>
        </w:rPr>
      </w:pPr>
    </w:p>
    <w:p w14:paraId="124BBCDC" w14:textId="2D2C012D" w:rsidR="00A30E9F" w:rsidRPr="002F5611" w:rsidRDefault="00A30E9F" w:rsidP="00627610">
      <w:pPr>
        <w:jc w:val="both"/>
        <w:rPr>
          <w:rFonts w:ascii="Times New Roman" w:hAnsi="Times New Roman" w:cs="Times New Roman"/>
          <w:b/>
        </w:rPr>
      </w:pPr>
      <w:r w:rsidRPr="00100FCE">
        <w:rPr>
          <w:rFonts w:ascii="Times New Roman" w:hAnsi="Times New Roman" w:cs="Times New Roman"/>
        </w:rPr>
        <w:t xml:space="preserve">It is important to note that this calculation specifically looks at the </w:t>
      </w:r>
      <w:r w:rsidRPr="00331DBA">
        <w:rPr>
          <w:rFonts w:ascii="Times New Roman" w:hAnsi="Times New Roman" w:cs="Times New Roman"/>
          <w:i/>
        </w:rPr>
        <w:t>particulate matter</w:t>
      </w:r>
      <w:r w:rsidRPr="00091B69">
        <w:rPr>
          <w:rFonts w:ascii="Times New Roman" w:hAnsi="Times New Roman" w:cs="Times New Roman"/>
        </w:rPr>
        <w:t xml:space="preserve"> damage from coal combustion and is separate from the social cost of carbon which looks at </w:t>
      </w:r>
      <w:r w:rsidRPr="00625CB6">
        <w:rPr>
          <w:rFonts w:ascii="Times New Roman" w:hAnsi="Times New Roman" w:cs="Times New Roman"/>
        </w:rPr>
        <w:t xml:space="preserve">the economic damages from </w:t>
      </w:r>
      <w:r w:rsidRPr="001979D3">
        <w:rPr>
          <w:rFonts w:ascii="Times New Roman" w:hAnsi="Times New Roman" w:cs="Times New Roman"/>
          <w:i/>
        </w:rPr>
        <w:t>increased CO</w:t>
      </w:r>
      <w:r w:rsidRPr="002F5611">
        <w:rPr>
          <w:rFonts w:ascii="Times New Roman" w:hAnsi="Times New Roman" w:cs="Times New Roman"/>
          <w:i/>
          <w:vertAlign w:val="subscript"/>
        </w:rPr>
        <w:t xml:space="preserve">2 </w:t>
      </w:r>
      <w:r w:rsidRPr="002F5611">
        <w:rPr>
          <w:rFonts w:ascii="Times New Roman" w:hAnsi="Times New Roman" w:cs="Times New Roman"/>
          <w:i/>
        </w:rPr>
        <w:t>concentrations</w:t>
      </w:r>
      <w:r w:rsidRPr="002F5611">
        <w:rPr>
          <w:rFonts w:ascii="Times New Roman" w:hAnsi="Times New Roman" w:cs="Times New Roman"/>
        </w:rPr>
        <w:t xml:space="preserve"> due to coal combustion.</w:t>
      </w:r>
    </w:p>
    <w:p w14:paraId="7E991032" w14:textId="0AF55C2B" w:rsidR="00A30E9F" w:rsidRPr="002F5611" w:rsidRDefault="00A30E9F" w:rsidP="00627610">
      <w:pPr>
        <w:jc w:val="both"/>
        <w:rPr>
          <w:rFonts w:ascii="Times New Roman" w:hAnsi="Times New Roman" w:cs="Times New Roman"/>
          <w:b/>
        </w:rPr>
      </w:pPr>
      <w:r w:rsidRPr="002F5611">
        <w:rPr>
          <w:rFonts w:ascii="Times New Roman" w:hAnsi="Times New Roman" w:cs="Times New Roman"/>
          <w:b/>
        </w:rPr>
        <w:tab/>
      </w:r>
    </w:p>
    <w:p w14:paraId="510F4AEB" w14:textId="7E147314" w:rsidR="00A30E9F" w:rsidRPr="00627610" w:rsidRDefault="00A30E9F" w:rsidP="00627610">
      <w:pPr>
        <w:jc w:val="both"/>
        <w:rPr>
          <w:rFonts w:ascii="Times New Roman" w:hAnsi="Times New Roman" w:cs="Times New Roman"/>
          <w:b/>
          <w:color w:val="1D176E"/>
        </w:rPr>
      </w:pPr>
      <w:r w:rsidRPr="00627610">
        <w:rPr>
          <w:rFonts w:ascii="Times New Roman" w:hAnsi="Times New Roman" w:cs="Times New Roman"/>
          <w:b/>
          <w:color w:val="1D176E"/>
        </w:rPr>
        <w:t>Social Cost of Carbon</w:t>
      </w:r>
    </w:p>
    <w:p w14:paraId="52BA03D8" w14:textId="05DD8BE1" w:rsidR="00A30E9F" w:rsidRPr="002F5611" w:rsidRDefault="00A30E9F" w:rsidP="00627610">
      <w:pPr>
        <w:jc w:val="both"/>
        <w:rPr>
          <w:rFonts w:ascii="Times New Roman" w:hAnsi="Times New Roman" w:cs="Times New Roman"/>
        </w:rPr>
      </w:pPr>
      <w:r w:rsidRPr="002F5611">
        <w:rPr>
          <w:rFonts w:ascii="Times New Roman" w:hAnsi="Times New Roman" w:cs="Times New Roman"/>
        </w:rPr>
        <w:t xml:space="preserve">We calculate the social cost of carbon (SCC) by performing the following calculation: </w:t>
      </w:r>
      <w:r w:rsidRPr="002F5611">
        <w:rPr>
          <w:rFonts w:ascii="Times New Roman" w:hAnsi="Times New Roman" w:cs="Times New Roman"/>
          <w:i/>
          <w:iCs/>
        </w:rPr>
        <w:t xml:space="preserve">social cost per </w:t>
      </w:r>
      <w:proofErr w:type="spellStart"/>
      <w:r w:rsidRPr="002F5611">
        <w:rPr>
          <w:rFonts w:ascii="Times New Roman" w:hAnsi="Times New Roman" w:cs="Times New Roman"/>
          <w:i/>
          <w:iCs/>
        </w:rPr>
        <w:t>tonne</w:t>
      </w:r>
      <w:proofErr w:type="spellEnd"/>
      <w:r w:rsidRPr="002F5611">
        <w:rPr>
          <w:rFonts w:ascii="Times New Roman" w:hAnsi="Times New Roman" w:cs="Times New Roman"/>
          <w:i/>
          <w:iCs/>
        </w:rPr>
        <w:t xml:space="preserve"> CO</w:t>
      </w:r>
      <w:r w:rsidRPr="002F5611">
        <w:rPr>
          <w:rFonts w:ascii="Times New Roman" w:hAnsi="Times New Roman" w:cs="Times New Roman"/>
          <w:i/>
          <w:iCs/>
          <w:vertAlign w:val="subscript"/>
        </w:rPr>
        <w:t>2</w:t>
      </w:r>
      <w:r w:rsidRPr="002F5611">
        <w:rPr>
          <w:rFonts w:ascii="Times New Roman" w:hAnsi="Times New Roman" w:cs="Times New Roman"/>
          <w:i/>
          <w:vertAlign w:val="subscript"/>
        </w:rPr>
        <w:t xml:space="preserve"> </w:t>
      </w:r>
      <w:r w:rsidRPr="002F5611">
        <w:rPr>
          <w:rFonts w:ascii="Times New Roman" w:hAnsi="Times New Roman" w:cs="Times New Roman"/>
          <w:i/>
        </w:rPr>
        <w:t xml:space="preserve">* </w:t>
      </w:r>
      <w:proofErr w:type="spellStart"/>
      <w:r w:rsidRPr="002F5611">
        <w:rPr>
          <w:rFonts w:ascii="Times New Roman" w:hAnsi="Times New Roman" w:cs="Times New Roman"/>
          <w:i/>
        </w:rPr>
        <w:t>emissions</w:t>
      </w:r>
      <w:r w:rsidRPr="002F5611">
        <w:rPr>
          <w:rFonts w:ascii="Times New Roman" w:hAnsi="Times New Roman" w:cs="Times New Roman"/>
          <w:i/>
          <w:vertAlign w:val="subscript"/>
        </w:rPr>
        <w:t>s</w:t>
      </w:r>
      <w:proofErr w:type="spellEnd"/>
      <w:r w:rsidRPr="002F5611">
        <w:rPr>
          <w:rFonts w:ascii="Times New Roman" w:hAnsi="Times New Roman" w:cs="Times New Roman"/>
        </w:rPr>
        <w:t>*</w:t>
      </w:r>
      <w:proofErr w:type="spellStart"/>
      <w:r w:rsidRPr="002F5611">
        <w:rPr>
          <w:rFonts w:ascii="Times New Roman" w:hAnsi="Times New Roman" w:cs="Times New Roman"/>
          <w:i/>
          <w:iCs/>
        </w:rPr>
        <w:t>discount_factor</w:t>
      </w:r>
      <w:r w:rsidRPr="002F5611">
        <w:rPr>
          <w:rFonts w:ascii="Times New Roman" w:hAnsi="Times New Roman" w:cs="Times New Roman"/>
          <w:i/>
          <w:iCs/>
          <w:vertAlign w:val="subscript"/>
        </w:rPr>
        <w:t>t</w:t>
      </w:r>
      <w:proofErr w:type="spellEnd"/>
      <w:r w:rsidRPr="002F5611">
        <w:rPr>
          <w:rFonts w:ascii="Times New Roman" w:hAnsi="Times New Roman" w:cs="Times New Roman"/>
          <w:i/>
        </w:rPr>
        <w:t xml:space="preserve"> </w:t>
      </w:r>
      <w:r w:rsidRPr="002F5611">
        <w:rPr>
          <w:rFonts w:ascii="Times New Roman" w:hAnsi="Times New Roman" w:cs="Times New Roman"/>
        </w:rPr>
        <w:t>(</w:t>
      </w:r>
      <w:r w:rsidRPr="002F5611">
        <w:rPr>
          <w:rFonts w:ascii="Times New Roman" w:hAnsi="Times New Roman" w:cs="Times New Roman"/>
          <w:bCs/>
        </w:rPr>
        <w:t>€</w:t>
      </w:r>
      <w:r w:rsidRPr="002F5611">
        <w:rPr>
          <w:rFonts w:ascii="Times New Roman" w:hAnsi="Times New Roman" w:cs="Times New Roman"/>
        </w:rPr>
        <w:t>).</w:t>
      </w:r>
      <w:r w:rsidRPr="002F5611">
        <w:rPr>
          <w:rFonts w:ascii="Times New Roman" w:hAnsi="Times New Roman" w:cs="Times New Roman"/>
          <w:i/>
        </w:rPr>
        <w:t xml:space="preserve"> </w:t>
      </w:r>
      <w:r w:rsidRPr="002F5611">
        <w:rPr>
          <w:rFonts w:ascii="Times New Roman" w:hAnsi="Times New Roman" w:cs="Times New Roman"/>
        </w:rPr>
        <w:t xml:space="preserve">The SCC used is </w:t>
      </w:r>
      <w:r w:rsidRPr="002F5611">
        <w:rPr>
          <w:rFonts w:ascii="Times New Roman" w:hAnsi="Times New Roman" w:cs="Times New Roman"/>
          <w:bCs/>
          <w:iCs/>
          <w:lang w:val="en-GB"/>
        </w:rPr>
        <w:t>€</w:t>
      </w:r>
      <w:r w:rsidRPr="002F5611">
        <w:rPr>
          <w:rFonts w:ascii="Times New Roman" w:hAnsi="Times New Roman" w:cs="Times New Roman"/>
          <w:iCs/>
          <w:lang w:val="en-GB"/>
        </w:rPr>
        <w:t>30/tCO</w:t>
      </w:r>
      <w:r w:rsidRPr="00324ED6">
        <w:rPr>
          <w:rFonts w:ascii="Times New Roman" w:hAnsi="Times New Roman" w:cs="Times New Roman"/>
          <w:iCs/>
          <w:vertAlign w:val="subscript"/>
          <w:lang w:val="en-GB"/>
        </w:rPr>
        <w:t>2</w:t>
      </w:r>
      <w:r w:rsidRPr="002F5611">
        <w:rPr>
          <w:rFonts w:ascii="Times New Roman" w:hAnsi="Times New Roman" w:cs="Times New Roman"/>
          <w:iCs/>
          <w:lang w:val="en-GB"/>
        </w:rPr>
        <w:t xml:space="preserve">, although </w:t>
      </w:r>
      <w:proofErr w:type="spellStart"/>
      <w:r w:rsidRPr="002F5611">
        <w:rPr>
          <w:rFonts w:ascii="Times New Roman" w:hAnsi="Times New Roman" w:cs="Times New Roman"/>
          <w:iCs/>
          <w:lang w:val="en-GB"/>
        </w:rPr>
        <w:t>Pindyck</w:t>
      </w:r>
      <w:proofErr w:type="spellEnd"/>
      <w:r w:rsidRPr="002F5611">
        <w:rPr>
          <w:rFonts w:ascii="Times New Roman" w:hAnsi="Times New Roman" w:cs="Times New Roman"/>
          <w:iCs/>
          <w:lang w:val="en-GB"/>
        </w:rPr>
        <w:t xml:space="preserve"> (2019) presents a comprehensive expert elicitation and shows it can be as high as </w:t>
      </w:r>
      <w:r w:rsidRPr="002F5611">
        <w:rPr>
          <w:rFonts w:ascii="Times New Roman" w:hAnsi="Times New Roman" w:cs="Times New Roman"/>
          <w:bCs/>
          <w:iCs/>
          <w:lang w:val="en-GB"/>
        </w:rPr>
        <w:t>€</w:t>
      </w:r>
      <w:r w:rsidRPr="002F5611">
        <w:rPr>
          <w:rFonts w:ascii="Times New Roman" w:hAnsi="Times New Roman" w:cs="Times New Roman"/>
          <w:iCs/>
          <w:lang w:val="en-GB"/>
        </w:rPr>
        <w:t>70-270/tCO</w:t>
      </w:r>
      <w:r w:rsidRPr="002F5611">
        <w:rPr>
          <w:rFonts w:ascii="Times New Roman" w:hAnsi="Times New Roman" w:cs="Times New Roman"/>
          <w:iCs/>
          <w:vertAlign w:val="subscript"/>
          <w:lang w:val="en-GB"/>
        </w:rPr>
        <w:t>2</w:t>
      </w:r>
      <w:r w:rsidRPr="002F5611">
        <w:rPr>
          <w:rFonts w:ascii="Times New Roman" w:hAnsi="Times New Roman" w:cs="Times New Roman"/>
          <w:iCs/>
          <w:lang w:val="en-GB"/>
        </w:rPr>
        <w:t xml:space="preserve">e. This implies our estimate is conservative. </w:t>
      </w:r>
      <w:r w:rsidRPr="002F5611">
        <w:rPr>
          <w:rFonts w:ascii="Times New Roman" w:hAnsi="Times New Roman" w:cs="Times New Roman"/>
          <w:iCs/>
        </w:rPr>
        <w:t xml:space="preserve">The net present value is calculated by </w:t>
      </w:r>
      <w:r w:rsidRPr="002F5611">
        <w:rPr>
          <w:rFonts w:ascii="Times New Roman" w:hAnsi="Times New Roman" w:cs="Times New Roman"/>
        </w:rPr>
        <w:t>summing up all of the annual values for each scenario</w:t>
      </w:r>
      <w:r w:rsidRPr="002F5611">
        <w:rPr>
          <w:rFonts w:ascii="Times New Roman" w:hAnsi="Times New Roman" w:cs="Times New Roman"/>
          <w:iCs/>
        </w:rPr>
        <w:t xml:space="preserve"> for the</w:t>
      </w:r>
      <w:r w:rsidRPr="002F5611">
        <w:rPr>
          <w:rFonts w:ascii="Times New Roman" w:hAnsi="Times New Roman" w:cs="Times New Roman"/>
          <w:i/>
        </w:rPr>
        <w:t xml:space="preserve"> </w:t>
      </w:r>
      <w:r w:rsidRPr="002F5611">
        <w:rPr>
          <w:rFonts w:ascii="Times New Roman" w:hAnsi="Times New Roman" w:cs="Times New Roman"/>
        </w:rPr>
        <w:t xml:space="preserve">34-years. </w:t>
      </w:r>
    </w:p>
    <w:p w14:paraId="45325394" w14:textId="1F4BE32C" w:rsidR="00A30E9F" w:rsidRPr="002F5611" w:rsidRDefault="00A30E9F" w:rsidP="00627610">
      <w:pPr>
        <w:jc w:val="both"/>
        <w:rPr>
          <w:rFonts w:ascii="Times New Roman" w:hAnsi="Times New Roman" w:cs="Times New Roman"/>
        </w:rPr>
      </w:pPr>
    </w:p>
    <w:p w14:paraId="36BD3400" w14:textId="397E0919" w:rsidR="00A30E9F" w:rsidRPr="00627610" w:rsidRDefault="00A30E9F" w:rsidP="00627610">
      <w:pPr>
        <w:jc w:val="both"/>
        <w:rPr>
          <w:rFonts w:ascii="Times New Roman" w:hAnsi="Times New Roman" w:cs="Times New Roman"/>
          <w:color w:val="1D176E"/>
        </w:rPr>
      </w:pPr>
      <w:r w:rsidRPr="00627610">
        <w:rPr>
          <w:rFonts w:ascii="Times New Roman" w:hAnsi="Times New Roman" w:cs="Times New Roman"/>
          <w:b/>
          <w:color w:val="1D176E"/>
        </w:rPr>
        <w:t>Market Value of Lignite</w:t>
      </w:r>
    </w:p>
    <w:p w14:paraId="1380B8AC" w14:textId="1D062B08" w:rsidR="00A30E9F" w:rsidRPr="002F5611" w:rsidRDefault="00A30E9F" w:rsidP="00627610">
      <w:pPr>
        <w:jc w:val="both"/>
        <w:rPr>
          <w:rFonts w:ascii="Times New Roman" w:hAnsi="Times New Roman" w:cs="Times New Roman"/>
        </w:rPr>
      </w:pPr>
      <w:r w:rsidRPr="002F5611">
        <w:rPr>
          <w:rFonts w:ascii="Times New Roman" w:hAnsi="Times New Roman" w:cs="Times New Roman"/>
        </w:rPr>
        <w:t xml:space="preserve">We calculate the revenue from lignite sales by performing the following calculation: </w:t>
      </w:r>
      <w:r w:rsidRPr="002F5611">
        <w:rPr>
          <w:rFonts w:ascii="Times New Roman" w:hAnsi="Times New Roman" w:cs="Times New Roman"/>
          <w:i/>
          <w:iCs/>
        </w:rPr>
        <w:t>price</w:t>
      </w:r>
      <w:r w:rsidRPr="002F5611">
        <w:rPr>
          <w:rFonts w:ascii="Times New Roman" w:hAnsi="Times New Roman" w:cs="Times New Roman"/>
          <w:i/>
          <w:vertAlign w:val="subscript"/>
        </w:rPr>
        <w:t xml:space="preserve"> </w:t>
      </w:r>
      <w:r w:rsidRPr="002F5611">
        <w:rPr>
          <w:rFonts w:ascii="Times New Roman" w:hAnsi="Times New Roman" w:cs="Times New Roman"/>
          <w:i/>
        </w:rPr>
        <w:t xml:space="preserve">* </w:t>
      </w:r>
      <w:proofErr w:type="spellStart"/>
      <w:r w:rsidRPr="002F5611">
        <w:rPr>
          <w:rFonts w:ascii="Times New Roman" w:hAnsi="Times New Roman" w:cs="Times New Roman"/>
          <w:i/>
        </w:rPr>
        <w:t>lignite</w:t>
      </w:r>
      <w:r w:rsidRPr="002F5611">
        <w:rPr>
          <w:rFonts w:ascii="Times New Roman" w:hAnsi="Times New Roman" w:cs="Times New Roman"/>
          <w:i/>
          <w:vertAlign w:val="subscript"/>
        </w:rPr>
        <w:t>s</w:t>
      </w:r>
      <w:proofErr w:type="spellEnd"/>
      <w:r w:rsidRPr="002F5611">
        <w:rPr>
          <w:rFonts w:ascii="Times New Roman" w:hAnsi="Times New Roman" w:cs="Times New Roman"/>
        </w:rPr>
        <w:t>*</w:t>
      </w:r>
      <w:proofErr w:type="spellStart"/>
      <w:r w:rsidRPr="002F5611">
        <w:rPr>
          <w:rFonts w:ascii="Times New Roman" w:hAnsi="Times New Roman" w:cs="Times New Roman"/>
          <w:i/>
          <w:iCs/>
        </w:rPr>
        <w:t>discount_factor</w:t>
      </w:r>
      <w:r w:rsidRPr="002F5611">
        <w:rPr>
          <w:rFonts w:ascii="Times New Roman" w:hAnsi="Times New Roman" w:cs="Times New Roman"/>
          <w:i/>
          <w:iCs/>
          <w:vertAlign w:val="subscript"/>
        </w:rPr>
        <w:t>t</w:t>
      </w:r>
      <w:proofErr w:type="spellEnd"/>
      <w:r w:rsidRPr="002F5611">
        <w:rPr>
          <w:rFonts w:ascii="Times New Roman" w:hAnsi="Times New Roman" w:cs="Times New Roman"/>
          <w:i/>
        </w:rPr>
        <w:t xml:space="preserve"> </w:t>
      </w:r>
      <w:r w:rsidRPr="002F5611">
        <w:rPr>
          <w:rFonts w:ascii="Times New Roman" w:hAnsi="Times New Roman" w:cs="Times New Roman"/>
        </w:rPr>
        <w:t>(</w:t>
      </w:r>
      <w:r w:rsidRPr="002F5611">
        <w:rPr>
          <w:rFonts w:ascii="Times New Roman" w:hAnsi="Times New Roman" w:cs="Times New Roman"/>
          <w:bCs/>
        </w:rPr>
        <w:t>€</w:t>
      </w:r>
      <w:r w:rsidRPr="002F5611">
        <w:rPr>
          <w:rFonts w:ascii="Times New Roman" w:hAnsi="Times New Roman" w:cs="Times New Roman"/>
        </w:rPr>
        <w:t>).</w:t>
      </w:r>
      <w:r w:rsidRPr="002F5611">
        <w:rPr>
          <w:rFonts w:ascii="Times New Roman" w:hAnsi="Times New Roman" w:cs="Times New Roman"/>
          <w:i/>
        </w:rPr>
        <w:t xml:space="preserve"> </w:t>
      </w:r>
      <w:r w:rsidRPr="002F5611">
        <w:rPr>
          <w:rFonts w:ascii="Times New Roman" w:hAnsi="Times New Roman" w:cs="Times New Roman"/>
          <w:iCs/>
          <w:lang w:val="en-GB"/>
        </w:rPr>
        <w:t xml:space="preserve">Data on the latest price of lignite: </w:t>
      </w:r>
      <w:r w:rsidRPr="002F5611">
        <w:rPr>
          <w:rFonts w:ascii="Times New Roman" w:hAnsi="Times New Roman" w:cs="Times New Roman"/>
          <w:i/>
          <w:iCs/>
          <w:lang w:val="en-GB"/>
        </w:rPr>
        <w:t xml:space="preserve">price </w:t>
      </w:r>
      <w:r w:rsidRPr="002F5611">
        <w:rPr>
          <w:rFonts w:ascii="Times New Roman" w:hAnsi="Times New Roman" w:cs="Times New Roman"/>
          <w:iCs/>
          <w:lang w:val="en-GB"/>
        </w:rPr>
        <w:t>(</w:t>
      </w:r>
      <w:r w:rsidRPr="002F5611">
        <w:rPr>
          <w:rFonts w:ascii="Times New Roman" w:hAnsi="Times New Roman" w:cs="Times New Roman"/>
          <w:bCs/>
          <w:iCs/>
          <w:lang w:val="en-GB"/>
        </w:rPr>
        <w:t>€</w:t>
      </w:r>
      <w:r w:rsidRPr="002F5611">
        <w:rPr>
          <w:rFonts w:ascii="Times New Roman" w:hAnsi="Times New Roman" w:cs="Times New Roman"/>
          <w:iCs/>
          <w:lang w:val="en-GB"/>
        </w:rPr>
        <w:t xml:space="preserve">/tonne) is obtained from </w:t>
      </w:r>
      <w:proofErr w:type="spellStart"/>
      <w:r w:rsidRPr="002F5611">
        <w:rPr>
          <w:rFonts w:ascii="Times New Roman" w:hAnsi="Times New Roman" w:cs="Times New Roman"/>
        </w:rPr>
        <w:t>Wronski</w:t>
      </w:r>
      <w:proofErr w:type="spellEnd"/>
      <w:r w:rsidRPr="002F5611">
        <w:rPr>
          <w:rFonts w:ascii="Times New Roman" w:hAnsi="Times New Roman" w:cs="Times New Roman"/>
        </w:rPr>
        <w:t xml:space="preserve"> and Fleet (</w:t>
      </w:r>
      <w:r w:rsidRPr="002F5611">
        <w:rPr>
          <w:rFonts w:ascii="Times New Roman" w:hAnsi="Times New Roman" w:cs="Times New Roman"/>
          <w:bCs/>
        </w:rPr>
        <w:t xml:space="preserve">2018). </w:t>
      </w:r>
      <w:r w:rsidRPr="002F5611">
        <w:rPr>
          <w:rFonts w:ascii="Times New Roman" w:hAnsi="Times New Roman" w:cs="Times New Roman"/>
        </w:rPr>
        <w:t xml:space="preserve">The market price of lignite is assumed to be constant over all periods. </w:t>
      </w:r>
      <w:r w:rsidRPr="002F5611">
        <w:rPr>
          <w:rFonts w:ascii="Times New Roman" w:hAnsi="Times New Roman" w:cs="Times New Roman"/>
          <w:iCs/>
        </w:rPr>
        <w:t xml:space="preserve">From RWE, we obtained the annual figure for metric </w:t>
      </w:r>
      <w:proofErr w:type="spellStart"/>
      <w:r w:rsidRPr="002F5611">
        <w:rPr>
          <w:rFonts w:ascii="Times New Roman" w:hAnsi="Times New Roman" w:cs="Times New Roman"/>
          <w:iCs/>
        </w:rPr>
        <w:t>tonnes</w:t>
      </w:r>
      <w:proofErr w:type="spellEnd"/>
      <w:r w:rsidRPr="002F5611">
        <w:rPr>
          <w:rFonts w:ascii="Times New Roman" w:hAnsi="Times New Roman" w:cs="Times New Roman"/>
          <w:iCs/>
        </w:rPr>
        <w:t xml:space="preserve"> of excavated lignite (</w:t>
      </w:r>
      <w:proofErr w:type="spellStart"/>
      <w:r w:rsidRPr="002F5611">
        <w:rPr>
          <w:rFonts w:ascii="Times New Roman" w:hAnsi="Times New Roman" w:cs="Times New Roman"/>
          <w:i/>
        </w:rPr>
        <w:t>lignite</w:t>
      </w:r>
      <w:r w:rsidRPr="002F5611">
        <w:rPr>
          <w:rFonts w:ascii="Times New Roman" w:hAnsi="Times New Roman" w:cs="Times New Roman"/>
          <w:i/>
          <w:vertAlign w:val="subscript"/>
        </w:rPr>
        <w:t>s</w:t>
      </w:r>
      <w:proofErr w:type="spellEnd"/>
      <w:r w:rsidRPr="002F5611">
        <w:rPr>
          <w:rFonts w:ascii="Times New Roman" w:hAnsi="Times New Roman" w:cs="Times New Roman"/>
        </w:rPr>
        <w:t>)</w:t>
      </w:r>
      <w:r w:rsidRPr="002F5611">
        <w:rPr>
          <w:rFonts w:ascii="Times New Roman" w:hAnsi="Times New Roman" w:cs="Times New Roman"/>
          <w:iCs/>
        </w:rPr>
        <w:t xml:space="preserve">. The net present value is calculated by </w:t>
      </w:r>
      <w:r w:rsidRPr="002F5611">
        <w:rPr>
          <w:rFonts w:ascii="Times New Roman" w:hAnsi="Times New Roman" w:cs="Times New Roman"/>
        </w:rPr>
        <w:t>summing up all of the annual values for each scenario</w:t>
      </w:r>
      <w:r w:rsidRPr="002F5611">
        <w:rPr>
          <w:rFonts w:ascii="Times New Roman" w:hAnsi="Times New Roman" w:cs="Times New Roman"/>
          <w:iCs/>
        </w:rPr>
        <w:t xml:space="preserve"> for the</w:t>
      </w:r>
      <w:r w:rsidRPr="002F5611">
        <w:rPr>
          <w:rFonts w:ascii="Times New Roman" w:hAnsi="Times New Roman" w:cs="Times New Roman"/>
          <w:i/>
        </w:rPr>
        <w:t xml:space="preserve"> </w:t>
      </w:r>
      <w:r w:rsidRPr="002F5611">
        <w:rPr>
          <w:rFonts w:ascii="Times New Roman" w:hAnsi="Times New Roman" w:cs="Times New Roman"/>
        </w:rPr>
        <w:t xml:space="preserve">34-years. Since this calculation ignores excavation and other costs, it is most likely an upper bound. Furthermore, as parts of RWE’s lignite operations close, as is expected under the coal phase-out plan, then the fixed costs are spread over less production implying that lignite is likely to become even less economical. </w:t>
      </w:r>
    </w:p>
    <w:p w14:paraId="4C395BB3" w14:textId="10AD8AA1" w:rsidR="00A30E9F" w:rsidRPr="002F5611" w:rsidRDefault="00A30E9F" w:rsidP="00627610">
      <w:pPr>
        <w:jc w:val="both"/>
        <w:rPr>
          <w:rFonts w:ascii="Times New Roman" w:hAnsi="Times New Roman" w:cs="Times New Roman"/>
          <w:sz w:val="20"/>
          <w:szCs w:val="20"/>
        </w:rPr>
      </w:pPr>
    </w:p>
    <w:p w14:paraId="4F7FCB3A" w14:textId="580789E8" w:rsidR="00A30E9F" w:rsidRPr="00627610" w:rsidRDefault="00A30E9F" w:rsidP="00627610">
      <w:pPr>
        <w:jc w:val="both"/>
        <w:rPr>
          <w:rFonts w:ascii="Times New Roman" w:hAnsi="Times New Roman" w:cs="Times New Roman"/>
          <w:b/>
          <w:color w:val="1D176E"/>
        </w:rPr>
      </w:pPr>
      <w:r w:rsidRPr="00627610">
        <w:rPr>
          <w:rFonts w:ascii="Times New Roman" w:hAnsi="Times New Roman" w:cs="Times New Roman"/>
          <w:b/>
          <w:color w:val="1D176E"/>
        </w:rPr>
        <w:t>Increased Electricity Cost</w:t>
      </w:r>
    </w:p>
    <w:p w14:paraId="74A44ACE" w14:textId="30117737" w:rsidR="00A30E9F" w:rsidRPr="00091B69" w:rsidRDefault="00A30E9F" w:rsidP="00627610">
      <w:pPr>
        <w:jc w:val="both"/>
        <w:rPr>
          <w:rFonts w:ascii="Times New Roman" w:hAnsi="Times New Roman" w:cs="Times New Roman"/>
        </w:rPr>
      </w:pPr>
      <w:r w:rsidRPr="002F5611">
        <w:rPr>
          <w:rFonts w:ascii="Times New Roman" w:hAnsi="Times New Roman" w:cs="Times New Roman"/>
        </w:rPr>
        <w:t xml:space="preserve">We calculate the amount of electricity that is produced from the lignite excavated at </w:t>
      </w:r>
      <w:proofErr w:type="spellStart"/>
      <w:r w:rsidRPr="002F5611">
        <w:rPr>
          <w:rFonts w:ascii="Times New Roman" w:hAnsi="Times New Roman" w:cs="Times New Roman"/>
        </w:rPr>
        <w:t>Hambach</w:t>
      </w:r>
      <w:proofErr w:type="spellEnd"/>
      <w:r w:rsidRPr="002F5611">
        <w:rPr>
          <w:rFonts w:ascii="Times New Roman" w:hAnsi="Times New Roman" w:cs="Times New Roman"/>
        </w:rPr>
        <w:t xml:space="preserve">. To do this we multiply the </w:t>
      </w:r>
      <w:r w:rsidR="00324ED6">
        <w:rPr>
          <w:rFonts w:ascii="Times New Roman" w:hAnsi="Times New Roman" w:cs="Times New Roman"/>
        </w:rPr>
        <w:t xml:space="preserve">average </w:t>
      </w:r>
      <w:r w:rsidRPr="002F5611">
        <w:rPr>
          <w:rFonts w:ascii="Times New Roman" w:hAnsi="Times New Roman" w:cs="Times New Roman"/>
        </w:rPr>
        <w:t>energy density of lignit</w:t>
      </w:r>
      <w:r w:rsidR="00324ED6">
        <w:rPr>
          <w:rFonts w:ascii="Times New Roman" w:hAnsi="Times New Roman" w:cs="Times New Roman"/>
        </w:rPr>
        <w:t xml:space="preserve">e </w:t>
      </w:r>
      <w:r w:rsidRPr="006118B6">
        <w:rPr>
          <w:rFonts w:ascii="Times New Roman" w:hAnsi="Times New Roman" w:cs="Times New Roman"/>
        </w:rPr>
        <w:t>with the tonnage of excavated lignite scaled by the efficiency of German power</w:t>
      </w:r>
      <w:r>
        <w:rPr>
          <w:rFonts w:ascii="Times New Roman" w:hAnsi="Times New Roman" w:cs="Times New Roman"/>
        </w:rPr>
        <w:t xml:space="preserve"> </w:t>
      </w:r>
      <w:r w:rsidRPr="006118B6">
        <w:rPr>
          <w:rFonts w:ascii="Times New Roman" w:hAnsi="Times New Roman" w:cs="Times New Roman"/>
        </w:rPr>
        <w:t>plants</w:t>
      </w:r>
      <w:r w:rsidR="00324ED6">
        <w:rPr>
          <w:rFonts w:ascii="Times New Roman" w:hAnsi="Times New Roman" w:cs="Times New Roman"/>
        </w:rPr>
        <w:t>, the latter</w:t>
      </w:r>
      <w:r w:rsidR="00334EA7">
        <w:rPr>
          <w:rFonts w:ascii="Times New Roman" w:hAnsi="Times New Roman" w:cs="Times New Roman"/>
        </w:rPr>
        <w:t xml:space="preserve"> based on </w:t>
      </w:r>
      <w:r w:rsidR="00324ED6">
        <w:rPr>
          <w:rFonts w:ascii="Times New Roman" w:hAnsi="Times New Roman" w:cs="Times New Roman"/>
        </w:rPr>
        <w:t>values in</w:t>
      </w:r>
      <w:r w:rsidR="00334EA7">
        <w:rPr>
          <w:rFonts w:ascii="Times New Roman" w:hAnsi="Times New Roman" w:cs="Times New Roman"/>
        </w:rPr>
        <w:t xml:space="preserve"> CIRAIG (2016)</w:t>
      </w:r>
      <w:r>
        <w:rPr>
          <w:rFonts w:ascii="Times New Roman" w:hAnsi="Times New Roman" w:cs="Times New Roman"/>
        </w:rPr>
        <w:t>.</w:t>
      </w:r>
      <w:r w:rsidRPr="006118B6">
        <w:rPr>
          <w:rFonts w:ascii="Times New Roman" w:hAnsi="Times New Roman" w:cs="Times New Roman"/>
        </w:rPr>
        <w:t xml:space="preserve"> Then we check how much more expensive it would be if the same amount of electricity were </w:t>
      </w:r>
      <w:r>
        <w:rPr>
          <w:rFonts w:ascii="Times New Roman" w:hAnsi="Times New Roman" w:cs="Times New Roman"/>
        </w:rPr>
        <w:t>generated</w:t>
      </w:r>
      <w:r w:rsidRPr="006118B6">
        <w:rPr>
          <w:rFonts w:ascii="Times New Roman" w:hAnsi="Times New Roman" w:cs="Times New Roman"/>
        </w:rPr>
        <w:t xml:space="preserve"> from renewable energy instead of lignite by</w:t>
      </w:r>
      <w:r w:rsidRPr="00756C5F">
        <w:rPr>
          <w:rFonts w:ascii="Times New Roman" w:hAnsi="Times New Roman" w:cs="Times New Roman"/>
        </w:rPr>
        <w:t xml:space="preserve"> comparing the levelized cost of electricity in Germany. Since lignite provides baseload power, we assume the replacement will be solar photovoltaic cells plus batteries. If the replacement were to be s</w:t>
      </w:r>
      <w:r w:rsidR="006B08D1">
        <w:rPr>
          <w:rFonts w:ascii="Times New Roman" w:hAnsi="Times New Roman" w:cs="Times New Roman"/>
        </w:rPr>
        <w:t>olar PV alone (without battery storage</w:t>
      </w:r>
      <w:r w:rsidRPr="00756C5F">
        <w:rPr>
          <w:rFonts w:ascii="Times New Roman" w:hAnsi="Times New Roman" w:cs="Times New Roman"/>
        </w:rPr>
        <w:t xml:space="preserve">), then transitioning </w:t>
      </w:r>
      <w:r w:rsidRPr="00C7453A">
        <w:rPr>
          <w:rFonts w:ascii="Times New Roman" w:hAnsi="Times New Roman" w:cs="Times New Roman"/>
        </w:rPr>
        <w:t xml:space="preserve">to renewables reduces total electricity costs. However, </w:t>
      </w:r>
      <w:r w:rsidR="006B08D1">
        <w:rPr>
          <w:rFonts w:ascii="Times New Roman" w:hAnsi="Times New Roman" w:cs="Times New Roman"/>
        </w:rPr>
        <w:t xml:space="preserve">pairing </w:t>
      </w:r>
      <w:r w:rsidRPr="00C7453A">
        <w:rPr>
          <w:rFonts w:ascii="Times New Roman" w:hAnsi="Times New Roman" w:cs="Times New Roman"/>
        </w:rPr>
        <w:t xml:space="preserve">solar PV </w:t>
      </w:r>
      <w:r w:rsidR="006B08D1">
        <w:rPr>
          <w:rFonts w:ascii="Times New Roman" w:hAnsi="Times New Roman" w:cs="Times New Roman"/>
        </w:rPr>
        <w:t>with</w:t>
      </w:r>
      <w:r w:rsidRPr="00C7453A">
        <w:rPr>
          <w:rFonts w:ascii="Times New Roman" w:hAnsi="Times New Roman" w:cs="Times New Roman"/>
        </w:rPr>
        <w:t xml:space="preserve"> batte</w:t>
      </w:r>
      <w:r w:rsidR="006B08D1">
        <w:rPr>
          <w:rFonts w:ascii="Times New Roman" w:hAnsi="Times New Roman" w:cs="Times New Roman"/>
        </w:rPr>
        <w:t>ry storage units</w:t>
      </w:r>
      <w:r w:rsidRPr="00C7453A">
        <w:rPr>
          <w:rFonts w:ascii="Times New Roman" w:hAnsi="Times New Roman" w:cs="Times New Roman"/>
        </w:rPr>
        <w:t xml:space="preserve"> helps address the intermittency problem of renewable power and could play an important role in grid stability. Assuming solar PV plus battery</w:t>
      </w:r>
      <w:r>
        <w:rPr>
          <w:rFonts w:ascii="Times New Roman" w:hAnsi="Times New Roman" w:cs="Times New Roman"/>
        </w:rPr>
        <w:t xml:space="preserve"> storage</w:t>
      </w:r>
      <w:r w:rsidRPr="00C7453A">
        <w:rPr>
          <w:rFonts w:ascii="Times New Roman" w:hAnsi="Times New Roman" w:cs="Times New Roman"/>
        </w:rPr>
        <w:t xml:space="preserve"> substitute</w:t>
      </w:r>
      <w:r>
        <w:rPr>
          <w:rFonts w:ascii="Times New Roman" w:hAnsi="Times New Roman" w:cs="Times New Roman"/>
        </w:rPr>
        <w:t>s</w:t>
      </w:r>
      <w:r w:rsidRPr="00C7453A">
        <w:rPr>
          <w:rFonts w:ascii="Times New Roman" w:hAnsi="Times New Roman" w:cs="Times New Roman"/>
        </w:rPr>
        <w:t xml:space="preserve"> all of the lignite-generated electricity</w:t>
      </w:r>
      <w:r w:rsidRPr="0007753E">
        <w:rPr>
          <w:rFonts w:ascii="Times New Roman" w:hAnsi="Times New Roman" w:cs="Times New Roman"/>
        </w:rPr>
        <w:t>, overall system costs increase</w:t>
      </w:r>
      <w:r>
        <w:rPr>
          <w:rFonts w:ascii="Times New Roman" w:hAnsi="Times New Roman" w:cs="Times New Roman"/>
        </w:rPr>
        <w:t>.</w:t>
      </w:r>
      <w:r w:rsidRPr="0007753E">
        <w:rPr>
          <w:rFonts w:ascii="Times New Roman" w:hAnsi="Times New Roman" w:cs="Times New Roman"/>
        </w:rPr>
        <w:t xml:space="preserve"> Our estimate of increased electricity costs is likely to be an upper bound for several reasons: first, we only assume learning and cost reductions </w:t>
      </w:r>
      <w:r>
        <w:rPr>
          <w:rFonts w:ascii="Times New Roman" w:hAnsi="Times New Roman" w:cs="Times New Roman"/>
        </w:rPr>
        <w:t>up to</w:t>
      </w:r>
      <w:r w:rsidRPr="0007753E">
        <w:rPr>
          <w:rFonts w:ascii="Times New Roman" w:hAnsi="Times New Roman" w:cs="Times New Roman"/>
        </w:rPr>
        <w:t xml:space="preserve"> 2030 for renewable energy, but it is pro</w:t>
      </w:r>
      <w:r w:rsidRPr="001C5896">
        <w:rPr>
          <w:rFonts w:ascii="Times New Roman" w:hAnsi="Times New Roman" w:cs="Times New Roman"/>
        </w:rPr>
        <w:t xml:space="preserve">bable that there will be further cost reductions as break-through technologies are discovered. Second, it is not necessarily the case that all lignite has to be substituted with solar PV plus batteries. Some portion can likely be </w:t>
      </w:r>
      <w:r w:rsidRPr="001C5896">
        <w:rPr>
          <w:rFonts w:ascii="Times New Roman" w:hAnsi="Times New Roman" w:cs="Times New Roman"/>
        </w:rPr>
        <w:lastRenderedPageBreak/>
        <w:t>substituted with just so</w:t>
      </w:r>
      <w:r w:rsidRPr="00B504EF">
        <w:rPr>
          <w:rFonts w:ascii="Times New Roman" w:hAnsi="Times New Roman" w:cs="Times New Roman"/>
        </w:rPr>
        <w:t xml:space="preserve">lar PV and Germany could use demand-side management to handle a portion of the intermittency problem. </w:t>
      </w:r>
      <w:r w:rsidRPr="00111EEE">
        <w:rPr>
          <w:rFonts w:ascii="Times New Roman" w:hAnsi="Times New Roman" w:cs="Times New Roman"/>
        </w:rPr>
        <w:t>Data on the levelized cost</w:t>
      </w:r>
      <w:r w:rsidRPr="00AD41E5">
        <w:rPr>
          <w:rFonts w:ascii="Times New Roman" w:hAnsi="Times New Roman" w:cs="Times New Roman"/>
        </w:rPr>
        <w:t>s of each electricity source used in</w:t>
      </w:r>
      <w:r w:rsidRPr="00F14C00">
        <w:rPr>
          <w:rFonts w:ascii="Times New Roman" w:hAnsi="Times New Roman" w:cs="Times New Roman"/>
        </w:rPr>
        <w:t xml:space="preserve"> this analysis are specific to Germany and obtained from </w:t>
      </w:r>
      <w:proofErr w:type="spellStart"/>
      <w:r w:rsidRPr="00F14C00">
        <w:rPr>
          <w:rFonts w:ascii="Times New Roman" w:hAnsi="Times New Roman" w:cs="Times New Roman"/>
        </w:rPr>
        <w:t>Kost</w:t>
      </w:r>
      <w:proofErr w:type="spellEnd"/>
      <w:r w:rsidRPr="00FC7863">
        <w:rPr>
          <w:rFonts w:ascii="Times New Roman" w:hAnsi="Times New Roman" w:cs="Times New Roman"/>
        </w:rPr>
        <w:t xml:space="preserve"> </w:t>
      </w:r>
      <w:r w:rsidRPr="00100FCE">
        <w:rPr>
          <w:rFonts w:ascii="Times New Roman" w:hAnsi="Times New Roman" w:cs="Times New Roman"/>
          <w:i/>
        </w:rPr>
        <w:t>et al</w:t>
      </w:r>
      <w:r w:rsidRPr="00331DBA">
        <w:rPr>
          <w:rFonts w:ascii="Times New Roman" w:hAnsi="Times New Roman" w:cs="Times New Roman"/>
        </w:rPr>
        <w:t>.</w:t>
      </w:r>
      <w:r w:rsidRPr="00091B69">
        <w:rPr>
          <w:rFonts w:ascii="Times New Roman" w:hAnsi="Times New Roman" w:cs="Times New Roman"/>
        </w:rPr>
        <w:t xml:space="preserve"> (2018). </w:t>
      </w:r>
    </w:p>
    <w:p w14:paraId="5DD6BFC3" w14:textId="01B79E7F" w:rsidR="00A30E9F" w:rsidRPr="00625CB6" w:rsidRDefault="00A30E9F" w:rsidP="00627610">
      <w:pPr>
        <w:jc w:val="both"/>
        <w:rPr>
          <w:rFonts w:ascii="Times New Roman" w:hAnsi="Times New Roman" w:cs="Times New Roman"/>
          <w:bCs/>
          <w:lang w:val="en-GB"/>
        </w:rPr>
      </w:pPr>
    </w:p>
    <w:p w14:paraId="128790A8" w14:textId="5863D8B9" w:rsidR="00A30E9F" w:rsidRPr="00E70AEB" w:rsidRDefault="00A30E9F" w:rsidP="00627610">
      <w:pPr>
        <w:jc w:val="both"/>
        <w:rPr>
          <w:rFonts w:ascii="Times New Roman" w:hAnsi="Times New Roman" w:cs="Times New Roman"/>
          <w:b/>
          <w:smallCaps/>
          <w:color w:val="1D176E"/>
        </w:rPr>
      </w:pPr>
      <w:r w:rsidRPr="00E70AEB">
        <w:rPr>
          <w:rFonts w:ascii="Times New Roman" w:hAnsi="Times New Roman" w:cs="Times New Roman"/>
          <w:b/>
          <w:smallCaps/>
          <w:color w:val="1D176E"/>
        </w:rPr>
        <w:t>References for Appendix A</w:t>
      </w:r>
    </w:p>
    <w:p w14:paraId="75C53753" w14:textId="097E09B3" w:rsidR="00A30E9F" w:rsidRPr="002F5611" w:rsidRDefault="00A30E9F" w:rsidP="00627610">
      <w:pPr>
        <w:jc w:val="both"/>
        <w:rPr>
          <w:rFonts w:ascii="Times New Roman" w:hAnsi="Times New Roman" w:cs="Times New Roman"/>
          <w:sz w:val="20"/>
          <w:szCs w:val="20"/>
        </w:rPr>
      </w:pPr>
    </w:p>
    <w:p w14:paraId="29E85122" w14:textId="26DE02DB" w:rsidR="00A30E9F" w:rsidRPr="002F5611" w:rsidRDefault="00A30E9F" w:rsidP="00B92E00">
      <w:pPr>
        <w:ind w:left="270" w:hanging="270"/>
        <w:jc w:val="both"/>
        <w:rPr>
          <w:rFonts w:ascii="Times New Roman" w:hAnsi="Times New Roman" w:cs="Times New Roman"/>
        </w:rPr>
      </w:pPr>
      <w:r w:rsidRPr="002F5611">
        <w:rPr>
          <w:rFonts w:ascii="Times New Roman" w:hAnsi="Times New Roman" w:cs="Times New Roman"/>
        </w:rPr>
        <w:t>Brenner Guillermo, J., 2007. </w:t>
      </w:r>
      <w:r w:rsidRPr="002F5611">
        <w:rPr>
          <w:rFonts w:ascii="Times New Roman" w:hAnsi="Times New Roman" w:cs="Times New Roman"/>
          <w:iCs/>
        </w:rPr>
        <w:t>Valuation of ecosystem services in the Catalan coastal zone</w:t>
      </w:r>
      <w:r w:rsidRPr="002F5611">
        <w:rPr>
          <w:rFonts w:ascii="Times New Roman" w:hAnsi="Times New Roman" w:cs="Times New Roman"/>
        </w:rPr>
        <w:t xml:space="preserve">. </w:t>
      </w:r>
      <w:proofErr w:type="spellStart"/>
      <w:r w:rsidRPr="002F5611">
        <w:rPr>
          <w:rFonts w:ascii="Times New Roman" w:hAnsi="Times New Roman" w:cs="Times New Roman"/>
        </w:rPr>
        <w:t>Universitat</w:t>
      </w:r>
      <w:proofErr w:type="spellEnd"/>
      <w:r w:rsidRPr="002F5611">
        <w:rPr>
          <w:rFonts w:ascii="Times New Roman" w:hAnsi="Times New Roman" w:cs="Times New Roman"/>
        </w:rPr>
        <w:t xml:space="preserve"> </w:t>
      </w:r>
      <w:proofErr w:type="spellStart"/>
      <w:r w:rsidRPr="002F5611">
        <w:rPr>
          <w:rFonts w:ascii="Times New Roman" w:hAnsi="Times New Roman" w:cs="Times New Roman"/>
        </w:rPr>
        <w:t>Politècnica</w:t>
      </w:r>
      <w:proofErr w:type="spellEnd"/>
      <w:r w:rsidRPr="002F5611">
        <w:rPr>
          <w:rFonts w:ascii="Times New Roman" w:hAnsi="Times New Roman" w:cs="Times New Roman"/>
        </w:rPr>
        <w:t xml:space="preserve"> de Catalunya.</w:t>
      </w:r>
    </w:p>
    <w:p w14:paraId="507D4112" w14:textId="2E204AE0" w:rsidR="00A30E9F" w:rsidRPr="002F5611" w:rsidRDefault="00A30E9F" w:rsidP="00B92E00">
      <w:pPr>
        <w:ind w:left="270" w:hanging="270"/>
        <w:jc w:val="both"/>
        <w:rPr>
          <w:rFonts w:ascii="Times New Roman" w:hAnsi="Times New Roman" w:cs="Times New Roman"/>
        </w:rPr>
      </w:pPr>
    </w:p>
    <w:p w14:paraId="70362076" w14:textId="5791FED0" w:rsidR="00A30E9F" w:rsidRPr="002F5611" w:rsidRDefault="00A30E9F" w:rsidP="00B92E00">
      <w:pPr>
        <w:ind w:left="270" w:hanging="270"/>
        <w:jc w:val="both"/>
        <w:rPr>
          <w:rFonts w:ascii="Times New Roman" w:hAnsi="Times New Roman" w:cs="Times New Roman"/>
        </w:rPr>
      </w:pPr>
      <w:r w:rsidRPr="002F5611">
        <w:rPr>
          <w:rFonts w:ascii="Times New Roman" w:hAnsi="Times New Roman" w:cs="Times New Roman"/>
        </w:rPr>
        <w:t>CIRAIG. 2016. Technical report-Final report. GHG emissions related to the life cycle of natural gas and coal in different geographical contexts. Available at: http://www.ciraig.org/pdf/CIRAIG_LCA_gas_vs_coal_final_report_version.pdf (Accessed: 16 September 2018).</w:t>
      </w:r>
    </w:p>
    <w:p w14:paraId="67882F4C" w14:textId="16E9505A" w:rsidR="00A30E9F" w:rsidRPr="002F5611" w:rsidRDefault="00A30E9F" w:rsidP="00B92E00">
      <w:pPr>
        <w:ind w:left="270" w:hanging="270"/>
        <w:jc w:val="both"/>
        <w:rPr>
          <w:rFonts w:ascii="Times New Roman" w:hAnsi="Times New Roman" w:cs="Times New Roman"/>
        </w:rPr>
      </w:pPr>
    </w:p>
    <w:p w14:paraId="6E8B6E1E" w14:textId="5F35D9FE" w:rsidR="00A30E9F" w:rsidRPr="002F5611" w:rsidRDefault="00A30E9F" w:rsidP="00B92E00">
      <w:pPr>
        <w:ind w:left="270" w:hanging="270"/>
        <w:jc w:val="both"/>
        <w:rPr>
          <w:rFonts w:ascii="Times New Roman" w:hAnsi="Times New Roman" w:cs="Times New Roman"/>
        </w:rPr>
      </w:pPr>
      <w:r w:rsidRPr="002F5611">
        <w:rPr>
          <w:rFonts w:ascii="Times New Roman" w:hAnsi="Times New Roman" w:cs="Times New Roman"/>
        </w:rPr>
        <w:t xml:space="preserve">Cruz, A., </w:t>
      </w:r>
      <w:proofErr w:type="spellStart"/>
      <w:r w:rsidRPr="002F5611">
        <w:rPr>
          <w:rFonts w:ascii="Times New Roman" w:hAnsi="Times New Roman" w:cs="Times New Roman"/>
        </w:rPr>
        <w:t>Benedicto</w:t>
      </w:r>
      <w:proofErr w:type="spellEnd"/>
      <w:r w:rsidRPr="002F5611">
        <w:rPr>
          <w:rFonts w:ascii="Times New Roman" w:hAnsi="Times New Roman" w:cs="Times New Roman"/>
        </w:rPr>
        <w:t>, J. and Gil, A., 2011. Socio-economic benefits of Natura 2000 in Azores Islands –a case study approach on ecosystem services provided by a special protected area. Journal of Coastal Research, pp.1955-1959.</w:t>
      </w:r>
    </w:p>
    <w:p w14:paraId="760C6A3C" w14:textId="2FF8D525" w:rsidR="00A30E9F" w:rsidRPr="002F5611" w:rsidRDefault="00A30E9F" w:rsidP="00B92E00">
      <w:pPr>
        <w:ind w:left="270" w:hanging="270"/>
        <w:jc w:val="both"/>
        <w:rPr>
          <w:rFonts w:ascii="Times New Roman" w:hAnsi="Times New Roman" w:cs="Times New Roman"/>
        </w:rPr>
      </w:pPr>
    </w:p>
    <w:p w14:paraId="55546B05" w14:textId="45E2BADB" w:rsidR="00A30E9F" w:rsidRPr="002F5611" w:rsidRDefault="00A30E9F" w:rsidP="00B92E00">
      <w:pPr>
        <w:ind w:left="270" w:hanging="270"/>
        <w:jc w:val="both"/>
        <w:rPr>
          <w:rFonts w:ascii="Times New Roman" w:hAnsi="Times New Roman" w:cs="Times New Roman"/>
          <w:lang w:val="en-GB"/>
        </w:rPr>
      </w:pPr>
      <w:proofErr w:type="spellStart"/>
      <w:r w:rsidRPr="002F5611">
        <w:rPr>
          <w:rFonts w:ascii="Times New Roman" w:hAnsi="Times New Roman" w:cs="Times New Roman"/>
          <w:lang w:val="en-GB"/>
        </w:rPr>
        <w:t>Fearnehough</w:t>
      </w:r>
      <w:proofErr w:type="spellEnd"/>
      <w:r w:rsidRPr="002F5611">
        <w:rPr>
          <w:rFonts w:ascii="Times New Roman" w:hAnsi="Times New Roman" w:cs="Times New Roman"/>
          <w:lang w:val="en-GB"/>
        </w:rPr>
        <w:t xml:space="preserve">, H., </w:t>
      </w:r>
      <w:proofErr w:type="spellStart"/>
      <w:r w:rsidRPr="002F5611">
        <w:rPr>
          <w:rFonts w:ascii="Times New Roman" w:hAnsi="Times New Roman" w:cs="Times New Roman"/>
          <w:lang w:val="en-GB"/>
        </w:rPr>
        <w:t>Röser</w:t>
      </w:r>
      <w:proofErr w:type="spellEnd"/>
      <w:r w:rsidRPr="002F5611">
        <w:rPr>
          <w:rFonts w:ascii="Times New Roman" w:hAnsi="Times New Roman" w:cs="Times New Roman"/>
          <w:lang w:val="en-GB"/>
        </w:rPr>
        <w:t xml:space="preserve">, F., Schiefer, T., Nascimento, L., and Luna, L. 2018. Lignite pollutants: Roughly 320 premature deaths annually from burning </w:t>
      </w:r>
      <w:proofErr w:type="spellStart"/>
      <w:r w:rsidRPr="002F5611">
        <w:rPr>
          <w:rFonts w:ascii="Times New Roman" w:hAnsi="Times New Roman" w:cs="Times New Roman"/>
          <w:lang w:val="en-GB"/>
        </w:rPr>
        <w:t>Hambach</w:t>
      </w:r>
      <w:proofErr w:type="spellEnd"/>
      <w:r w:rsidRPr="002F5611">
        <w:rPr>
          <w:rFonts w:ascii="Times New Roman" w:hAnsi="Times New Roman" w:cs="Times New Roman"/>
          <w:lang w:val="en-GB"/>
        </w:rPr>
        <w:t xml:space="preserve"> coal. </w:t>
      </w:r>
      <w:proofErr w:type="spellStart"/>
      <w:r w:rsidRPr="002F5611">
        <w:rPr>
          <w:rFonts w:ascii="Times New Roman" w:hAnsi="Times New Roman" w:cs="Times New Roman"/>
          <w:lang w:val="en-GB"/>
        </w:rPr>
        <w:t>NewClimate</w:t>
      </w:r>
      <w:proofErr w:type="spellEnd"/>
      <w:r w:rsidRPr="002F5611">
        <w:rPr>
          <w:rFonts w:ascii="Times New Roman" w:hAnsi="Times New Roman" w:cs="Times New Roman"/>
          <w:lang w:val="en-GB"/>
        </w:rPr>
        <w:t xml:space="preserve"> Institute. </w:t>
      </w:r>
    </w:p>
    <w:p w14:paraId="229A75F6" w14:textId="262736CE" w:rsidR="00A30E9F" w:rsidRPr="002F5611" w:rsidRDefault="00A30E9F" w:rsidP="00B92E00">
      <w:pPr>
        <w:ind w:left="270" w:hanging="270"/>
        <w:jc w:val="both"/>
        <w:rPr>
          <w:rFonts w:ascii="Times New Roman" w:hAnsi="Times New Roman" w:cs="Times New Roman"/>
          <w:lang w:val="en-GB"/>
        </w:rPr>
      </w:pPr>
    </w:p>
    <w:p w14:paraId="1AAC1B5D" w14:textId="38877080" w:rsidR="00A30E9F" w:rsidRPr="0057513C" w:rsidRDefault="00A30E9F" w:rsidP="00B92E00">
      <w:pPr>
        <w:ind w:left="270" w:hanging="270"/>
        <w:jc w:val="both"/>
        <w:rPr>
          <w:rFonts w:ascii="Times New Roman" w:hAnsi="Times New Roman" w:cs="Times New Roman"/>
          <w:lang w:val="de-DE"/>
        </w:rPr>
      </w:pPr>
      <w:proofErr w:type="spellStart"/>
      <w:r w:rsidRPr="002F5611">
        <w:rPr>
          <w:rFonts w:ascii="Times New Roman" w:hAnsi="Times New Roman" w:cs="Times New Roman"/>
        </w:rPr>
        <w:t>Juhrich</w:t>
      </w:r>
      <w:proofErr w:type="spellEnd"/>
      <w:r w:rsidRPr="002F5611">
        <w:rPr>
          <w:rFonts w:ascii="Times New Roman" w:hAnsi="Times New Roman" w:cs="Times New Roman"/>
        </w:rPr>
        <w:t>, K. 2016. CO</w:t>
      </w:r>
      <w:r w:rsidRPr="002F5611">
        <w:rPr>
          <w:rFonts w:ascii="Times New Roman" w:hAnsi="Times New Roman" w:cs="Times New Roman"/>
          <w:vertAlign w:val="subscript"/>
        </w:rPr>
        <w:t>2</w:t>
      </w:r>
      <w:r w:rsidRPr="002F5611">
        <w:rPr>
          <w:rFonts w:ascii="Times New Roman" w:hAnsi="Times New Roman" w:cs="Times New Roman"/>
        </w:rPr>
        <w:t xml:space="preserve"> emission factors for fossil fuels. </w:t>
      </w:r>
      <w:r w:rsidRPr="0057513C">
        <w:rPr>
          <w:rFonts w:ascii="Times New Roman" w:hAnsi="Times New Roman" w:cs="Times New Roman"/>
          <w:lang w:val="de-DE"/>
        </w:rPr>
        <w:t xml:space="preserve">Report, climate change 28/2016, Umweltbundesamt [German Environment Agency]. </w:t>
      </w:r>
    </w:p>
    <w:p w14:paraId="57A26CB7" w14:textId="3EF3B4BE" w:rsidR="00A30E9F" w:rsidRPr="0057513C" w:rsidRDefault="00A30E9F" w:rsidP="00B92E00">
      <w:pPr>
        <w:ind w:left="270" w:hanging="270"/>
        <w:jc w:val="both"/>
        <w:rPr>
          <w:rFonts w:ascii="Times New Roman" w:hAnsi="Times New Roman" w:cs="Times New Roman"/>
          <w:lang w:val="de-DE"/>
        </w:rPr>
      </w:pPr>
    </w:p>
    <w:p w14:paraId="0D318F96" w14:textId="40FDA96E" w:rsidR="00A30E9F" w:rsidRPr="0057513C" w:rsidRDefault="00A30E9F" w:rsidP="00B92E00">
      <w:pPr>
        <w:ind w:left="270" w:hanging="270"/>
        <w:jc w:val="both"/>
        <w:rPr>
          <w:rFonts w:ascii="Times New Roman" w:hAnsi="Times New Roman" w:cs="Times New Roman"/>
          <w:lang w:val="de-DE"/>
        </w:rPr>
      </w:pPr>
      <w:r w:rsidRPr="0057513C">
        <w:rPr>
          <w:rFonts w:ascii="Times New Roman" w:hAnsi="Times New Roman" w:cs="Times New Roman"/>
          <w:lang w:val="de-DE"/>
        </w:rPr>
        <w:t>Kost, C., Shammugam S., Jülch V., Nguyen H., and Schlegl T. 2018. Stromgestehungskosten</w:t>
      </w:r>
    </w:p>
    <w:p w14:paraId="415E1E92" w14:textId="6F52F609" w:rsidR="00A30E9F" w:rsidRPr="0057513C" w:rsidRDefault="00A30E9F" w:rsidP="00B92E00">
      <w:pPr>
        <w:ind w:left="270" w:hanging="270"/>
        <w:jc w:val="both"/>
        <w:rPr>
          <w:rFonts w:ascii="Times New Roman" w:hAnsi="Times New Roman" w:cs="Times New Roman"/>
          <w:lang w:val="de-DE"/>
        </w:rPr>
      </w:pPr>
      <w:r w:rsidRPr="0057513C">
        <w:rPr>
          <w:rFonts w:ascii="Times New Roman" w:hAnsi="Times New Roman" w:cs="Times New Roman"/>
          <w:lang w:val="de-DE"/>
        </w:rPr>
        <w:t xml:space="preserve">Erneuerbare Energien. Fraunhofer-Institut Für Solare Energiesysteme Ise. </w:t>
      </w:r>
    </w:p>
    <w:p w14:paraId="52C79FE7" w14:textId="5CB5B154" w:rsidR="00A30E9F" w:rsidRPr="0057513C" w:rsidRDefault="00A30E9F" w:rsidP="00B92E00">
      <w:pPr>
        <w:ind w:left="270" w:hanging="270"/>
        <w:jc w:val="both"/>
        <w:rPr>
          <w:rFonts w:ascii="Times New Roman" w:hAnsi="Times New Roman" w:cs="Times New Roman"/>
          <w:lang w:val="de-DE"/>
        </w:rPr>
      </w:pPr>
    </w:p>
    <w:p w14:paraId="4F4E4B17" w14:textId="36B1E4B7" w:rsidR="00A30E9F" w:rsidRPr="002F5611" w:rsidRDefault="00A30E9F" w:rsidP="00B92E00">
      <w:pPr>
        <w:ind w:left="270" w:hanging="270"/>
        <w:jc w:val="both"/>
        <w:rPr>
          <w:rFonts w:ascii="Times New Roman" w:hAnsi="Times New Roman" w:cs="Times New Roman"/>
        </w:rPr>
      </w:pPr>
      <w:proofErr w:type="spellStart"/>
      <w:r w:rsidRPr="002F5611">
        <w:rPr>
          <w:rFonts w:ascii="Times New Roman" w:hAnsi="Times New Roman" w:cs="Times New Roman"/>
        </w:rPr>
        <w:t>Wronski</w:t>
      </w:r>
      <w:proofErr w:type="spellEnd"/>
      <w:r w:rsidRPr="002F5611">
        <w:rPr>
          <w:rFonts w:ascii="Times New Roman" w:hAnsi="Times New Roman" w:cs="Times New Roman"/>
        </w:rPr>
        <w:t xml:space="preserve">, R. and Fleet, C. </w:t>
      </w:r>
      <w:r w:rsidRPr="002F5611">
        <w:rPr>
          <w:rFonts w:ascii="Times New Roman" w:hAnsi="Times New Roman" w:cs="Times New Roman"/>
          <w:bCs/>
        </w:rPr>
        <w:t xml:space="preserve">2018. </w:t>
      </w:r>
      <w:r w:rsidRPr="0057513C">
        <w:rPr>
          <w:rFonts w:ascii="Times New Roman" w:hAnsi="Times New Roman" w:cs="Times New Roman"/>
          <w:bCs/>
          <w:lang w:val="de-DE"/>
        </w:rPr>
        <w:t xml:space="preserve">Was Braukohlestrom Wirklich Wirklich Kostet. </w:t>
      </w:r>
      <w:r w:rsidRPr="002F5611">
        <w:rPr>
          <w:rFonts w:ascii="Times New Roman" w:hAnsi="Times New Roman" w:cs="Times New Roman"/>
          <w:bCs/>
        </w:rPr>
        <w:t xml:space="preserve">Greenpeace Energy EG. </w:t>
      </w:r>
    </w:p>
    <w:p w14:paraId="09A399F6" w14:textId="77777777" w:rsidR="00A30E9F" w:rsidRPr="002F5611" w:rsidRDefault="00A30E9F" w:rsidP="00B92E00">
      <w:pPr>
        <w:spacing w:line="360" w:lineRule="auto"/>
        <w:jc w:val="both"/>
        <w:rPr>
          <w:rFonts w:ascii="Times New Roman" w:hAnsi="Times New Roman" w:cs="Times New Roman"/>
        </w:rPr>
      </w:pPr>
    </w:p>
    <w:p w14:paraId="6456155B" w14:textId="77777777" w:rsidR="0063474B" w:rsidRDefault="0063474B" w:rsidP="00B92E00">
      <w:pPr>
        <w:jc w:val="both"/>
      </w:pPr>
    </w:p>
    <w:sectPr w:rsidR="0063474B" w:rsidSect="00DC5AEF">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991C" w14:textId="77777777" w:rsidR="00E606C5" w:rsidRDefault="00E606C5" w:rsidP="00A30E9F">
      <w:r>
        <w:separator/>
      </w:r>
    </w:p>
  </w:endnote>
  <w:endnote w:type="continuationSeparator" w:id="0">
    <w:p w14:paraId="079266AF" w14:textId="77777777" w:rsidR="00E606C5" w:rsidRDefault="00E606C5" w:rsidP="00A3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M Roman 10 Regular">
    <w:charset w:val="00"/>
    <w:family w:val="auto"/>
    <w:pitch w:val="variable"/>
    <w:sig w:usb0="20000007" w:usb1="00000000" w:usb2="00000000" w:usb3="00000000" w:csb0="00000193"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717E" w14:textId="77777777" w:rsidR="00B76E38" w:rsidRDefault="00B76E38" w:rsidP="00A30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6CD68" w14:textId="77777777" w:rsidR="00B76E38" w:rsidRDefault="00B76E38" w:rsidP="00A30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724B" w14:textId="355D83A5" w:rsidR="00B76E38" w:rsidRPr="00BE53C1" w:rsidRDefault="00B76E38" w:rsidP="00A30E9F">
    <w:pPr>
      <w:pStyle w:val="Footer"/>
      <w:framePr w:wrap="around" w:vAnchor="text" w:hAnchor="margin" w:xAlign="right" w:y="1"/>
      <w:rPr>
        <w:rStyle w:val="PageNumber"/>
        <w:rFonts w:ascii="Times New Roman" w:hAnsi="Times New Roman" w:cs="Times New Roman"/>
      </w:rPr>
    </w:pPr>
    <w:r w:rsidRPr="00BE53C1">
      <w:rPr>
        <w:rStyle w:val="PageNumber"/>
        <w:rFonts w:ascii="Times New Roman" w:hAnsi="Times New Roman" w:cs="Times New Roman"/>
      </w:rPr>
      <w:fldChar w:fldCharType="begin"/>
    </w:r>
    <w:r w:rsidRPr="00BE53C1">
      <w:rPr>
        <w:rStyle w:val="PageNumber"/>
        <w:rFonts w:ascii="Times New Roman" w:hAnsi="Times New Roman" w:cs="Times New Roman"/>
      </w:rPr>
      <w:instrText xml:space="preserve">PAGE  </w:instrText>
    </w:r>
    <w:r w:rsidRPr="00BE53C1">
      <w:rPr>
        <w:rStyle w:val="PageNumber"/>
        <w:rFonts w:ascii="Times New Roman" w:hAnsi="Times New Roman" w:cs="Times New Roman"/>
      </w:rPr>
      <w:fldChar w:fldCharType="separate"/>
    </w:r>
    <w:r w:rsidR="004F6D67">
      <w:rPr>
        <w:rStyle w:val="PageNumber"/>
        <w:rFonts w:ascii="Times New Roman" w:hAnsi="Times New Roman" w:cs="Times New Roman"/>
        <w:noProof/>
      </w:rPr>
      <w:t>39</w:t>
    </w:r>
    <w:r w:rsidRPr="00BE53C1">
      <w:rPr>
        <w:rStyle w:val="PageNumber"/>
        <w:rFonts w:ascii="Times New Roman" w:hAnsi="Times New Roman" w:cs="Times New Roman"/>
      </w:rPr>
      <w:fldChar w:fldCharType="end"/>
    </w:r>
  </w:p>
  <w:p w14:paraId="1C3A9B63" w14:textId="77777777" w:rsidR="00B76E38" w:rsidRDefault="00B76E38" w:rsidP="00A30E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1483" w14:textId="6E53E8FF" w:rsidR="00B76E38" w:rsidRPr="00206B61" w:rsidRDefault="00B76E38" w:rsidP="00A7466D">
    <w:pPr>
      <w:pStyle w:val="Footer"/>
      <w:spacing w:line="276" w:lineRule="auto"/>
      <w:ind w:right="720"/>
      <w:jc w:val="both"/>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0493" w14:textId="77777777" w:rsidR="00E606C5" w:rsidRDefault="00E606C5" w:rsidP="00A30E9F">
      <w:r>
        <w:separator/>
      </w:r>
    </w:p>
  </w:footnote>
  <w:footnote w:type="continuationSeparator" w:id="0">
    <w:p w14:paraId="26113C7A" w14:textId="77777777" w:rsidR="00E606C5" w:rsidRDefault="00E606C5" w:rsidP="00A3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56B"/>
    <w:multiLevelType w:val="hybridMultilevel"/>
    <w:tmpl w:val="E626F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34349"/>
    <w:multiLevelType w:val="hybridMultilevel"/>
    <w:tmpl w:val="DBCA915A"/>
    <w:lvl w:ilvl="0" w:tplc="CC3CC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22367"/>
    <w:multiLevelType w:val="hybridMultilevel"/>
    <w:tmpl w:val="9188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C6C88"/>
    <w:multiLevelType w:val="hybridMultilevel"/>
    <w:tmpl w:val="815ABC00"/>
    <w:lvl w:ilvl="0" w:tplc="F9D2894A">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B53"/>
    <w:multiLevelType w:val="hybridMultilevel"/>
    <w:tmpl w:val="AC8C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45DE"/>
    <w:multiLevelType w:val="hybridMultilevel"/>
    <w:tmpl w:val="1248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00FC"/>
    <w:multiLevelType w:val="hybridMultilevel"/>
    <w:tmpl w:val="73B2F0F8"/>
    <w:lvl w:ilvl="0" w:tplc="79B8F960">
      <w:start w:val="3"/>
      <w:numFmt w:val="bullet"/>
      <w:lvlText w:val="-"/>
      <w:lvlJc w:val="left"/>
      <w:pPr>
        <w:ind w:left="720" w:hanging="360"/>
      </w:pPr>
      <w:rPr>
        <w:rFonts w:ascii="LM Roman 10 Regular" w:eastAsiaTheme="minorEastAsia" w:hAnsi="LM Roman 10 Regular" w:cs="Did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112F5"/>
    <w:multiLevelType w:val="hybridMultilevel"/>
    <w:tmpl w:val="C92C42BE"/>
    <w:lvl w:ilvl="0" w:tplc="F2121C08">
      <w:start w:val="1"/>
      <w:numFmt w:val="decimal"/>
      <w:pStyle w:val="Charttitle"/>
      <w:lvlText w:val="Figure %1."/>
      <w:lvlJc w:val="left"/>
      <w:pPr>
        <w:ind w:left="360" w:hanging="360"/>
      </w:pPr>
      <w:rPr>
        <w:rFonts w:ascii="Cambria" w:hAnsi="Cambria" w:hint="default"/>
        <w:b w:val="0"/>
        <w:i/>
        <w:caps w:val="0"/>
        <w:strike w:val="0"/>
        <w:dstrike w:val="0"/>
        <w:vanish w:val="0"/>
        <w:color w:val="000000" w:themeColor="tex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33061"/>
    <w:multiLevelType w:val="hybridMultilevel"/>
    <w:tmpl w:val="E626F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A778D"/>
    <w:multiLevelType w:val="multilevel"/>
    <w:tmpl w:val="7AFC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F3E94"/>
    <w:multiLevelType w:val="hybridMultilevel"/>
    <w:tmpl w:val="D55A964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30E85"/>
    <w:multiLevelType w:val="hybridMultilevel"/>
    <w:tmpl w:val="AC8C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C0D2C"/>
    <w:multiLevelType w:val="hybridMultilevel"/>
    <w:tmpl w:val="FC62C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A1CA3"/>
    <w:multiLevelType w:val="hybridMultilevel"/>
    <w:tmpl w:val="9096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773C6"/>
    <w:multiLevelType w:val="hybridMultilevel"/>
    <w:tmpl w:val="62C0C916"/>
    <w:lvl w:ilvl="0" w:tplc="15FE09E8">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476EA"/>
    <w:multiLevelType w:val="hybridMultilevel"/>
    <w:tmpl w:val="3578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152A0"/>
    <w:multiLevelType w:val="hybridMultilevel"/>
    <w:tmpl w:val="821851BC"/>
    <w:lvl w:ilvl="0" w:tplc="16283B76">
      <w:start w:val="1"/>
      <w:numFmt w:val="decimal"/>
      <w:lvlText w:val="(%1)"/>
      <w:lvlJc w:val="left"/>
      <w:pPr>
        <w:ind w:left="726" w:hanging="3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91164"/>
    <w:multiLevelType w:val="hybridMultilevel"/>
    <w:tmpl w:val="652497BE"/>
    <w:lvl w:ilvl="0" w:tplc="F02418B6">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D7BC0"/>
    <w:multiLevelType w:val="hybridMultilevel"/>
    <w:tmpl w:val="6EEE3534"/>
    <w:lvl w:ilvl="0" w:tplc="30A819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D5905"/>
    <w:multiLevelType w:val="hybridMultilevel"/>
    <w:tmpl w:val="AADAE346"/>
    <w:lvl w:ilvl="0" w:tplc="9260E444">
      <w:start w:val="1"/>
      <w:numFmt w:val="decimal"/>
      <w:lvlText w:val="%1."/>
      <w:lvlJc w:val="left"/>
      <w:pPr>
        <w:tabs>
          <w:tab w:val="num" w:pos="720"/>
        </w:tabs>
        <w:ind w:left="720" w:hanging="360"/>
      </w:pPr>
    </w:lvl>
    <w:lvl w:ilvl="1" w:tplc="B4BAD7D0" w:tentative="1">
      <w:start w:val="1"/>
      <w:numFmt w:val="decimal"/>
      <w:lvlText w:val="%2."/>
      <w:lvlJc w:val="left"/>
      <w:pPr>
        <w:tabs>
          <w:tab w:val="num" w:pos="1440"/>
        </w:tabs>
        <w:ind w:left="1440" w:hanging="360"/>
      </w:pPr>
    </w:lvl>
    <w:lvl w:ilvl="2" w:tplc="01FA2656" w:tentative="1">
      <w:start w:val="1"/>
      <w:numFmt w:val="decimal"/>
      <w:lvlText w:val="%3."/>
      <w:lvlJc w:val="left"/>
      <w:pPr>
        <w:tabs>
          <w:tab w:val="num" w:pos="2160"/>
        </w:tabs>
        <w:ind w:left="2160" w:hanging="360"/>
      </w:pPr>
    </w:lvl>
    <w:lvl w:ilvl="3" w:tplc="F7D8B30A" w:tentative="1">
      <w:start w:val="1"/>
      <w:numFmt w:val="decimal"/>
      <w:lvlText w:val="%4."/>
      <w:lvlJc w:val="left"/>
      <w:pPr>
        <w:tabs>
          <w:tab w:val="num" w:pos="2880"/>
        </w:tabs>
        <w:ind w:left="2880" w:hanging="360"/>
      </w:pPr>
    </w:lvl>
    <w:lvl w:ilvl="4" w:tplc="1C182D52" w:tentative="1">
      <w:start w:val="1"/>
      <w:numFmt w:val="decimal"/>
      <w:lvlText w:val="%5."/>
      <w:lvlJc w:val="left"/>
      <w:pPr>
        <w:tabs>
          <w:tab w:val="num" w:pos="3600"/>
        </w:tabs>
        <w:ind w:left="3600" w:hanging="360"/>
      </w:pPr>
    </w:lvl>
    <w:lvl w:ilvl="5" w:tplc="EA60FBB0" w:tentative="1">
      <w:start w:val="1"/>
      <w:numFmt w:val="decimal"/>
      <w:lvlText w:val="%6."/>
      <w:lvlJc w:val="left"/>
      <w:pPr>
        <w:tabs>
          <w:tab w:val="num" w:pos="4320"/>
        </w:tabs>
        <w:ind w:left="4320" w:hanging="360"/>
      </w:pPr>
    </w:lvl>
    <w:lvl w:ilvl="6" w:tplc="445E1596" w:tentative="1">
      <w:start w:val="1"/>
      <w:numFmt w:val="decimal"/>
      <w:lvlText w:val="%7."/>
      <w:lvlJc w:val="left"/>
      <w:pPr>
        <w:tabs>
          <w:tab w:val="num" w:pos="5040"/>
        </w:tabs>
        <w:ind w:left="5040" w:hanging="360"/>
      </w:pPr>
    </w:lvl>
    <w:lvl w:ilvl="7" w:tplc="6D527C4C" w:tentative="1">
      <w:start w:val="1"/>
      <w:numFmt w:val="decimal"/>
      <w:lvlText w:val="%8."/>
      <w:lvlJc w:val="left"/>
      <w:pPr>
        <w:tabs>
          <w:tab w:val="num" w:pos="5760"/>
        </w:tabs>
        <w:ind w:left="5760" w:hanging="360"/>
      </w:pPr>
    </w:lvl>
    <w:lvl w:ilvl="8" w:tplc="14820CCE" w:tentative="1">
      <w:start w:val="1"/>
      <w:numFmt w:val="decimal"/>
      <w:lvlText w:val="%9."/>
      <w:lvlJc w:val="left"/>
      <w:pPr>
        <w:tabs>
          <w:tab w:val="num" w:pos="6480"/>
        </w:tabs>
        <w:ind w:left="6480" w:hanging="360"/>
      </w:pPr>
    </w:lvl>
  </w:abstractNum>
  <w:abstractNum w:abstractNumId="20" w15:restartNumberingAfterBreak="0">
    <w:nsid w:val="523A4344"/>
    <w:multiLevelType w:val="hybridMultilevel"/>
    <w:tmpl w:val="10E6BFF6"/>
    <w:lvl w:ilvl="0" w:tplc="C47A0C0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C52EE5"/>
    <w:multiLevelType w:val="hybridMultilevel"/>
    <w:tmpl w:val="6564279A"/>
    <w:lvl w:ilvl="0" w:tplc="BCEC4650">
      <w:start w:val="1"/>
      <w:numFmt w:val="bullet"/>
      <w:lvlText w:val="•"/>
      <w:lvlJc w:val="left"/>
      <w:pPr>
        <w:tabs>
          <w:tab w:val="num" w:pos="720"/>
        </w:tabs>
        <w:ind w:left="720" w:hanging="360"/>
      </w:pPr>
      <w:rPr>
        <w:rFonts w:ascii="Arial" w:hAnsi="Arial" w:hint="default"/>
      </w:rPr>
    </w:lvl>
    <w:lvl w:ilvl="1" w:tplc="D31214B6" w:tentative="1">
      <w:start w:val="1"/>
      <w:numFmt w:val="bullet"/>
      <w:lvlText w:val="•"/>
      <w:lvlJc w:val="left"/>
      <w:pPr>
        <w:tabs>
          <w:tab w:val="num" w:pos="1440"/>
        </w:tabs>
        <w:ind w:left="1440" w:hanging="360"/>
      </w:pPr>
      <w:rPr>
        <w:rFonts w:ascii="Arial" w:hAnsi="Arial" w:hint="default"/>
      </w:rPr>
    </w:lvl>
    <w:lvl w:ilvl="2" w:tplc="D06C54DA" w:tentative="1">
      <w:start w:val="1"/>
      <w:numFmt w:val="bullet"/>
      <w:lvlText w:val="•"/>
      <w:lvlJc w:val="left"/>
      <w:pPr>
        <w:tabs>
          <w:tab w:val="num" w:pos="2160"/>
        </w:tabs>
        <w:ind w:left="2160" w:hanging="360"/>
      </w:pPr>
      <w:rPr>
        <w:rFonts w:ascii="Arial" w:hAnsi="Arial" w:hint="default"/>
      </w:rPr>
    </w:lvl>
    <w:lvl w:ilvl="3" w:tplc="9ED25B5A" w:tentative="1">
      <w:start w:val="1"/>
      <w:numFmt w:val="bullet"/>
      <w:lvlText w:val="•"/>
      <w:lvlJc w:val="left"/>
      <w:pPr>
        <w:tabs>
          <w:tab w:val="num" w:pos="2880"/>
        </w:tabs>
        <w:ind w:left="2880" w:hanging="360"/>
      </w:pPr>
      <w:rPr>
        <w:rFonts w:ascii="Arial" w:hAnsi="Arial" w:hint="default"/>
      </w:rPr>
    </w:lvl>
    <w:lvl w:ilvl="4" w:tplc="22B01D84" w:tentative="1">
      <w:start w:val="1"/>
      <w:numFmt w:val="bullet"/>
      <w:lvlText w:val="•"/>
      <w:lvlJc w:val="left"/>
      <w:pPr>
        <w:tabs>
          <w:tab w:val="num" w:pos="3600"/>
        </w:tabs>
        <w:ind w:left="3600" w:hanging="360"/>
      </w:pPr>
      <w:rPr>
        <w:rFonts w:ascii="Arial" w:hAnsi="Arial" w:hint="default"/>
      </w:rPr>
    </w:lvl>
    <w:lvl w:ilvl="5" w:tplc="9DC06190" w:tentative="1">
      <w:start w:val="1"/>
      <w:numFmt w:val="bullet"/>
      <w:lvlText w:val="•"/>
      <w:lvlJc w:val="left"/>
      <w:pPr>
        <w:tabs>
          <w:tab w:val="num" w:pos="4320"/>
        </w:tabs>
        <w:ind w:left="4320" w:hanging="360"/>
      </w:pPr>
      <w:rPr>
        <w:rFonts w:ascii="Arial" w:hAnsi="Arial" w:hint="default"/>
      </w:rPr>
    </w:lvl>
    <w:lvl w:ilvl="6" w:tplc="41C8083E" w:tentative="1">
      <w:start w:val="1"/>
      <w:numFmt w:val="bullet"/>
      <w:lvlText w:val="•"/>
      <w:lvlJc w:val="left"/>
      <w:pPr>
        <w:tabs>
          <w:tab w:val="num" w:pos="5040"/>
        </w:tabs>
        <w:ind w:left="5040" w:hanging="360"/>
      </w:pPr>
      <w:rPr>
        <w:rFonts w:ascii="Arial" w:hAnsi="Arial" w:hint="default"/>
      </w:rPr>
    </w:lvl>
    <w:lvl w:ilvl="7" w:tplc="82CC4E6A" w:tentative="1">
      <w:start w:val="1"/>
      <w:numFmt w:val="bullet"/>
      <w:lvlText w:val="•"/>
      <w:lvlJc w:val="left"/>
      <w:pPr>
        <w:tabs>
          <w:tab w:val="num" w:pos="5760"/>
        </w:tabs>
        <w:ind w:left="5760" w:hanging="360"/>
      </w:pPr>
      <w:rPr>
        <w:rFonts w:ascii="Arial" w:hAnsi="Arial" w:hint="default"/>
      </w:rPr>
    </w:lvl>
    <w:lvl w:ilvl="8" w:tplc="99E674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E757A5"/>
    <w:multiLevelType w:val="hybridMultilevel"/>
    <w:tmpl w:val="850A3C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03E7EA2"/>
    <w:multiLevelType w:val="hybridMultilevel"/>
    <w:tmpl w:val="F626C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CB2AD4"/>
    <w:multiLevelType w:val="hybridMultilevel"/>
    <w:tmpl w:val="755A8538"/>
    <w:lvl w:ilvl="0" w:tplc="51B625A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B38BC"/>
    <w:multiLevelType w:val="multilevel"/>
    <w:tmpl w:val="AC04B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E155E"/>
    <w:multiLevelType w:val="hybridMultilevel"/>
    <w:tmpl w:val="71D2151C"/>
    <w:lvl w:ilvl="0" w:tplc="7D280808">
      <w:start w:val="1"/>
      <w:numFmt w:val="decimal"/>
      <w:lvlText w:val="(%1)"/>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612226"/>
    <w:multiLevelType w:val="hybridMultilevel"/>
    <w:tmpl w:val="FCD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4E5C"/>
    <w:multiLevelType w:val="hybridMultilevel"/>
    <w:tmpl w:val="AE8A631A"/>
    <w:lvl w:ilvl="0" w:tplc="340296E8">
      <w:start w:val="1"/>
      <w:numFmt w:val="bullet"/>
      <w:lvlText w:val="•"/>
      <w:lvlJc w:val="left"/>
      <w:pPr>
        <w:tabs>
          <w:tab w:val="num" w:pos="720"/>
        </w:tabs>
        <w:ind w:left="720" w:hanging="360"/>
      </w:pPr>
      <w:rPr>
        <w:rFonts w:ascii="Arial" w:hAnsi="Arial" w:hint="default"/>
      </w:rPr>
    </w:lvl>
    <w:lvl w:ilvl="1" w:tplc="DF6E200C">
      <w:numFmt w:val="bullet"/>
      <w:lvlText w:val="•"/>
      <w:lvlJc w:val="left"/>
      <w:pPr>
        <w:tabs>
          <w:tab w:val="num" w:pos="1440"/>
        </w:tabs>
        <w:ind w:left="1440" w:hanging="360"/>
      </w:pPr>
      <w:rPr>
        <w:rFonts w:ascii="Arial" w:hAnsi="Arial" w:hint="default"/>
      </w:rPr>
    </w:lvl>
    <w:lvl w:ilvl="2" w:tplc="BB9E16FA" w:tentative="1">
      <w:start w:val="1"/>
      <w:numFmt w:val="bullet"/>
      <w:lvlText w:val="•"/>
      <w:lvlJc w:val="left"/>
      <w:pPr>
        <w:tabs>
          <w:tab w:val="num" w:pos="2160"/>
        </w:tabs>
        <w:ind w:left="2160" w:hanging="360"/>
      </w:pPr>
      <w:rPr>
        <w:rFonts w:ascii="Arial" w:hAnsi="Arial" w:hint="default"/>
      </w:rPr>
    </w:lvl>
    <w:lvl w:ilvl="3" w:tplc="ED768F1C" w:tentative="1">
      <w:start w:val="1"/>
      <w:numFmt w:val="bullet"/>
      <w:lvlText w:val="•"/>
      <w:lvlJc w:val="left"/>
      <w:pPr>
        <w:tabs>
          <w:tab w:val="num" w:pos="2880"/>
        </w:tabs>
        <w:ind w:left="2880" w:hanging="360"/>
      </w:pPr>
      <w:rPr>
        <w:rFonts w:ascii="Arial" w:hAnsi="Arial" w:hint="default"/>
      </w:rPr>
    </w:lvl>
    <w:lvl w:ilvl="4" w:tplc="BEAA391E" w:tentative="1">
      <w:start w:val="1"/>
      <w:numFmt w:val="bullet"/>
      <w:lvlText w:val="•"/>
      <w:lvlJc w:val="left"/>
      <w:pPr>
        <w:tabs>
          <w:tab w:val="num" w:pos="3600"/>
        </w:tabs>
        <w:ind w:left="3600" w:hanging="360"/>
      </w:pPr>
      <w:rPr>
        <w:rFonts w:ascii="Arial" w:hAnsi="Arial" w:hint="default"/>
      </w:rPr>
    </w:lvl>
    <w:lvl w:ilvl="5" w:tplc="9404D466" w:tentative="1">
      <w:start w:val="1"/>
      <w:numFmt w:val="bullet"/>
      <w:lvlText w:val="•"/>
      <w:lvlJc w:val="left"/>
      <w:pPr>
        <w:tabs>
          <w:tab w:val="num" w:pos="4320"/>
        </w:tabs>
        <w:ind w:left="4320" w:hanging="360"/>
      </w:pPr>
      <w:rPr>
        <w:rFonts w:ascii="Arial" w:hAnsi="Arial" w:hint="default"/>
      </w:rPr>
    </w:lvl>
    <w:lvl w:ilvl="6" w:tplc="F6525B66" w:tentative="1">
      <w:start w:val="1"/>
      <w:numFmt w:val="bullet"/>
      <w:lvlText w:val="•"/>
      <w:lvlJc w:val="left"/>
      <w:pPr>
        <w:tabs>
          <w:tab w:val="num" w:pos="5040"/>
        </w:tabs>
        <w:ind w:left="5040" w:hanging="360"/>
      </w:pPr>
      <w:rPr>
        <w:rFonts w:ascii="Arial" w:hAnsi="Arial" w:hint="default"/>
      </w:rPr>
    </w:lvl>
    <w:lvl w:ilvl="7" w:tplc="AC442B66" w:tentative="1">
      <w:start w:val="1"/>
      <w:numFmt w:val="bullet"/>
      <w:lvlText w:val="•"/>
      <w:lvlJc w:val="left"/>
      <w:pPr>
        <w:tabs>
          <w:tab w:val="num" w:pos="5760"/>
        </w:tabs>
        <w:ind w:left="5760" w:hanging="360"/>
      </w:pPr>
      <w:rPr>
        <w:rFonts w:ascii="Arial" w:hAnsi="Arial" w:hint="default"/>
      </w:rPr>
    </w:lvl>
    <w:lvl w:ilvl="8" w:tplc="6A662D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B634C1"/>
    <w:multiLevelType w:val="hybridMultilevel"/>
    <w:tmpl w:val="4A9A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96D1F"/>
    <w:multiLevelType w:val="hybridMultilevel"/>
    <w:tmpl w:val="DF08E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40C4F"/>
    <w:multiLevelType w:val="hybridMultilevel"/>
    <w:tmpl w:val="E626F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53A6F"/>
    <w:multiLevelType w:val="hybridMultilevel"/>
    <w:tmpl w:val="42AC2868"/>
    <w:lvl w:ilvl="0" w:tplc="632049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44134"/>
    <w:multiLevelType w:val="hybridMultilevel"/>
    <w:tmpl w:val="2E8292D0"/>
    <w:lvl w:ilvl="0" w:tplc="CE563E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B7BD9"/>
    <w:multiLevelType w:val="hybridMultilevel"/>
    <w:tmpl w:val="261C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3"/>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3"/>
  </w:num>
  <w:num w:numId="9">
    <w:abstractNumId w:val="11"/>
  </w:num>
  <w:num w:numId="10">
    <w:abstractNumId w:val="15"/>
  </w:num>
  <w:num w:numId="11">
    <w:abstractNumId w:val="29"/>
  </w:num>
  <w:num w:numId="12">
    <w:abstractNumId w:val="5"/>
  </w:num>
  <w:num w:numId="13">
    <w:abstractNumId w:val="13"/>
  </w:num>
  <w:num w:numId="14">
    <w:abstractNumId w:val="24"/>
  </w:num>
  <w:num w:numId="15">
    <w:abstractNumId w:val="27"/>
  </w:num>
  <w:num w:numId="16">
    <w:abstractNumId w:val="28"/>
  </w:num>
  <w:num w:numId="17">
    <w:abstractNumId w:val="19"/>
  </w:num>
  <w:num w:numId="18">
    <w:abstractNumId w:val="21"/>
  </w:num>
  <w:num w:numId="19">
    <w:abstractNumId w:val="22"/>
  </w:num>
  <w:num w:numId="20">
    <w:abstractNumId w:val="8"/>
  </w:num>
  <w:num w:numId="21">
    <w:abstractNumId w:val="6"/>
  </w:num>
  <w:num w:numId="22">
    <w:abstractNumId w:val="12"/>
  </w:num>
  <w:num w:numId="23">
    <w:abstractNumId w:val="16"/>
  </w:num>
  <w:num w:numId="24">
    <w:abstractNumId w:val="17"/>
  </w:num>
  <w:num w:numId="25">
    <w:abstractNumId w:val="0"/>
  </w:num>
  <w:num w:numId="26">
    <w:abstractNumId w:val="31"/>
  </w:num>
  <w:num w:numId="27">
    <w:abstractNumId w:val="2"/>
  </w:num>
  <w:num w:numId="28">
    <w:abstractNumId w:val="23"/>
  </w:num>
  <w:num w:numId="29">
    <w:abstractNumId w:val="9"/>
  </w:num>
  <w:num w:numId="30">
    <w:abstractNumId w:val="20"/>
  </w:num>
  <w:num w:numId="31">
    <w:abstractNumId w:val="1"/>
  </w:num>
  <w:num w:numId="32">
    <w:abstractNumId w:val="26"/>
  </w:num>
  <w:num w:numId="33">
    <w:abstractNumId w:val="32"/>
  </w:num>
  <w:num w:numId="34">
    <w:abstractNumId w:val="25"/>
  </w:num>
  <w:num w:numId="35">
    <w:abstractNumId w:val="1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9F"/>
    <w:rsid w:val="00002737"/>
    <w:rsid w:val="00002F92"/>
    <w:rsid w:val="00004F38"/>
    <w:rsid w:val="00007ED3"/>
    <w:rsid w:val="00025732"/>
    <w:rsid w:val="00030476"/>
    <w:rsid w:val="0003280D"/>
    <w:rsid w:val="00034112"/>
    <w:rsid w:val="00034829"/>
    <w:rsid w:val="00040AE4"/>
    <w:rsid w:val="00045172"/>
    <w:rsid w:val="00053B1D"/>
    <w:rsid w:val="000561F3"/>
    <w:rsid w:val="00060E8C"/>
    <w:rsid w:val="00081190"/>
    <w:rsid w:val="000816F1"/>
    <w:rsid w:val="00082626"/>
    <w:rsid w:val="000860CD"/>
    <w:rsid w:val="000958A3"/>
    <w:rsid w:val="000959FE"/>
    <w:rsid w:val="000B1D33"/>
    <w:rsid w:val="000B3AC9"/>
    <w:rsid w:val="000C473A"/>
    <w:rsid w:val="000D30B5"/>
    <w:rsid w:val="000D7200"/>
    <w:rsid w:val="000E026D"/>
    <w:rsid w:val="000E79ED"/>
    <w:rsid w:val="000F01A0"/>
    <w:rsid w:val="000F1D16"/>
    <w:rsid w:val="000F3EEA"/>
    <w:rsid w:val="000F4AA6"/>
    <w:rsid w:val="00114667"/>
    <w:rsid w:val="00114A94"/>
    <w:rsid w:val="00115ACF"/>
    <w:rsid w:val="00117B96"/>
    <w:rsid w:val="00121954"/>
    <w:rsid w:val="001369CF"/>
    <w:rsid w:val="00146DDE"/>
    <w:rsid w:val="00151FE2"/>
    <w:rsid w:val="001615ED"/>
    <w:rsid w:val="0016390A"/>
    <w:rsid w:val="00170035"/>
    <w:rsid w:val="001700DA"/>
    <w:rsid w:val="001744AB"/>
    <w:rsid w:val="00174D8F"/>
    <w:rsid w:val="00175D59"/>
    <w:rsid w:val="001774B8"/>
    <w:rsid w:val="001818F1"/>
    <w:rsid w:val="00184B7C"/>
    <w:rsid w:val="00184FAD"/>
    <w:rsid w:val="001853D3"/>
    <w:rsid w:val="001871F7"/>
    <w:rsid w:val="001926E0"/>
    <w:rsid w:val="00197EB6"/>
    <w:rsid w:val="00197F4D"/>
    <w:rsid w:val="001A3CBE"/>
    <w:rsid w:val="001A6592"/>
    <w:rsid w:val="001B0DE5"/>
    <w:rsid w:val="001C27FD"/>
    <w:rsid w:val="001C7BF9"/>
    <w:rsid w:val="001D08BD"/>
    <w:rsid w:val="001E317B"/>
    <w:rsid w:val="001F1FEF"/>
    <w:rsid w:val="001F2685"/>
    <w:rsid w:val="001F547C"/>
    <w:rsid w:val="00201288"/>
    <w:rsid w:val="0020407C"/>
    <w:rsid w:val="00206A3E"/>
    <w:rsid w:val="00210C37"/>
    <w:rsid w:val="00211334"/>
    <w:rsid w:val="00215914"/>
    <w:rsid w:val="002221CD"/>
    <w:rsid w:val="002259E7"/>
    <w:rsid w:val="002260DC"/>
    <w:rsid w:val="002307B0"/>
    <w:rsid w:val="0023473D"/>
    <w:rsid w:val="00235ABD"/>
    <w:rsid w:val="002437E8"/>
    <w:rsid w:val="002658CF"/>
    <w:rsid w:val="00270DEA"/>
    <w:rsid w:val="00270F7B"/>
    <w:rsid w:val="0027234F"/>
    <w:rsid w:val="002962A3"/>
    <w:rsid w:val="00297943"/>
    <w:rsid w:val="00297CFC"/>
    <w:rsid w:val="002B0407"/>
    <w:rsid w:val="002B6C55"/>
    <w:rsid w:val="002C6DDC"/>
    <w:rsid w:val="002D303B"/>
    <w:rsid w:val="002D5622"/>
    <w:rsid w:val="002D7544"/>
    <w:rsid w:val="002E10F2"/>
    <w:rsid w:val="002E3888"/>
    <w:rsid w:val="002F3571"/>
    <w:rsid w:val="002F7460"/>
    <w:rsid w:val="002F78B5"/>
    <w:rsid w:val="00303760"/>
    <w:rsid w:val="00310532"/>
    <w:rsid w:val="00311CE6"/>
    <w:rsid w:val="003122F2"/>
    <w:rsid w:val="003139D4"/>
    <w:rsid w:val="00320F0E"/>
    <w:rsid w:val="00324ED6"/>
    <w:rsid w:val="00325211"/>
    <w:rsid w:val="00334EA7"/>
    <w:rsid w:val="00335EDB"/>
    <w:rsid w:val="00342004"/>
    <w:rsid w:val="00347D50"/>
    <w:rsid w:val="003501CA"/>
    <w:rsid w:val="00350C50"/>
    <w:rsid w:val="00352104"/>
    <w:rsid w:val="00355461"/>
    <w:rsid w:val="00360094"/>
    <w:rsid w:val="0036034C"/>
    <w:rsid w:val="0036203A"/>
    <w:rsid w:val="00365199"/>
    <w:rsid w:val="00367D1C"/>
    <w:rsid w:val="00367F2A"/>
    <w:rsid w:val="00371AC6"/>
    <w:rsid w:val="00373060"/>
    <w:rsid w:val="00374C22"/>
    <w:rsid w:val="00376269"/>
    <w:rsid w:val="003836BE"/>
    <w:rsid w:val="00385647"/>
    <w:rsid w:val="003D08F9"/>
    <w:rsid w:val="003D2076"/>
    <w:rsid w:val="003D407D"/>
    <w:rsid w:val="003E418F"/>
    <w:rsid w:val="003F08EE"/>
    <w:rsid w:val="003F6B48"/>
    <w:rsid w:val="0040059B"/>
    <w:rsid w:val="0040122F"/>
    <w:rsid w:val="004023F2"/>
    <w:rsid w:val="0040501C"/>
    <w:rsid w:val="00405966"/>
    <w:rsid w:val="00405F19"/>
    <w:rsid w:val="004060C8"/>
    <w:rsid w:val="00413E57"/>
    <w:rsid w:val="00417BCF"/>
    <w:rsid w:val="00436B3C"/>
    <w:rsid w:val="00437BE5"/>
    <w:rsid w:val="00441961"/>
    <w:rsid w:val="0044678D"/>
    <w:rsid w:val="00446E42"/>
    <w:rsid w:val="00453308"/>
    <w:rsid w:val="00454404"/>
    <w:rsid w:val="004568A2"/>
    <w:rsid w:val="004571A6"/>
    <w:rsid w:val="00457989"/>
    <w:rsid w:val="004602FD"/>
    <w:rsid w:val="00464BCC"/>
    <w:rsid w:val="00472E70"/>
    <w:rsid w:val="00473874"/>
    <w:rsid w:val="00473FF2"/>
    <w:rsid w:val="004830FD"/>
    <w:rsid w:val="00483468"/>
    <w:rsid w:val="00484541"/>
    <w:rsid w:val="004853A8"/>
    <w:rsid w:val="0048795F"/>
    <w:rsid w:val="004915CD"/>
    <w:rsid w:val="00492292"/>
    <w:rsid w:val="004924E5"/>
    <w:rsid w:val="00493AF2"/>
    <w:rsid w:val="004952CE"/>
    <w:rsid w:val="004A47EA"/>
    <w:rsid w:val="004B19DB"/>
    <w:rsid w:val="004B545D"/>
    <w:rsid w:val="004B556A"/>
    <w:rsid w:val="004C0EB6"/>
    <w:rsid w:val="004C5017"/>
    <w:rsid w:val="004C5916"/>
    <w:rsid w:val="004C6046"/>
    <w:rsid w:val="004D5C08"/>
    <w:rsid w:val="004D5F27"/>
    <w:rsid w:val="004D6270"/>
    <w:rsid w:val="004E51F5"/>
    <w:rsid w:val="004E6A69"/>
    <w:rsid w:val="004E6EF0"/>
    <w:rsid w:val="004F67E0"/>
    <w:rsid w:val="004F6D67"/>
    <w:rsid w:val="00501CD2"/>
    <w:rsid w:val="00505164"/>
    <w:rsid w:val="00506FE4"/>
    <w:rsid w:val="00510A08"/>
    <w:rsid w:val="00514093"/>
    <w:rsid w:val="00514CEB"/>
    <w:rsid w:val="0051582B"/>
    <w:rsid w:val="00517AC2"/>
    <w:rsid w:val="00522999"/>
    <w:rsid w:val="005267B2"/>
    <w:rsid w:val="00530D5C"/>
    <w:rsid w:val="00532EE7"/>
    <w:rsid w:val="005350BA"/>
    <w:rsid w:val="00537093"/>
    <w:rsid w:val="00537FD4"/>
    <w:rsid w:val="00544D17"/>
    <w:rsid w:val="00545307"/>
    <w:rsid w:val="00550649"/>
    <w:rsid w:val="00555515"/>
    <w:rsid w:val="005561B9"/>
    <w:rsid w:val="0057356B"/>
    <w:rsid w:val="0057513C"/>
    <w:rsid w:val="00580BC7"/>
    <w:rsid w:val="005849E1"/>
    <w:rsid w:val="00584C47"/>
    <w:rsid w:val="00585E9F"/>
    <w:rsid w:val="005873A8"/>
    <w:rsid w:val="00587961"/>
    <w:rsid w:val="005A2C56"/>
    <w:rsid w:val="005A5594"/>
    <w:rsid w:val="005A6A01"/>
    <w:rsid w:val="005B34BD"/>
    <w:rsid w:val="005B42D4"/>
    <w:rsid w:val="005B6836"/>
    <w:rsid w:val="005C0BE6"/>
    <w:rsid w:val="005C2841"/>
    <w:rsid w:val="005C3723"/>
    <w:rsid w:val="005C37D1"/>
    <w:rsid w:val="005C51EB"/>
    <w:rsid w:val="005C6354"/>
    <w:rsid w:val="005C6CB2"/>
    <w:rsid w:val="005C77C8"/>
    <w:rsid w:val="005D165A"/>
    <w:rsid w:val="005D4499"/>
    <w:rsid w:val="005D7A68"/>
    <w:rsid w:val="005E53E3"/>
    <w:rsid w:val="005E6765"/>
    <w:rsid w:val="005F2ABE"/>
    <w:rsid w:val="005F2DE8"/>
    <w:rsid w:val="005F3ED2"/>
    <w:rsid w:val="005F6ED6"/>
    <w:rsid w:val="005F7A83"/>
    <w:rsid w:val="006005E5"/>
    <w:rsid w:val="00602F73"/>
    <w:rsid w:val="00605CA4"/>
    <w:rsid w:val="00611C68"/>
    <w:rsid w:val="00613E4B"/>
    <w:rsid w:val="00620135"/>
    <w:rsid w:val="006207EF"/>
    <w:rsid w:val="00627610"/>
    <w:rsid w:val="0063474B"/>
    <w:rsid w:val="00640EF2"/>
    <w:rsid w:val="00642E27"/>
    <w:rsid w:val="00645721"/>
    <w:rsid w:val="00645789"/>
    <w:rsid w:val="00647E92"/>
    <w:rsid w:val="006501CE"/>
    <w:rsid w:val="006536D5"/>
    <w:rsid w:val="006556D4"/>
    <w:rsid w:val="006560C9"/>
    <w:rsid w:val="0065617F"/>
    <w:rsid w:val="006573F3"/>
    <w:rsid w:val="00665220"/>
    <w:rsid w:val="006653BD"/>
    <w:rsid w:val="00670E1F"/>
    <w:rsid w:val="00676CD7"/>
    <w:rsid w:val="00681185"/>
    <w:rsid w:val="00681973"/>
    <w:rsid w:val="00682349"/>
    <w:rsid w:val="00686F9C"/>
    <w:rsid w:val="00692603"/>
    <w:rsid w:val="00693734"/>
    <w:rsid w:val="006A558A"/>
    <w:rsid w:val="006A6416"/>
    <w:rsid w:val="006B08D1"/>
    <w:rsid w:val="006B259D"/>
    <w:rsid w:val="006B51EB"/>
    <w:rsid w:val="006C4CDC"/>
    <w:rsid w:val="006E5218"/>
    <w:rsid w:val="006E53DC"/>
    <w:rsid w:val="006E649B"/>
    <w:rsid w:val="006E68E8"/>
    <w:rsid w:val="006F1E32"/>
    <w:rsid w:val="006F313E"/>
    <w:rsid w:val="006F550F"/>
    <w:rsid w:val="007015F2"/>
    <w:rsid w:val="00702ED7"/>
    <w:rsid w:val="00707A76"/>
    <w:rsid w:val="007106EB"/>
    <w:rsid w:val="0071332A"/>
    <w:rsid w:val="00721E95"/>
    <w:rsid w:val="00725D8C"/>
    <w:rsid w:val="00726B91"/>
    <w:rsid w:val="00727833"/>
    <w:rsid w:val="007334AD"/>
    <w:rsid w:val="00740586"/>
    <w:rsid w:val="00742F10"/>
    <w:rsid w:val="00757DCA"/>
    <w:rsid w:val="00763633"/>
    <w:rsid w:val="007648A1"/>
    <w:rsid w:val="00765017"/>
    <w:rsid w:val="007723FF"/>
    <w:rsid w:val="00772455"/>
    <w:rsid w:val="00773D8C"/>
    <w:rsid w:val="00774A33"/>
    <w:rsid w:val="0078070A"/>
    <w:rsid w:val="00780D00"/>
    <w:rsid w:val="00781177"/>
    <w:rsid w:val="00787427"/>
    <w:rsid w:val="0079327C"/>
    <w:rsid w:val="00793A62"/>
    <w:rsid w:val="007959FE"/>
    <w:rsid w:val="00795EEA"/>
    <w:rsid w:val="00796F5A"/>
    <w:rsid w:val="007A6472"/>
    <w:rsid w:val="007B54D3"/>
    <w:rsid w:val="007B735F"/>
    <w:rsid w:val="007C7C0B"/>
    <w:rsid w:val="007D2595"/>
    <w:rsid w:val="007D2B1F"/>
    <w:rsid w:val="007E27EB"/>
    <w:rsid w:val="007E7A6C"/>
    <w:rsid w:val="007F0390"/>
    <w:rsid w:val="007F5FBE"/>
    <w:rsid w:val="00801DE9"/>
    <w:rsid w:val="00801F64"/>
    <w:rsid w:val="00802BE1"/>
    <w:rsid w:val="00807981"/>
    <w:rsid w:val="008176C0"/>
    <w:rsid w:val="0082495C"/>
    <w:rsid w:val="00834EFD"/>
    <w:rsid w:val="00842E6D"/>
    <w:rsid w:val="008448FF"/>
    <w:rsid w:val="00845138"/>
    <w:rsid w:val="00847A78"/>
    <w:rsid w:val="00851C63"/>
    <w:rsid w:val="00852B02"/>
    <w:rsid w:val="00852E52"/>
    <w:rsid w:val="00852E9B"/>
    <w:rsid w:val="008534E0"/>
    <w:rsid w:val="00855103"/>
    <w:rsid w:val="00862C0D"/>
    <w:rsid w:val="0086716F"/>
    <w:rsid w:val="00882FC4"/>
    <w:rsid w:val="00887539"/>
    <w:rsid w:val="00892A57"/>
    <w:rsid w:val="00896932"/>
    <w:rsid w:val="00896F87"/>
    <w:rsid w:val="008A1CB9"/>
    <w:rsid w:val="008A27DA"/>
    <w:rsid w:val="008A2C4E"/>
    <w:rsid w:val="008B25BB"/>
    <w:rsid w:val="008B3CBF"/>
    <w:rsid w:val="008C1208"/>
    <w:rsid w:val="008C1610"/>
    <w:rsid w:val="008C5C44"/>
    <w:rsid w:val="008C5FBF"/>
    <w:rsid w:val="008D14A5"/>
    <w:rsid w:val="008E2A62"/>
    <w:rsid w:val="008E72EA"/>
    <w:rsid w:val="008F3BD8"/>
    <w:rsid w:val="008F7BFA"/>
    <w:rsid w:val="00901710"/>
    <w:rsid w:val="00903D4B"/>
    <w:rsid w:val="00903D4D"/>
    <w:rsid w:val="0090447D"/>
    <w:rsid w:val="00907BBA"/>
    <w:rsid w:val="00915584"/>
    <w:rsid w:val="00917604"/>
    <w:rsid w:val="00922B0F"/>
    <w:rsid w:val="00923265"/>
    <w:rsid w:val="00932A3B"/>
    <w:rsid w:val="00934C64"/>
    <w:rsid w:val="009517CF"/>
    <w:rsid w:val="00952E47"/>
    <w:rsid w:val="009604A8"/>
    <w:rsid w:val="0096241E"/>
    <w:rsid w:val="00965862"/>
    <w:rsid w:val="00967C8C"/>
    <w:rsid w:val="00970976"/>
    <w:rsid w:val="00970B2C"/>
    <w:rsid w:val="00973309"/>
    <w:rsid w:val="00976605"/>
    <w:rsid w:val="009808AB"/>
    <w:rsid w:val="00985363"/>
    <w:rsid w:val="00991E41"/>
    <w:rsid w:val="00994F81"/>
    <w:rsid w:val="009B2715"/>
    <w:rsid w:val="009E02B7"/>
    <w:rsid w:val="009E11F0"/>
    <w:rsid w:val="009E1FAB"/>
    <w:rsid w:val="009E7E0A"/>
    <w:rsid w:val="009F318E"/>
    <w:rsid w:val="00A01E60"/>
    <w:rsid w:val="00A055FF"/>
    <w:rsid w:val="00A1654B"/>
    <w:rsid w:val="00A174BE"/>
    <w:rsid w:val="00A175B2"/>
    <w:rsid w:val="00A2268F"/>
    <w:rsid w:val="00A27CF0"/>
    <w:rsid w:val="00A30E9F"/>
    <w:rsid w:val="00A35839"/>
    <w:rsid w:val="00A3721E"/>
    <w:rsid w:val="00A42986"/>
    <w:rsid w:val="00A553B3"/>
    <w:rsid w:val="00A5661A"/>
    <w:rsid w:val="00A568BB"/>
    <w:rsid w:val="00A57897"/>
    <w:rsid w:val="00A60231"/>
    <w:rsid w:val="00A6025E"/>
    <w:rsid w:val="00A627EA"/>
    <w:rsid w:val="00A6297C"/>
    <w:rsid w:val="00A63AD0"/>
    <w:rsid w:val="00A64388"/>
    <w:rsid w:val="00A65881"/>
    <w:rsid w:val="00A66199"/>
    <w:rsid w:val="00A67A79"/>
    <w:rsid w:val="00A73D5D"/>
    <w:rsid w:val="00A7466D"/>
    <w:rsid w:val="00A815FF"/>
    <w:rsid w:val="00A83266"/>
    <w:rsid w:val="00A83FDD"/>
    <w:rsid w:val="00A92EE1"/>
    <w:rsid w:val="00AA018D"/>
    <w:rsid w:val="00AA4EFE"/>
    <w:rsid w:val="00AB2C7F"/>
    <w:rsid w:val="00AB33CA"/>
    <w:rsid w:val="00AB3DBE"/>
    <w:rsid w:val="00AB4EDC"/>
    <w:rsid w:val="00AB62C5"/>
    <w:rsid w:val="00AC4C17"/>
    <w:rsid w:val="00AC698B"/>
    <w:rsid w:val="00AE560D"/>
    <w:rsid w:val="00AE7150"/>
    <w:rsid w:val="00AF1677"/>
    <w:rsid w:val="00AF1A37"/>
    <w:rsid w:val="00AF2A6E"/>
    <w:rsid w:val="00B076F0"/>
    <w:rsid w:val="00B11616"/>
    <w:rsid w:val="00B12744"/>
    <w:rsid w:val="00B156C1"/>
    <w:rsid w:val="00B16A79"/>
    <w:rsid w:val="00B22524"/>
    <w:rsid w:val="00B2495C"/>
    <w:rsid w:val="00B255EB"/>
    <w:rsid w:val="00B35FF2"/>
    <w:rsid w:val="00B36E68"/>
    <w:rsid w:val="00B50791"/>
    <w:rsid w:val="00B52F4B"/>
    <w:rsid w:val="00B54042"/>
    <w:rsid w:val="00B54B83"/>
    <w:rsid w:val="00B577D6"/>
    <w:rsid w:val="00B642AD"/>
    <w:rsid w:val="00B64CF6"/>
    <w:rsid w:val="00B73617"/>
    <w:rsid w:val="00B76E38"/>
    <w:rsid w:val="00B76F16"/>
    <w:rsid w:val="00B77E95"/>
    <w:rsid w:val="00B82460"/>
    <w:rsid w:val="00B82A5F"/>
    <w:rsid w:val="00B92E00"/>
    <w:rsid w:val="00B93E2B"/>
    <w:rsid w:val="00BA0473"/>
    <w:rsid w:val="00BA14D1"/>
    <w:rsid w:val="00BA2919"/>
    <w:rsid w:val="00BA4DC2"/>
    <w:rsid w:val="00BB092A"/>
    <w:rsid w:val="00BB0ABF"/>
    <w:rsid w:val="00BB35A8"/>
    <w:rsid w:val="00BC3BED"/>
    <w:rsid w:val="00BD10A2"/>
    <w:rsid w:val="00BD54C6"/>
    <w:rsid w:val="00BD5690"/>
    <w:rsid w:val="00BD6E43"/>
    <w:rsid w:val="00BE53C1"/>
    <w:rsid w:val="00BF0081"/>
    <w:rsid w:val="00BF72B9"/>
    <w:rsid w:val="00C006FF"/>
    <w:rsid w:val="00C02035"/>
    <w:rsid w:val="00C11BCC"/>
    <w:rsid w:val="00C1582F"/>
    <w:rsid w:val="00C2001E"/>
    <w:rsid w:val="00C219A7"/>
    <w:rsid w:val="00C236EC"/>
    <w:rsid w:val="00C24E6D"/>
    <w:rsid w:val="00C308E7"/>
    <w:rsid w:val="00C33564"/>
    <w:rsid w:val="00C339C7"/>
    <w:rsid w:val="00C34228"/>
    <w:rsid w:val="00C35B00"/>
    <w:rsid w:val="00C4232C"/>
    <w:rsid w:val="00C4397A"/>
    <w:rsid w:val="00C47612"/>
    <w:rsid w:val="00C579AE"/>
    <w:rsid w:val="00C60113"/>
    <w:rsid w:val="00C75AA9"/>
    <w:rsid w:val="00C778F2"/>
    <w:rsid w:val="00C80B41"/>
    <w:rsid w:val="00C84E0B"/>
    <w:rsid w:val="00C8663E"/>
    <w:rsid w:val="00C91403"/>
    <w:rsid w:val="00C93E18"/>
    <w:rsid w:val="00C94AA5"/>
    <w:rsid w:val="00C94DF0"/>
    <w:rsid w:val="00CB1567"/>
    <w:rsid w:val="00CB3B77"/>
    <w:rsid w:val="00CC22EE"/>
    <w:rsid w:val="00CC2531"/>
    <w:rsid w:val="00CC2F1A"/>
    <w:rsid w:val="00CC462D"/>
    <w:rsid w:val="00CD42E7"/>
    <w:rsid w:val="00CD5A17"/>
    <w:rsid w:val="00CD6C26"/>
    <w:rsid w:val="00CE229D"/>
    <w:rsid w:val="00CE4A8A"/>
    <w:rsid w:val="00CE7794"/>
    <w:rsid w:val="00CF4BCE"/>
    <w:rsid w:val="00CF4CC9"/>
    <w:rsid w:val="00D00E0D"/>
    <w:rsid w:val="00D104B2"/>
    <w:rsid w:val="00D122DE"/>
    <w:rsid w:val="00D124C4"/>
    <w:rsid w:val="00D15E0C"/>
    <w:rsid w:val="00D20832"/>
    <w:rsid w:val="00D2453E"/>
    <w:rsid w:val="00D34009"/>
    <w:rsid w:val="00D34AD4"/>
    <w:rsid w:val="00D355EF"/>
    <w:rsid w:val="00D35E04"/>
    <w:rsid w:val="00D37345"/>
    <w:rsid w:val="00D424EC"/>
    <w:rsid w:val="00D43934"/>
    <w:rsid w:val="00D45EEA"/>
    <w:rsid w:val="00D57DF0"/>
    <w:rsid w:val="00D605D9"/>
    <w:rsid w:val="00D62B53"/>
    <w:rsid w:val="00D643C5"/>
    <w:rsid w:val="00D67B56"/>
    <w:rsid w:val="00D72A4B"/>
    <w:rsid w:val="00D761D4"/>
    <w:rsid w:val="00D82A73"/>
    <w:rsid w:val="00D84378"/>
    <w:rsid w:val="00D9019D"/>
    <w:rsid w:val="00D91CF9"/>
    <w:rsid w:val="00D969F9"/>
    <w:rsid w:val="00D976AC"/>
    <w:rsid w:val="00DA052A"/>
    <w:rsid w:val="00DA2286"/>
    <w:rsid w:val="00DA5EE9"/>
    <w:rsid w:val="00DB2DE4"/>
    <w:rsid w:val="00DB3C46"/>
    <w:rsid w:val="00DB5D93"/>
    <w:rsid w:val="00DC0924"/>
    <w:rsid w:val="00DC0EC8"/>
    <w:rsid w:val="00DC2248"/>
    <w:rsid w:val="00DC5AEF"/>
    <w:rsid w:val="00DC6F3F"/>
    <w:rsid w:val="00DD08E9"/>
    <w:rsid w:val="00DD1C34"/>
    <w:rsid w:val="00DE7BC0"/>
    <w:rsid w:val="00DF3D2B"/>
    <w:rsid w:val="00DF6BA5"/>
    <w:rsid w:val="00DF78B4"/>
    <w:rsid w:val="00E00C51"/>
    <w:rsid w:val="00E024A8"/>
    <w:rsid w:val="00E10420"/>
    <w:rsid w:val="00E1293C"/>
    <w:rsid w:val="00E15CB1"/>
    <w:rsid w:val="00E2666F"/>
    <w:rsid w:val="00E31DE3"/>
    <w:rsid w:val="00E32F3A"/>
    <w:rsid w:val="00E35927"/>
    <w:rsid w:val="00E4255E"/>
    <w:rsid w:val="00E42AE6"/>
    <w:rsid w:val="00E430B4"/>
    <w:rsid w:val="00E462BF"/>
    <w:rsid w:val="00E46AAB"/>
    <w:rsid w:val="00E5058E"/>
    <w:rsid w:val="00E52E52"/>
    <w:rsid w:val="00E606C5"/>
    <w:rsid w:val="00E629BB"/>
    <w:rsid w:val="00E70AEB"/>
    <w:rsid w:val="00E70E5A"/>
    <w:rsid w:val="00E7243C"/>
    <w:rsid w:val="00E7261B"/>
    <w:rsid w:val="00E747A7"/>
    <w:rsid w:val="00E74D1A"/>
    <w:rsid w:val="00E75C00"/>
    <w:rsid w:val="00E7788A"/>
    <w:rsid w:val="00E82231"/>
    <w:rsid w:val="00E83BC7"/>
    <w:rsid w:val="00E848A7"/>
    <w:rsid w:val="00E853EF"/>
    <w:rsid w:val="00E91E91"/>
    <w:rsid w:val="00E94BCE"/>
    <w:rsid w:val="00E954C7"/>
    <w:rsid w:val="00E96136"/>
    <w:rsid w:val="00E977F7"/>
    <w:rsid w:val="00EA18EF"/>
    <w:rsid w:val="00EA2E02"/>
    <w:rsid w:val="00EA2E47"/>
    <w:rsid w:val="00EA37DB"/>
    <w:rsid w:val="00EB65BD"/>
    <w:rsid w:val="00ED0AB3"/>
    <w:rsid w:val="00ED0F1B"/>
    <w:rsid w:val="00ED31AD"/>
    <w:rsid w:val="00ED5152"/>
    <w:rsid w:val="00ED69A0"/>
    <w:rsid w:val="00EE153E"/>
    <w:rsid w:val="00EE208D"/>
    <w:rsid w:val="00EE5738"/>
    <w:rsid w:val="00EE7144"/>
    <w:rsid w:val="00EF559F"/>
    <w:rsid w:val="00F0255F"/>
    <w:rsid w:val="00F11032"/>
    <w:rsid w:val="00F1258F"/>
    <w:rsid w:val="00F14396"/>
    <w:rsid w:val="00F146EE"/>
    <w:rsid w:val="00F20344"/>
    <w:rsid w:val="00F2075F"/>
    <w:rsid w:val="00F27394"/>
    <w:rsid w:val="00F27912"/>
    <w:rsid w:val="00F32439"/>
    <w:rsid w:val="00F34BDE"/>
    <w:rsid w:val="00F40068"/>
    <w:rsid w:val="00F54EB5"/>
    <w:rsid w:val="00F54FC4"/>
    <w:rsid w:val="00F558DA"/>
    <w:rsid w:val="00F65953"/>
    <w:rsid w:val="00F7286D"/>
    <w:rsid w:val="00F732AE"/>
    <w:rsid w:val="00F77032"/>
    <w:rsid w:val="00F90584"/>
    <w:rsid w:val="00F90C1F"/>
    <w:rsid w:val="00F93721"/>
    <w:rsid w:val="00F94227"/>
    <w:rsid w:val="00F9615B"/>
    <w:rsid w:val="00FB158D"/>
    <w:rsid w:val="00FB226C"/>
    <w:rsid w:val="00FB25BE"/>
    <w:rsid w:val="00FB60A0"/>
    <w:rsid w:val="00FC0A2E"/>
    <w:rsid w:val="00FC352D"/>
    <w:rsid w:val="00FC4B2C"/>
    <w:rsid w:val="00FC6455"/>
    <w:rsid w:val="00FD1114"/>
    <w:rsid w:val="00FD669E"/>
    <w:rsid w:val="00FE4CAE"/>
    <w:rsid w:val="00FF2819"/>
    <w:rsid w:val="00FF471E"/>
    <w:rsid w:val="00FF47E8"/>
    <w:rsid w:val="00FF63F4"/>
    <w:rsid w:val="00FF654F"/>
    <w:rsid w:val="00FF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ED79F"/>
  <w14:defaultImageDpi w14:val="300"/>
  <w15:docId w15:val="{CF09852D-E8B3-40EF-8E73-39B08F83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9F"/>
  </w:style>
  <w:style w:type="paragraph" w:styleId="Heading1">
    <w:name w:val="heading 1"/>
    <w:basedOn w:val="Normal"/>
    <w:next w:val="Normal"/>
    <w:link w:val="Heading1Char"/>
    <w:uiPriority w:val="9"/>
    <w:qFormat/>
    <w:rsid w:val="00A30E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30E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E9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30E9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A30E9F"/>
  </w:style>
  <w:style w:type="character" w:customStyle="1" w:styleId="FootnoteTextChar">
    <w:name w:val="Footnote Text Char"/>
    <w:basedOn w:val="DefaultParagraphFont"/>
    <w:link w:val="FootnoteText"/>
    <w:uiPriority w:val="99"/>
    <w:rsid w:val="00A30E9F"/>
  </w:style>
  <w:style w:type="character" w:styleId="FootnoteReference">
    <w:name w:val="footnote reference"/>
    <w:basedOn w:val="DefaultParagraphFont"/>
    <w:uiPriority w:val="99"/>
    <w:unhideWhenUsed/>
    <w:rsid w:val="00A30E9F"/>
    <w:rPr>
      <w:vertAlign w:val="superscript"/>
    </w:rPr>
  </w:style>
  <w:style w:type="paragraph" w:styleId="ListParagraph">
    <w:name w:val="List Paragraph"/>
    <w:basedOn w:val="Normal"/>
    <w:uiPriority w:val="34"/>
    <w:qFormat/>
    <w:rsid w:val="00A30E9F"/>
    <w:pPr>
      <w:ind w:left="720"/>
      <w:contextualSpacing/>
    </w:pPr>
  </w:style>
  <w:style w:type="character" w:styleId="Hyperlink">
    <w:name w:val="Hyperlink"/>
    <w:basedOn w:val="DefaultParagraphFont"/>
    <w:uiPriority w:val="99"/>
    <w:unhideWhenUsed/>
    <w:rsid w:val="00A30E9F"/>
    <w:rPr>
      <w:color w:val="0000FF" w:themeColor="hyperlink"/>
      <w:u w:val="single"/>
    </w:rPr>
  </w:style>
  <w:style w:type="character" w:styleId="CommentReference">
    <w:name w:val="annotation reference"/>
    <w:basedOn w:val="DefaultParagraphFont"/>
    <w:uiPriority w:val="99"/>
    <w:semiHidden/>
    <w:unhideWhenUsed/>
    <w:rsid w:val="00A30E9F"/>
    <w:rPr>
      <w:sz w:val="18"/>
      <w:szCs w:val="18"/>
    </w:rPr>
  </w:style>
  <w:style w:type="paragraph" w:styleId="CommentText">
    <w:name w:val="annotation text"/>
    <w:basedOn w:val="Normal"/>
    <w:link w:val="CommentTextChar"/>
    <w:uiPriority w:val="99"/>
    <w:semiHidden/>
    <w:unhideWhenUsed/>
    <w:rsid w:val="00A30E9F"/>
  </w:style>
  <w:style w:type="character" w:customStyle="1" w:styleId="CommentTextChar">
    <w:name w:val="Comment Text Char"/>
    <w:basedOn w:val="DefaultParagraphFont"/>
    <w:link w:val="CommentText"/>
    <w:uiPriority w:val="99"/>
    <w:semiHidden/>
    <w:rsid w:val="00A30E9F"/>
  </w:style>
  <w:style w:type="character" w:customStyle="1" w:styleId="CommentSubjectChar">
    <w:name w:val="Comment Subject Char"/>
    <w:basedOn w:val="CommentTextChar"/>
    <w:link w:val="CommentSubject"/>
    <w:uiPriority w:val="99"/>
    <w:semiHidden/>
    <w:rsid w:val="00A30E9F"/>
    <w:rPr>
      <w:b/>
      <w:bCs/>
      <w:sz w:val="20"/>
      <w:szCs w:val="20"/>
    </w:rPr>
  </w:style>
  <w:style w:type="paragraph" w:styleId="CommentSubject">
    <w:name w:val="annotation subject"/>
    <w:basedOn w:val="CommentText"/>
    <w:next w:val="CommentText"/>
    <w:link w:val="CommentSubjectChar"/>
    <w:uiPriority w:val="99"/>
    <w:semiHidden/>
    <w:unhideWhenUsed/>
    <w:rsid w:val="00A30E9F"/>
    <w:rPr>
      <w:b/>
      <w:bCs/>
      <w:sz w:val="20"/>
      <w:szCs w:val="20"/>
    </w:rPr>
  </w:style>
  <w:style w:type="paragraph" w:styleId="BalloonText">
    <w:name w:val="Balloon Text"/>
    <w:basedOn w:val="Normal"/>
    <w:link w:val="BalloonTextChar"/>
    <w:uiPriority w:val="99"/>
    <w:semiHidden/>
    <w:unhideWhenUsed/>
    <w:rsid w:val="00A30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E9F"/>
    <w:rPr>
      <w:rFonts w:ascii="Lucida Grande" w:hAnsi="Lucida Grande" w:cs="Lucida Grande"/>
      <w:sz w:val="18"/>
      <w:szCs w:val="18"/>
    </w:rPr>
  </w:style>
  <w:style w:type="paragraph" w:styleId="Footer">
    <w:name w:val="footer"/>
    <w:basedOn w:val="Normal"/>
    <w:link w:val="FooterChar"/>
    <w:uiPriority w:val="99"/>
    <w:unhideWhenUsed/>
    <w:rsid w:val="00A30E9F"/>
    <w:pPr>
      <w:tabs>
        <w:tab w:val="center" w:pos="4320"/>
        <w:tab w:val="right" w:pos="8640"/>
      </w:tabs>
    </w:pPr>
  </w:style>
  <w:style w:type="character" w:customStyle="1" w:styleId="FooterChar">
    <w:name w:val="Footer Char"/>
    <w:basedOn w:val="DefaultParagraphFont"/>
    <w:link w:val="Footer"/>
    <w:uiPriority w:val="99"/>
    <w:rsid w:val="00A30E9F"/>
  </w:style>
  <w:style w:type="character" w:styleId="PageNumber">
    <w:name w:val="page number"/>
    <w:basedOn w:val="DefaultParagraphFont"/>
    <w:uiPriority w:val="99"/>
    <w:semiHidden/>
    <w:unhideWhenUsed/>
    <w:rsid w:val="00A30E9F"/>
  </w:style>
  <w:style w:type="paragraph" w:customStyle="1" w:styleId="Source">
    <w:name w:val="Source"/>
    <w:basedOn w:val="Normal"/>
    <w:qFormat/>
    <w:rsid w:val="00A30E9F"/>
    <w:pPr>
      <w:pBdr>
        <w:top w:val="single" w:sz="4" w:space="1" w:color="7F7F7F" w:themeColor="text1" w:themeTint="80"/>
      </w:pBdr>
      <w:autoSpaceDE w:val="0"/>
      <w:autoSpaceDN w:val="0"/>
      <w:adjustRightInd w:val="0"/>
      <w:spacing w:after="480" w:line="300" w:lineRule="exact"/>
      <w:ind w:left="993" w:hanging="993"/>
    </w:pPr>
    <w:rPr>
      <w:rFonts w:ascii="Calibri" w:eastAsiaTheme="minorHAnsi" w:hAnsi="Calibri" w:cstheme="minorHAnsi"/>
      <w:i/>
      <w:iCs/>
      <w:color w:val="000000" w:themeColor="text1"/>
      <w:sz w:val="18"/>
      <w:szCs w:val="16"/>
      <w:lang w:val="en-GB"/>
    </w:rPr>
  </w:style>
  <w:style w:type="paragraph" w:customStyle="1" w:styleId="Charttitle">
    <w:name w:val="Chart title"/>
    <w:basedOn w:val="Normal"/>
    <w:qFormat/>
    <w:rsid w:val="00A30E9F"/>
    <w:pPr>
      <w:keepNext/>
      <w:numPr>
        <w:numId w:val="4"/>
      </w:numPr>
      <w:pBdr>
        <w:top w:val="single" w:sz="4" w:space="1" w:color="7F7F7F" w:themeColor="text1" w:themeTint="80"/>
      </w:pBdr>
      <w:autoSpaceDE w:val="0"/>
      <w:autoSpaceDN w:val="0"/>
      <w:adjustRightInd w:val="0"/>
      <w:spacing w:before="480" w:after="120" w:line="220" w:lineRule="atLeast"/>
    </w:pPr>
    <w:rPr>
      <w:rFonts w:ascii="Calibri" w:eastAsiaTheme="minorHAnsi" w:hAnsi="Calibri" w:cstheme="minorHAnsi"/>
      <w:b/>
      <w:iCs/>
      <w:color w:val="000000"/>
      <w:sz w:val="20"/>
      <w:szCs w:val="20"/>
      <w:lang w:val="en-GB"/>
    </w:rPr>
  </w:style>
  <w:style w:type="character" w:styleId="PlaceholderText">
    <w:name w:val="Placeholder Text"/>
    <w:uiPriority w:val="99"/>
    <w:qFormat/>
    <w:rsid w:val="00A30E9F"/>
  </w:style>
  <w:style w:type="paragraph" w:customStyle="1" w:styleId="Chartspacer">
    <w:name w:val="Chart spacer"/>
    <w:basedOn w:val="Normal"/>
    <w:qFormat/>
    <w:rsid w:val="00A30E9F"/>
    <w:rPr>
      <w:rFonts w:ascii="Calibri" w:eastAsiaTheme="minorHAnsi" w:hAnsi="Calibri"/>
      <w:color w:val="000000" w:themeColor="text1"/>
      <w:sz w:val="8"/>
      <w:szCs w:val="8"/>
      <w:lang w:val="en-GB"/>
    </w:rPr>
  </w:style>
  <w:style w:type="table" w:styleId="TableGrid">
    <w:name w:val="Table Grid"/>
    <w:basedOn w:val="TableNormal"/>
    <w:uiPriority w:val="59"/>
    <w:rsid w:val="00A3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099209837323434731gmail-bodytext">
    <w:name w:val="m_6099209837323434731gmail-bodytext"/>
    <w:basedOn w:val="Normal"/>
    <w:rsid w:val="00A30E9F"/>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A30E9F"/>
    <w:rPr>
      <w:rFonts w:ascii="Times New Roman" w:eastAsiaTheme="minorHAnsi" w:hAnsi="Times New Roman"/>
      <w:szCs w:val="22"/>
      <w:lang w:val="de-DE"/>
    </w:rPr>
  </w:style>
  <w:style w:type="paragraph" w:styleId="Header">
    <w:name w:val="header"/>
    <w:basedOn w:val="Normal"/>
    <w:link w:val="HeaderChar"/>
    <w:uiPriority w:val="99"/>
    <w:unhideWhenUsed/>
    <w:rsid w:val="00A30E9F"/>
    <w:pPr>
      <w:tabs>
        <w:tab w:val="center" w:pos="4320"/>
        <w:tab w:val="right" w:pos="8640"/>
      </w:tabs>
    </w:pPr>
  </w:style>
  <w:style w:type="character" w:customStyle="1" w:styleId="HeaderChar">
    <w:name w:val="Header Char"/>
    <w:basedOn w:val="DefaultParagraphFont"/>
    <w:link w:val="Header"/>
    <w:uiPriority w:val="99"/>
    <w:rsid w:val="00A30E9F"/>
  </w:style>
  <w:style w:type="paragraph" w:customStyle="1" w:styleId="Default">
    <w:name w:val="Default"/>
    <w:rsid w:val="00A30E9F"/>
    <w:pPr>
      <w:widowControl w:val="0"/>
      <w:autoSpaceDE w:val="0"/>
      <w:autoSpaceDN w:val="0"/>
      <w:adjustRightInd w:val="0"/>
    </w:pPr>
    <w:rPr>
      <w:rFonts w:ascii="Verdana" w:hAnsi="Verdana" w:cs="Verdana"/>
      <w:color w:val="000000"/>
    </w:rPr>
  </w:style>
  <w:style w:type="character" w:customStyle="1" w:styleId="HTMLPreformattedChar">
    <w:name w:val="HTML Preformatted Char"/>
    <w:basedOn w:val="DefaultParagraphFont"/>
    <w:link w:val="HTMLPreformatted"/>
    <w:uiPriority w:val="99"/>
    <w:semiHidden/>
    <w:rsid w:val="00A30E9F"/>
    <w:rPr>
      <w:rFonts w:ascii="Courier" w:hAnsi="Courier"/>
      <w:sz w:val="20"/>
      <w:szCs w:val="20"/>
    </w:rPr>
  </w:style>
  <w:style w:type="paragraph" w:styleId="HTMLPreformatted">
    <w:name w:val="HTML Preformatted"/>
    <w:basedOn w:val="Normal"/>
    <w:link w:val="HTMLPreformattedChar"/>
    <w:uiPriority w:val="99"/>
    <w:semiHidden/>
    <w:unhideWhenUsed/>
    <w:rsid w:val="00A30E9F"/>
    <w:rPr>
      <w:rFonts w:ascii="Courier" w:hAnsi="Courier"/>
      <w:sz w:val="20"/>
      <w:szCs w:val="20"/>
    </w:rPr>
  </w:style>
  <w:style w:type="paragraph" w:styleId="EndnoteText">
    <w:name w:val="endnote text"/>
    <w:basedOn w:val="Normal"/>
    <w:link w:val="EndnoteTextChar"/>
    <w:uiPriority w:val="99"/>
    <w:semiHidden/>
    <w:unhideWhenUsed/>
    <w:rsid w:val="003122F2"/>
  </w:style>
  <w:style w:type="character" w:customStyle="1" w:styleId="EndnoteTextChar">
    <w:name w:val="Endnote Text Char"/>
    <w:basedOn w:val="DefaultParagraphFont"/>
    <w:link w:val="EndnoteText"/>
    <w:uiPriority w:val="99"/>
    <w:semiHidden/>
    <w:rsid w:val="003122F2"/>
  </w:style>
  <w:style w:type="character" w:styleId="EndnoteReference">
    <w:name w:val="endnote reference"/>
    <w:basedOn w:val="DefaultParagraphFont"/>
    <w:uiPriority w:val="99"/>
    <w:semiHidden/>
    <w:unhideWhenUsed/>
    <w:rsid w:val="00312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153">
      <w:bodyDiv w:val="1"/>
      <w:marLeft w:val="0"/>
      <w:marRight w:val="0"/>
      <w:marTop w:val="0"/>
      <w:marBottom w:val="0"/>
      <w:divBdr>
        <w:top w:val="none" w:sz="0" w:space="0" w:color="auto"/>
        <w:left w:val="none" w:sz="0" w:space="0" w:color="auto"/>
        <w:bottom w:val="none" w:sz="0" w:space="0" w:color="auto"/>
        <w:right w:val="none" w:sz="0" w:space="0" w:color="auto"/>
      </w:divBdr>
    </w:div>
    <w:div w:id="103963490">
      <w:bodyDiv w:val="1"/>
      <w:marLeft w:val="0"/>
      <w:marRight w:val="0"/>
      <w:marTop w:val="0"/>
      <w:marBottom w:val="0"/>
      <w:divBdr>
        <w:top w:val="none" w:sz="0" w:space="0" w:color="auto"/>
        <w:left w:val="none" w:sz="0" w:space="0" w:color="auto"/>
        <w:bottom w:val="none" w:sz="0" w:space="0" w:color="auto"/>
        <w:right w:val="none" w:sz="0" w:space="0" w:color="auto"/>
      </w:divBdr>
    </w:div>
    <w:div w:id="122700256">
      <w:bodyDiv w:val="1"/>
      <w:marLeft w:val="0"/>
      <w:marRight w:val="0"/>
      <w:marTop w:val="0"/>
      <w:marBottom w:val="0"/>
      <w:divBdr>
        <w:top w:val="none" w:sz="0" w:space="0" w:color="auto"/>
        <w:left w:val="none" w:sz="0" w:space="0" w:color="auto"/>
        <w:bottom w:val="none" w:sz="0" w:space="0" w:color="auto"/>
        <w:right w:val="none" w:sz="0" w:space="0" w:color="auto"/>
      </w:divBdr>
    </w:div>
    <w:div w:id="157693131">
      <w:bodyDiv w:val="1"/>
      <w:marLeft w:val="0"/>
      <w:marRight w:val="0"/>
      <w:marTop w:val="0"/>
      <w:marBottom w:val="0"/>
      <w:divBdr>
        <w:top w:val="none" w:sz="0" w:space="0" w:color="auto"/>
        <w:left w:val="none" w:sz="0" w:space="0" w:color="auto"/>
        <w:bottom w:val="none" w:sz="0" w:space="0" w:color="auto"/>
        <w:right w:val="none" w:sz="0" w:space="0" w:color="auto"/>
      </w:divBdr>
    </w:div>
    <w:div w:id="270288973">
      <w:bodyDiv w:val="1"/>
      <w:marLeft w:val="0"/>
      <w:marRight w:val="0"/>
      <w:marTop w:val="0"/>
      <w:marBottom w:val="0"/>
      <w:divBdr>
        <w:top w:val="none" w:sz="0" w:space="0" w:color="auto"/>
        <w:left w:val="none" w:sz="0" w:space="0" w:color="auto"/>
        <w:bottom w:val="none" w:sz="0" w:space="0" w:color="auto"/>
        <w:right w:val="none" w:sz="0" w:space="0" w:color="auto"/>
      </w:divBdr>
    </w:div>
    <w:div w:id="285619978">
      <w:bodyDiv w:val="1"/>
      <w:marLeft w:val="0"/>
      <w:marRight w:val="0"/>
      <w:marTop w:val="0"/>
      <w:marBottom w:val="0"/>
      <w:divBdr>
        <w:top w:val="none" w:sz="0" w:space="0" w:color="auto"/>
        <w:left w:val="none" w:sz="0" w:space="0" w:color="auto"/>
        <w:bottom w:val="none" w:sz="0" w:space="0" w:color="auto"/>
        <w:right w:val="none" w:sz="0" w:space="0" w:color="auto"/>
      </w:divBdr>
    </w:div>
    <w:div w:id="327758293">
      <w:bodyDiv w:val="1"/>
      <w:marLeft w:val="0"/>
      <w:marRight w:val="0"/>
      <w:marTop w:val="0"/>
      <w:marBottom w:val="0"/>
      <w:divBdr>
        <w:top w:val="none" w:sz="0" w:space="0" w:color="auto"/>
        <w:left w:val="none" w:sz="0" w:space="0" w:color="auto"/>
        <w:bottom w:val="none" w:sz="0" w:space="0" w:color="auto"/>
        <w:right w:val="none" w:sz="0" w:space="0" w:color="auto"/>
      </w:divBdr>
    </w:div>
    <w:div w:id="610014197">
      <w:bodyDiv w:val="1"/>
      <w:marLeft w:val="0"/>
      <w:marRight w:val="0"/>
      <w:marTop w:val="0"/>
      <w:marBottom w:val="0"/>
      <w:divBdr>
        <w:top w:val="none" w:sz="0" w:space="0" w:color="auto"/>
        <w:left w:val="none" w:sz="0" w:space="0" w:color="auto"/>
        <w:bottom w:val="none" w:sz="0" w:space="0" w:color="auto"/>
        <w:right w:val="none" w:sz="0" w:space="0" w:color="auto"/>
      </w:divBdr>
    </w:div>
    <w:div w:id="856820207">
      <w:bodyDiv w:val="1"/>
      <w:marLeft w:val="0"/>
      <w:marRight w:val="0"/>
      <w:marTop w:val="0"/>
      <w:marBottom w:val="0"/>
      <w:divBdr>
        <w:top w:val="none" w:sz="0" w:space="0" w:color="auto"/>
        <w:left w:val="none" w:sz="0" w:space="0" w:color="auto"/>
        <w:bottom w:val="none" w:sz="0" w:space="0" w:color="auto"/>
        <w:right w:val="none" w:sz="0" w:space="0" w:color="auto"/>
      </w:divBdr>
    </w:div>
    <w:div w:id="886986395">
      <w:bodyDiv w:val="1"/>
      <w:marLeft w:val="0"/>
      <w:marRight w:val="0"/>
      <w:marTop w:val="0"/>
      <w:marBottom w:val="0"/>
      <w:divBdr>
        <w:top w:val="none" w:sz="0" w:space="0" w:color="auto"/>
        <w:left w:val="none" w:sz="0" w:space="0" w:color="auto"/>
        <w:bottom w:val="none" w:sz="0" w:space="0" w:color="auto"/>
        <w:right w:val="none" w:sz="0" w:space="0" w:color="auto"/>
      </w:divBdr>
    </w:div>
    <w:div w:id="989600540">
      <w:bodyDiv w:val="1"/>
      <w:marLeft w:val="0"/>
      <w:marRight w:val="0"/>
      <w:marTop w:val="0"/>
      <w:marBottom w:val="0"/>
      <w:divBdr>
        <w:top w:val="none" w:sz="0" w:space="0" w:color="auto"/>
        <w:left w:val="none" w:sz="0" w:space="0" w:color="auto"/>
        <w:bottom w:val="none" w:sz="0" w:space="0" w:color="auto"/>
        <w:right w:val="none" w:sz="0" w:space="0" w:color="auto"/>
      </w:divBdr>
    </w:div>
    <w:div w:id="1173570049">
      <w:bodyDiv w:val="1"/>
      <w:marLeft w:val="0"/>
      <w:marRight w:val="0"/>
      <w:marTop w:val="0"/>
      <w:marBottom w:val="0"/>
      <w:divBdr>
        <w:top w:val="none" w:sz="0" w:space="0" w:color="auto"/>
        <w:left w:val="none" w:sz="0" w:space="0" w:color="auto"/>
        <w:bottom w:val="none" w:sz="0" w:space="0" w:color="auto"/>
        <w:right w:val="none" w:sz="0" w:space="0" w:color="auto"/>
      </w:divBdr>
    </w:div>
    <w:div w:id="1298878492">
      <w:bodyDiv w:val="1"/>
      <w:marLeft w:val="0"/>
      <w:marRight w:val="0"/>
      <w:marTop w:val="0"/>
      <w:marBottom w:val="0"/>
      <w:divBdr>
        <w:top w:val="none" w:sz="0" w:space="0" w:color="auto"/>
        <w:left w:val="none" w:sz="0" w:space="0" w:color="auto"/>
        <w:bottom w:val="none" w:sz="0" w:space="0" w:color="auto"/>
        <w:right w:val="none" w:sz="0" w:space="0" w:color="auto"/>
      </w:divBdr>
    </w:div>
    <w:div w:id="1328241778">
      <w:bodyDiv w:val="1"/>
      <w:marLeft w:val="0"/>
      <w:marRight w:val="0"/>
      <w:marTop w:val="0"/>
      <w:marBottom w:val="0"/>
      <w:divBdr>
        <w:top w:val="none" w:sz="0" w:space="0" w:color="auto"/>
        <w:left w:val="none" w:sz="0" w:space="0" w:color="auto"/>
        <w:bottom w:val="none" w:sz="0" w:space="0" w:color="auto"/>
        <w:right w:val="none" w:sz="0" w:space="0" w:color="auto"/>
      </w:divBdr>
    </w:div>
    <w:div w:id="1344941978">
      <w:bodyDiv w:val="1"/>
      <w:marLeft w:val="0"/>
      <w:marRight w:val="0"/>
      <w:marTop w:val="0"/>
      <w:marBottom w:val="0"/>
      <w:divBdr>
        <w:top w:val="none" w:sz="0" w:space="0" w:color="auto"/>
        <w:left w:val="none" w:sz="0" w:space="0" w:color="auto"/>
        <w:bottom w:val="none" w:sz="0" w:space="0" w:color="auto"/>
        <w:right w:val="none" w:sz="0" w:space="0" w:color="auto"/>
      </w:divBdr>
    </w:div>
    <w:div w:id="1380470039">
      <w:bodyDiv w:val="1"/>
      <w:marLeft w:val="0"/>
      <w:marRight w:val="0"/>
      <w:marTop w:val="0"/>
      <w:marBottom w:val="0"/>
      <w:divBdr>
        <w:top w:val="none" w:sz="0" w:space="0" w:color="auto"/>
        <w:left w:val="none" w:sz="0" w:space="0" w:color="auto"/>
        <w:bottom w:val="none" w:sz="0" w:space="0" w:color="auto"/>
        <w:right w:val="none" w:sz="0" w:space="0" w:color="auto"/>
      </w:divBdr>
    </w:div>
    <w:div w:id="1401437893">
      <w:bodyDiv w:val="1"/>
      <w:marLeft w:val="0"/>
      <w:marRight w:val="0"/>
      <w:marTop w:val="0"/>
      <w:marBottom w:val="0"/>
      <w:divBdr>
        <w:top w:val="none" w:sz="0" w:space="0" w:color="auto"/>
        <w:left w:val="none" w:sz="0" w:space="0" w:color="auto"/>
        <w:bottom w:val="none" w:sz="0" w:space="0" w:color="auto"/>
        <w:right w:val="none" w:sz="0" w:space="0" w:color="auto"/>
      </w:divBdr>
    </w:div>
    <w:div w:id="1540046569">
      <w:bodyDiv w:val="1"/>
      <w:marLeft w:val="0"/>
      <w:marRight w:val="0"/>
      <w:marTop w:val="0"/>
      <w:marBottom w:val="0"/>
      <w:divBdr>
        <w:top w:val="none" w:sz="0" w:space="0" w:color="auto"/>
        <w:left w:val="none" w:sz="0" w:space="0" w:color="auto"/>
        <w:bottom w:val="none" w:sz="0" w:space="0" w:color="auto"/>
        <w:right w:val="none" w:sz="0" w:space="0" w:color="auto"/>
      </w:divBdr>
    </w:div>
    <w:div w:id="1612203322">
      <w:bodyDiv w:val="1"/>
      <w:marLeft w:val="0"/>
      <w:marRight w:val="0"/>
      <w:marTop w:val="0"/>
      <w:marBottom w:val="0"/>
      <w:divBdr>
        <w:top w:val="none" w:sz="0" w:space="0" w:color="auto"/>
        <w:left w:val="none" w:sz="0" w:space="0" w:color="auto"/>
        <w:bottom w:val="none" w:sz="0" w:space="0" w:color="auto"/>
        <w:right w:val="none" w:sz="0" w:space="0" w:color="auto"/>
      </w:divBdr>
    </w:div>
    <w:div w:id="1638487061">
      <w:bodyDiv w:val="1"/>
      <w:marLeft w:val="0"/>
      <w:marRight w:val="0"/>
      <w:marTop w:val="0"/>
      <w:marBottom w:val="0"/>
      <w:divBdr>
        <w:top w:val="none" w:sz="0" w:space="0" w:color="auto"/>
        <w:left w:val="none" w:sz="0" w:space="0" w:color="auto"/>
        <w:bottom w:val="none" w:sz="0" w:space="0" w:color="auto"/>
        <w:right w:val="none" w:sz="0" w:space="0" w:color="auto"/>
      </w:divBdr>
    </w:div>
    <w:div w:id="1652563809">
      <w:bodyDiv w:val="1"/>
      <w:marLeft w:val="0"/>
      <w:marRight w:val="0"/>
      <w:marTop w:val="0"/>
      <w:marBottom w:val="0"/>
      <w:divBdr>
        <w:top w:val="none" w:sz="0" w:space="0" w:color="auto"/>
        <w:left w:val="none" w:sz="0" w:space="0" w:color="auto"/>
        <w:bottom w:val="none" w:sz="0" w:space="0" w:color="auto"/>
        <w:right w:val="none" w:sz="0" w:space="0" w:color="auto"/>
      </w:divBdr>
      <w:divsChild>
        <w:div w:id="188685567">
          <w:marLeft w:val="0"/>
          <w:marRight w:val="0"/>
          <w:marTop w:val="0"/>
          <w:marBottom w:val="0"/>
          <w:divBdr>
            <w:top w:val="none" w:sz="0" w:space="0" w:color="auto"/>
            <w:left w:val="none" w:sz="0" w:space="0" w:color="auto"/>
            <w:bottom w:val="none" w:sz="0" w:space="0" w:color="auto"/>
            <w:right w:val="none" w:sz="0" w:space="0" w:color="auto"/>
          </w:divBdr>
          <w:divsChild>
            <w:div w:id="1717970530">
              <w:marLeft w:val="0"/>
              <w:marRight w:val="0"/>
              <w:marTop w:val="0"/>
              <w:marBottom w:val="0"/>
              <w:divBdr>
                <w:top w:val="none" w:sz="0" w:space="0" w:color="auto"/>
                <w:left w:val="none" w:sz="0" w:space="0" w:color="auto"/>
                <w:bottom w:val="none" w:sz="0" w:space="0" w:color="auto"/>
                <w:right w:val="none" w:sz="0" w:space="0" w:color="auto"/>
              </w:divBdr>
              <w:divsChild>
                <w:div w:id="876433246">
                  <w:marLeft w:val="0"/>
                  <w:marRight w:val="0"/>
                  <w:marTop w:val="0"/>
                  <w:marBottom w:val="0"/>
                  <w:divBdr>
                    <w:top w:val="none" w:sz="0" w:space="0" w:color="auto"/>
                    <w:left w:val="none" w:sz="0" w:space="0" w:color="auto"/>
                    <w:bottom w:val="none" w:sz="0" w:space="0" w:color="auto"/>
                    <w:right w:val="none" w:sz="0" w:space="0" w:color="auto"/>
                  </w:divBdr>
                  <w:divsChild>
                    <w:div w:id="1618638214">
                      <w:marLeft w:val="0"/>
                      <w:marRight w:val="0"/>
                      <w:marTop w:val="0"/>
                      <w:marBottom w:val="0"/>
                      <w:divBdr>
                        <w:top w:val="none" w:sz="0" w:space="0" w:color="auto"/>
                        <w:left w:val="none" w:sz="0" w:space="0" w:color="auto"/>
                        <w:bottom w:val="none" w:sz="0" w:space="0" w:color="auto"/>
                        <w:right w:val="none" w:sz="0" w:space="0" w:color="auto"/>
                      </w:divBdr>
                      <w:divsChild>
                        <w:div w:id="1717123852">
                          <w:marLeft w:val="0"/>
                          <w:marRight w:val="0"/>
                          <w:marTop w:val="0"/>
                          <w:marBottom w:val="0"/>
                          <w:divBdr>
                            <w:top w:val="none" w:sz="0" w:space="0" w:color="auto"/>
                            <w:left w:val="none" w:sz="0" w:space="0" w:color="auto"/>
                            <w:bottom w:val="none" w:sz="0" w:space="0" w:color="auto"/>
                            <w:right w:val="none" w:sz="0" w:space="0" w:color="auto"/>
                          </w:divBdr>
                          <w:divsChild>
                            <w:div w:id="1444691638">
                              <w:marLeft w:val="0"/>
                              <w:marRight w:val="0"/>
                              <w:marTop w:val="0"/>
                              <w:marBottom w:val="0"/>
                              <w:divBdr>
                                <w:top w:val="none" w:sz="0" w:space="0" w:color="auto"/>
                                <w:left w:val="none" w:sz="0" w:space="0" w:color="auto"/>
                                <w:bottom w:val="none" w:sz="0" w:space="0" w:color="auto"/>
                                <w:right w:val="none" w:sz="0" w:space="0" w:color="auto"/>
                              </w:divBdr>
                              <w:divsChild>
                                <w:div w:id="1549682852">
                                  <w:marLeft w:val="0"/>
                                  <w:marRight w:val="0"/>
                                  <w:marTop w:val="0"/>
                                  <w:marBottom w:val="0"/>
                                  <w:divBdr>
                                    <w:top w:val="none" w:sz="0" w:space="0" w:color="auto"/>
                                    <w:left w:val="none" w:sz="0" w:space="0" w:color="auto"/>
                                    <w:bottom w:val="none" w:sz="0" w:space="0" w:color="auto"/>
                                    <w:right w:val="none" w:sz="0" w:space="0" w:color="auto"/>
                                  </w:divBdr>
                                </w:div>
                                <w:div w:id="1629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91375">
          <w:marLeft w:val="0"/>
          <w:marRight w:val="0"/>
          <w:marTop w:val="0"/>
          <w:marBottom w:val="0"/>
          <w:divBdr>
            <w:top w:val="none" w:sz="0" w:space="0" w:color="auto"/>
            <w:left w:val="none" w:sz="0" w:space="0" w:color="auto"/>
            <w:bottom w:val="none" w:sz="0" w:space="0" w:color="auto"/>
            <w:right w:val="none" w:sz="0" w:space="0" w:color="auto"/>
          </w:divBdr>
          <w:divsChild>
            <w:div w:id="1505245639">
              <w:marLeft w:val="0"/>
              <w:marRight w:val="0"/>
              <w:marTop w:val="0"/>
              <w:marBottom w:val="0"/>
              <w:divBdr>
                <w:top w:val="none" w:sz="0" w:space="0" w:color="auto"/>
                <w:left w:val="none" w:sz="0" w:space="0" w:color="auto"/>
                <w:bottom w:val="none" w:sz="0" w:space="0" w:color="auto"/>
                <w:right w:val="none" w:sz="0" w:space="0" w:color="auto"/>
              </w:divBdr>
              <w:divsChild>
                <w:div w:id="760218583">
                  <w:marLeft w:val="0"/>
                  <w:marRight w:val="0"/>
                  <w:marTop w:val="0"/>
                  <w:marBottom w:val="0"/>
                  <w:divBdr>
                    <w:top w:val="none" w:sz="0" w:space="0" w:color="auto"/>
                    <w:left w:val="none" w:sz="0" w:space="0" w:color="auto"/>
                    <w:bottom w:val="none" w:sz="0" w:space="0" w:color="auto"/>
                    <w:right w:val="none" w:sz="0" w:space="0" w:color="auto"/>
                  </w:divBdr>
                  <w:divsChild>
                    <w:div w:id="219639170">
                      <w:marLeft w:val="0"/>
                      <w:marRight w:val="0"/>
                      <w:marTop w:val="0"/>
                      <w:marBottom w:val="0"/>
                      <w:divBdr>
                        <w:top w:val="none" w:sz="0" w:space="0" w:color="auto"/>
                        <w:left w:val="none" w:sz="0" w:space="0" w:color="auto"/>
                        <w:bottom w:val="none" w:sz="0" w:space="0" w:color="auto"/>
                        <w:right w:val="none" w:sz="0" w:space="0" w:color="auto"/>
                      </w:divBdr>
                      <w:divsChild>
                        <w:div w:id="4779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240">
      <w:bodyDiv w:val="1"/>
      <w:marLeft w:val="0"/>
      <w:marRight w:val="0"/>
      <w:marTop w:val="0"/>
      <w:marBottom w:val="0"/>
      <w:divBdr>
        <w:top w:val="none" w:sz="0" w:space="0" w:color="auto"/>
        <w:left w:val="none" w:sz="0" w:space="0" w:color="auto"/>
        <w:bottom w:val="none" w:sz="0" w:space="0" w:color="auto"/>
        <w:right w:val="none" w:sz="0" w:space="0" w:color="auto"/>
      </w:divBdr>
    </w:div>
    <w:div w:id="1839077814">
      <w:bodyDiv w:val="1"/>
      <w:marLeft w:val="0"/>
      <w:marRight w:val="0"/>
      <w:marTop w:val="0"/>
      <w:marBottom w:val="0"/>
      <w:divBdr>
        <w:top w:val="none" w:sz="0" w:space="0" w:color="auto"/>
        <w:left w:val="none" w:sz="0" w:space="0" w:color="auto"/>
        <w:bottom w:val="none" w:sz="0" w:space="0" w:color="auto"/>
        <w:right w:val="none" w:sz="0" w:space="0" w:color="auto"/>
      </w:divBdr>
    </w:div>
    <w:div w:id="1994524934">
      <w:bodyDiv w:val="1"/>
      <w:marLeft w:val="0"/>
      <w:marRight w:val="0"/>
      <w:marTop w:val="0"/>
      <w:marBottom w:val="0"/>
      <w:divBdr>
        <w:top w:val="none" w:sz="0" w:space="0" w:color="auto"/>
        <w:left w:val="none" w:sz="0" w:space="0" w:color="auto"/>
        <w:bottom w:val="none" w:sz="0" w:space="0" w:color="auto"/>
        <w:right w:val="none" w:sz="0" w:space="0" w:color="auto"/>
      </w:divBdr>
    </w:div>
    <w:div w:id="2028094719">
      <w:bodyDiv w:val="1"/>
      <w:marLeft w:val="0"/>
      <w:marRight w:val="0"/>
      <w:marTop w:val="0"/>
      <w:marBottom w:val="0"/>
      <w:divBdr>
        <w:top w:val="none" w:sz="0" w:space="0" w:color="auto"/>
        <w:left w:val="none" w:sz="0" w:space="0" w:color="auto"/>
        <w:bottom w:val="none" w:sz="0" w:space="0" w:color="auto"/>
        <w:right w:val="none" w:sz="0" w:space="0" w:color="auto"/>
      </w:divBdr>
    </w:div>
    <w:div w:id="2133984633">
      <w:bodyDiv w:val="1"/>
      <w:marLeft w:val="0"/>
      <w:marRight w:val="0"/>
      <w:marTop w:val="0"/>
      <w:marBottom w:val="0"/>
      <w:divBdr>
        <w:top w:val="none" w:sz="0" w:space="0" w:color="auto"/>
        <w:left w:val="none" w:sz="0" w:space="0" w:color="auto"/>
        <w:bottom w:val="none" w:sz="0" w:space="0" w:color="auto"/>
        <w:right w:val="none" w:sz="0" w:space="0" w:color="auto"/>
      </w:divBdr>
    </w:div>
    <w:div w:id="2137139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gandha\Dropbox\SIPs%20in%20Supply-Side%20Climate%20Policy\NCA\Final%20Ac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Assumptions!$F$53</c:f>
              <c:strCache>
                <c:ptCount val="1"/>
                <c:pt idx="0">
                  <c:v>Total (tCO2/ha/yr)</c:v>
                </c:pt>
              </c:strCache>
            </c:strRef>
          </c:tx>
          <c:spPr>
            <a:solidFill>
              <a:schemeClr val="accent1"/>
            </a:solidFill>
            <a:ln>
              <a:noFill/>
            </a:ln>
            <a:effectLst/>
          </c:spPr>
          <c:invertIfNegative val="0"/>
          <c:cat>
            <c:strRef>
              <c:f>Assumptions!$E$54:$E$73</c:f>
              <c:strCache>
                <c:ptCount val="20"/>
                <c:pt idx="0">
                  <c:v>  0-5</c:v>
                </c:pt>
                <c:pt idx="1">
                  <c:v>  5-10</c:v>
                </c:pt>
                <c:pt idx="2">
                  <c:v> 10-15</c:v>
                </c:pt>
                <c:pt idx="3">
                  <c:v> 15-20</c:v>
                </c:pt>
                <c:pt idx="4">
                  <c:v> 20-25</c:v>
                </c:pt>
                <c:pt idx="5">
                  <c:v> 25-30</c:v>
                </c:pt>
                <c:pt idx="6">
                  <c:v> 30-35</c:v>
                </c:pt>
                <c:pt idx="7">
                  <c:v> 35-40</c:v>
                </c:pt>
                <c:pt idx="8">
                  <c:v> 40-45</c:v>
                </c:pt>
                <c:pt idx="9">
                  <c:v> 45-50</c:v>
                </c:pt>
                <c:pt idx="10">
                  <c:v> 50-55</c:v>
                </c:pt>
                <c:pt idx="11">
                  <c:v> 55-60</c:v>
                </c:pt>
                <c:pt idx="12">
                  <c:v> 60-65</c:v>
                </c:pt>
                <c:pt idx="13">
                  <c:v> 65-70</c:v>
                </c:pt>
                <c:pt idx="14">
                  <c:v> 70-75</c:v>
                </c:pt>
                <c:pt idx="15">
                  <c:v> 75-80</c:v>
                </c:pt>
                <c:pt idx="16">
                  <c:v> 80-85</c:v>
                </c:pt>
                <c:pt idx="17">
                  <c:v> 85-90</c:v>
                </c:pt>
                <c:pt idx="18">
                  <c:v> 90-95</c:v>
                </c:pt>
                <c:pt idx="19">
                  <c:v> 95-100</c:v>
                </c:pt>
              </c:strCache>
            </c:strRef>
          </c:cat>
          <c:val>
            <c:numRef>
              <c:f>Assumptions!$F$54:$F$73</c:f>
              <c:numCache>
                <c:formatCode>General</c:formatCode>
                <c:ptCount val="20"/>
                <c:pt idx="0">
                  <c:v>0.37</c:v>
                </c:pt>
                <c:pt idx="1">
                  <c:v>0.6</c:v>
                </c:pt>
                <c:pt idx="2">
                  <c:v>1.1200000000000001</c:v>
                </c:pt>
                <c:pt idx="3">
                  <c:v>2.68</c:v>
                </c:pt>
                <c:pt idx="4">
                  <c:v>7.46</c:v>
                </c:pt>
                <c:pt idx="5">
                  <c:v>22.03</c:v>
                </c:pt>
                <c:pt idx="6">
                  <c:v>35.299999999999997</c:v>
                </c:pt>
                <c:pt idx="7">
                  <c:v>12.36</c:v>
                </c:pt>
                <c:pt idx="8">
                  <c:v>12.09</c:v>
                </c:pt>
                <c:pt idx="9">
                  <c:v>7.98</c:v>
                </c:pt>
                <c:pt idx="10">
                  <c:v>6.2</c:v>
                </c:pt>
                <c:pt idx="11">
                  <c:v>5.39</c:v>
                </c:pt>
                <c:pt idx="12">
                  <c:v>5.31</c:v>
                </c:pt>
                <c:pt idx="13">
                  <c:v>5.45</c:v>
                </c:pt>
                <c:pt idx="14">
                  <c:v>5.01</c:v>
                </c:pt>
                <c:pt idx="15">
                  <c:v>4.6099999999999977</c:v>
                </c:pt>
                <c:pt idx="16">
                  <c:v>4.72</c:v>
                </c:pt>
                <c:pt idx="17">
                  <c:v>4.4800000000000004</c:v>
                </c:pt>
                <c:pt idx="18">
                  <c:v>4.38</c:v>
                </c:pt>
                <c:pt idx="19">
                  <c:v>4.03</c:v>
                </c:pt>
              </c:numCache>
            </c:numRef>
          </c:val>
          <c:extLst>
            <c:ext xmlns:c16="http://schemas.microsoft.com/office/drawing/2014/chart" uri="{C3380CC4-5D6E-409C-BE32-E72D297353CC}">
              <c16:uniqueId val="{00000000-B21D-4FD1-8D80-BFC42DD3771F}"/>
            </c:ext>
          </c:extLst>
        </c:ser>
        <c:dLbls>
          <c:showLegendKey val="0"/>
          <c:showVal val="0"/>
          <c:showCatName val="0"/>
          <c:showSerName val="0"/>
          <c:showPercent val="0"/>
          <c:showBubbleSize val="0"/>
        </c:dLbls>
        <c:gapWidth val="219"/>
        <c:overlap val="-27"/>
        <c:axId val="-2091109080"/>
        <c:axId val="-2091066488"/>
      </c:barChart>
      <c:catAx>
        <c:axId val="-2091109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a:ea typeface="+mn-ea"/>
                    <a:cs typeface="+mn-cs"/>
                  </a:defRPr>
                </a:pPr>
                <a:r>
                  <a:rPr lang="en-GB" baseline="0">
                    <a:solidFill>
                      <a:schemeClr val="tx1"/>
                    </a:solidFill>
                    <a:latin typeface="Times New Roman"/>
                  </a:rPr>
                  <a:t>Tree age (years)</a:t>
                </a:r>
                <a:endParaRPr lang="en-GB">
                  <a:solidFill>
                    <a:schemeClr val="tx1"/>
                  </a:solidFill>
                  <a:latin typeface="Times New Roman"/>
                </a:endParaRPr>
              </a:p>
            </c:rich>
          </c:tx>
          <c:layout>
            <c:manualLayout>
              <c:xMode val="edge"/>
              <c:yMode val="edge"/>
              <c:x val="0.40883126611386"/>
              <c:y val="0.91129104813315398"/>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vert="horz" wrap="square" lIns="0" anchor="ctr" anchorCtr="1">
            <a:noAutofit/>
          </a:bodyPr>
          <a:lstStyle/>
          <a:p>
            <a:pPr>
              <a:defRPr sz="800" b="0" i="0" u="none" strike="noStrike" kern="20100" spc="2000" baseline="0">
                <a:solidFill>
                  <a:schemeClr val="tx1"/>
                </a:solidFill>
                <a:latin typeface="Times New Roman"/>
                <a:ea typeface="+mn-ea"/>
                <a:cs typeface="+mn-cs"/>
              </a:defRPr>
            </a:pPr>
            <a:endParaRPr lang="en-US"/>
          </a:p>
        </c:txPr>
        <c:crossAx val="-2091066488"/>
        <c:crosses val="autoZero"/>
        <c:auto val="1"/>
        <c:lblAlgn val="ctr"/>
        <c:lblOffset val="125"/>
        <c:tickLblSkip val="1"/>
        <c:noMultiLvlLbl val="0"/>
      </c:catAx>
      <c:valAx>
        <c:axId val="-2091066488"/>
        <c:scaling>
          <c:orientation val="minMax"/>
        </c:scaling>
        <c:delete val="0"/>
        <c:axPos val="l"/>
        <c:majorGridlines>
          <c:spPr>
            <a:ln w="9525" cap="flat" cmpd="sng" algn="ctr">
              <a:noFill/>
              <a:round/>
            </a:ln>
            <a:effectLst/>
          </c:spPr>
        </c:majorGridlines>
        <c:title>
          <c:tx>
            <c:rich>
              <a:bodyPr rot="-5400000" spcFirstLastPara="1" vertOverflow="ellipsis" vert="horz" wrap="square" lIns="0" anchor="ctr" anchorCtr="1">
                <a:noAutofit/>
              </a:bodyPr>
              <a:lstStyle/>
              <a:p>
                <a:pPr>
                  <a:defRPr sz="1000" b="0" i="0" u="none" strike="noStrike" kern="1200" cap="none" baseline="0">
                    <a:solidFill>
                      <a:schemeClr val="tx1"/>
                    </a:solidFill>
                    <a:latin typeface="Times New Roman"/>
                    <a:ea typeface="+mn-ea"/>
                    <a:cs typeface="+mn-cs"/>
                  </a:defRPr>
                </a:pPr>
                <a:r>
                  <a:rPr lang="en-US" sz="1000" b="0" i="0" cap="none" baseline="0">
                    <a:solidFill>
                      <a:schemeClr val="tx1"/>
                    </a:solidFill>
                    <a:effectLst/>
                    <a:latin typeface="Times New Roman"/>
                  </a:rPr>
                  <a:t>Total sequestration</a:t>
                </a:r>
              </a:p>
              <a:p>
                <a:pPr>
                  <a:defRPr sz="1000" b="0" i="0" u="none" strike="noStrike" kern="1200" cap="none" baseline="0">
                    <a:solidFill>
                      <a:schemeClr val="tx1"/>
                    </a:solidFill>
                    <a:latin typeface="Times New Roman"/>
                    <a:ea typeface="+mn-ea"/>
                    <a:cs typeface="+mn-cs"/>
                  </a:defRPr>
                </a:pPr>
                <a:r>
                  <a:rPr lang="en-US" sz="1000" b="0" i="0" cap="none" baseline="0">
                    <a:solidFill>
                      <a:schemeClr val="tx1"/>
                    </a:solidFill>
                    <a:effectLst/>
                    <a:latin typeface="Times New Roman"/>
                  </a:rPr>
                  <a:t> (tCO</a:t>
                </a:r>
                <a:r>
                  <a:rPr lang="en-US" sz="1000" b="0" i="0" cap="none" baseline="-25000">
                    <a:solidFill>
                      <a:schemeClr val="tx1"/>
                    </a:solidFill>
                    <a:effectLst/>
                    <a:latin typeface="Times New Roman"/>
                  </a:rPr>
                  <a:t>2</a:t>
                </a:r>
                <a:r>
                  <a:rPr lang="en-US" sz="1000" b="0" i="0" cap="none" baseline="0">
                    <a:solidFill>
                      <a:schemeClr val="tx1"/>
                    </a:solidFill>
                    <a:effectLst/>
                    <a:latin typeface="Times New Roman"/>
                  </a:rPr>
                  <a:t>/ha/yr)</a:t>
                </a:r>
                <a:endParaRPr lang="en-GB" sz="1000" cap="none">
                  <a:solidFill>
                    <a:schemeClr val="tx1"/>
                  </a:solidFill>
                  <a:effectLst/>
                  <a:latin typeface="Times New Roman"/>
                </a:endParaRPr>
              </a:p>
            </c:rich>
          </c:tx>
          <c:layout>
            <c:manualLayout>
              <c:xMode val="edge"/>
              <c:yMode val="edge"/>
              <c:x val="2.21238938053097E-2"/>
              <c:y val="0.199244122824728"/>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a:ea typeface="+mn-ea"/>
                <a:cs typeface="+mn-cs"/>
              </a:defRPr>
            </a:pPr>
            <a:endParaRPr lang="en-US"/>
          </a:p>
        </c:txPr>
        <c:crossAx val="-2091109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468A-FFE3-4B5D-A7A6-7CE19F0D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Rafaty</dc:creator>
  <cp:keywords/>
  <dc:description/>
  <cp:lastModifiedBy>Vijayaraghavan T.S.</cp:lastModifiedBy>
  <cp:revision>2</cp:revision>
  <dcterms:created xsi:type="dcterms:W3CDTF">2020-02-03T07:04:00Z</dcterms:created>
  <dcterms:modified xsi:type="dcterms:W3CDTF">2020-02-03T07:04:00Z</dcterms:modified>
</cp:coreProperties>
</file>