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28" w:rsidRDefault="004D7528" w:rsidP="004D7528">
      <w:pPr>
        <w:spacing w:line="480" w:lineRule="auto"/>
        <w:rPr>
          <w:rFonts w:hAnsi="Times New Roman" w:cs="Times New Roman"/>
          <w:b/>
        </w:rPr>
      </w:pPr>
      <w:r>
        <w:rPr>
          <w:rFonts w:hAnsi="Times New Roman" w:cs="Times New Roman"/>
          <w:b/>
        </w:rPr>
        <w:t xml:space="preserve">Supplementary Material I: overview of enabling conditions to deal with wicked problems based on </w:t>
      </w:r>
      <w:proofErr w:type="spellStart"/>
      <w:r>
        <w:rPr>
          <w:rFonts w:hAnsi="Times New Roman" w:cs="Times New Roman"/>
          <w:b/>
        </w:rPr>
        <w:t>Termeer</w:t>
      </w:r>
      <w:proofErr w:type="spellEnd"/>
      <w:r>
        <w:rPr>
          <w:rFonts w:hAnsi="Times New Roman" w:cs="Times New Roman"/>
          <w:b/>
        </w:rPr>
        <w:t xml:space="preserve"> et al. (2013) and </w:t>
      </w:r>
      <w:proofErr w:type="spellStart"/>
      <w:r>
        <w:rPr>
          <w:rFonts w:hAnsi="Times New Roman" w:cs="Times New Roman"/>
          <w:b/>
        </w:rPr>
        <w:t>Termeer</w:t>
      </w:r>
      <w:proofErr w:type="spellEnd"/>
      <w:r>
        <w:rPr>
          <w:rFonts w:hAnsi="Times New Roman" w:cs="Times New Roman"/>
          <w:b/>
        </w:rPr>
        <w:t xml:space="preserve"> &amp; </w:t>
      </w:r>
      <w:proofErr w:type="spellStart"/>
      <w:r>
        <w:rPr>
          <w:rFonts w:hAnsi="Times New Roman" w:cs="Times New Roman"/>
          <w:b/>
        </w:rPr>
        <w:t>Dewulf</w:t>
      </w:r>
      <w:proofErr w:type="spellEnd"/>
      <w:r>
        <w:rPr>
          <w:rFonts w:hAnsi="Times New Roman" w:cs="Times New Roman"/>
          <w:b/>
        </w:rPr>
        <w:t xml:space="preserve"> (2014)</w:t>
      </w:r>
    </w:p>
    <w:p w:rsidR="004D7528" w:rsidRDefault="004D7528" w:rsidP="004D7528">
      <w:pPr>
        <w:spacing w:line="480" w:lineRule="auto"/>
        <w:rPr>
          <w:rFonts w:hAnsi="Times New Roman" w:cs="Times New Roman"/>
          <w:b/>
        </w:rPr>
      </w:pPr>
    </w:p>
    <w:p w:rsidR="004D7528" w:rsidRPr="00B72771"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b/>
          <w:bCs/>
        </w:rPr>
      </w:pPr>
      <w:r w:rsidRPr="00812757">
        <w:rPr>
          <w:rFonts w:hAnsi="Times New Roman" w:cs="Times New Roman"/>
          <w:b/>
          <w:bCs/>
        </w:rPr>
        <w:t>Reflexivity:</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Tolerance of ambiguity</w:t>
      </w:r>
      <w:r>
        <w:rPr>
          <w:rFonts w:hAnsi="Times New Roman" w:cs="Times New Roman"/>
        </w:rPr>
        <w:t xml:space="preserve">: noticing and accepting the variety of perspectives through which a problem is approached. </w:t>
      </w:r>
      <w:proofErr w:type="gramStart"/>
      <w:r>
        <w:rPr>
          <w:rFonts w:hAnsi="Times New Roman" w:cs="Times New Roman"/>
        </w:rPr>
        <w:t>Can be enhanced by boundary-spanning organizations or structures between policy sectors or governance levels.</w:t>
      </w:r>
      <w:proofErr w:type="gramEnd"/>
      <w:r>
        <w:rPr>
          <w:rFonts w:hAnsi="Times New Roman" w:cs="Times New Roman"/>
        </w:rPr>
        <w:t xml:space="preserve"> </w:t>
      </w:r>
    </w:p>
    <w:p w:rsidR="004D7528" w:rsidRPr="00FF192F"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roofErr w:type="gramStart"/>
      <w:r w:rsidRPr="00812757">
        <w:rPr>
          <w:rFonts w:hAnsi="Times New Roman" w:cs="Times New Roman"/>
          <w:i/>
          <w:iCs/>
        </w:rPr>
        <w:t>Embedding reflexive activities</w:t>
      </w:r>
      <w:r>
        <w:rPr>
          <w:rFonts w:hAnsi="Times New Roman" w:cs="Times New Roman"/>
        </w:rPr>
        <w:t>: the embedding of temporary reflexive arrangements in the broader socio-political context, so that the co-ordination of frame differences also becomes acceptable to others who are not involved in the reflexive activities themselves.</w:t>
      </w:r>
      <w:proofErr w:type="gramEnd"/>
      <w:r>
        <w:rPr>
          <w:rFonts w:hAnsi="Times New Roman" w:cs="Times New Roman"/>
        </w:rPr>
        <w:t xml:space="preserve"> </w:t>
      </w:r>
      <w:proofErr w:type="gramStart"/>
      <w:r>
        <w:rPr>
          <w:rFonts w:hAnsi="Times New Roman" w:cs="Times New Roman"/>
        </w:rPr>
        <w:t>Both relevan</w:t>
      </w:r>
      <w:bookmarkStart w:id="0" w:name="_GoBack"/>
      <w:bookmarkEnd w:id="0"/>
      <w:r>
        <w:rPr>
          <w:rFonts w:hAnsi="Times New Roman" w:cs="Times New Roman"/>
        </w:rPr>
        <w:t>t for within organizations and for the relation between organization and their broader environment.</w:t>
      </w:r>
      <w:proofErr w:type="gramEnd"/>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Process skills</w:t>
      </w:r>
      <w:r>
        <w:rPr>
          <w:rFonts w:hAnsi="Times New Roman" w:cs="Times New Roman"/>
        </w:rPr>
        <w:t>: the ability of individuals to stimulate reflexive activities. This can be done by hiring a process manager or facilitator.</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Pr="00B72771"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b/>
          <w:bCs/>
        </w:rPr>
      </w:pPr>
      <w:r w:rsidRPr="00812757">
        <w:rPr>
          <w:rFonts w:hAnsi="Times New Roman" w:cs="Times New Roman"/>
          <w:b/>
          <w:bCs/>
        </w:rPr>
        <w:t>Resilience:</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Tolerance of uncertainties</w:t>
      </w:r>
      <w:r>
        <w:rPr>
          <w:rFonts w:hAnsi="Times New Roman" w:cs="Times New Roman"/>
        </w:rPr>
        <w:t>: a culture that tolerates continuous processes of change in unpredictable directions</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Bridging arrangements</w:t>
      </w:r>
      <w:r>
        <w:rPr>
          <w:rFonts w:hAnsi="Times New Roman" w:cs="Times New Roman"/>
        </w:rPr>
        <w:t xml:space="preserve">: bridging arrangements between scientists and </w:t>
      </w:r>
      <w:proofErr w:type="gramStart"/>
      <w:r>
        <w:rPr>
          <w:rFonts w:hAnsi="Times New Roman" w:cs="Times New Roman"/>
        </w:rPr>
        <w:t>policymakers,</w:t>
      </w:r>
      <w:proofErr w:type="gramEnd"/>
      <w:r>
        <w:rPr>
          <w:rFonts w:hAnsi="Times New Roman" w:cs="Times New Roman"/>
        </w:rPr>
        <w:t xml:space="preserve"> or between different sector, networks, levels, etc. enable linkages between different types of actors and knowledge, which enhances the system’s adaptability.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lastRenderedPageBreak/>
        <w:t>Flexible institutions</w:t>
      </w:r>
      <w:r>
        <w:rPr>
          <w:rFonts w:hAnsi="Times New Roman" w:cs="Times New Roman"/>
        </w:rPr>
        <w:t xml:space="preserve">: institutional adjustments are often required to mobilize the necessary actors and enable them to adapt quickly. </w:t>
      </w:r>
      <w:proofErr w:type="gramStart"/>
      <w:r>
        <w:rPr>
          <w:rFonts w:hAnsi="Times New Roman" w:cs="Times New Roman"/>
        </w:rPr>
        <w:t>Includes flexible legislation that allows for experiments and tailor-made solutions, decentralizing decision-making authority, and room for self-governance.</w:t>
      </w:r>
      <w:proofErr w:type="gramEnd"/>
      <w:r>
        <w:rPr>
          <w:rFonts w:hAnsi="Times New Roman" w:cs="Times New Roman"/>
        </w:rPr>
        <w:t xml:space="preserve">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Redundancy</w:t>
      </w:r>
      <w:r>
        <w:rPr>
          <w:rFonts w:hAnsi="Times New Roman" w:cs="Times New Roman"/>
        </w:rPr>
        <w:t xml:space="preserve">: the reliability of the systems improves with high levels of redundancy, i.e. through back-up systems.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Improvisation skills</w:t>
      </w:r>
      <w:r>
        <w:rPr>
          <w:rFonts w:hAnsi="Times New Roman" w:cs="Times New Roman"/>
        </w:rPr>
        <w:t xml:space="preserve">: the ability of individuals to improvise when faced with change and surprises.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Pr="00B72771"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b/>
          <w:bCs/>
        </w:rPr>
      </w:pPr>
      <w:r w:rsidRPr="00812757">
        <w:rPr>
          <w:rFonts w:hAnsi="Times New Roman" w:cs="Times New Roman"/>
          <w:b/>
          <w:bCs/>
        </w:rPr>
        <w:t xml:space="preserve">Responsiveness: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Tolerance of information overload</w:t>
      </w:r>
      <w:r>
        <w:rPr>
          <w:rFonts w:hAnsi="Times New Roman" w:cs="Times New Roman"/>
        </w:rPr>
        <w:t xml:space="preserve">: being capable of monitoring attention and filtering relevant information, for example through corporate communication departments. </w:t>
      </w:r>
      <w:proofErr w:type="gramStart"/>
      <w:r>
        <w:rPr>
          <w:rFonts w:hAnsi="Times New Roman" w:cs="Times New Roman"/>
        </w:rPr>
        <w:t>Should detect issues that will potentially be high on the agenda in the near future.</w:t>
      </w:r>
      <w:proofErr w:type="gramEnd"/>
      <w:r>
        <w:rPr>
          <w:rFonts w:hAnsi="Times New Roman" w:cs="Times New Roman"/>
        </w:rPr>
        <w:t xml:space="preserve">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Be present where the attention is</w:t>
      </w:r>
      <w:r>
        <w:rPr>
          <w:rFonts w:hAnsi="Times New Roman" w:cs="Times New Roman"/>
        </w:rPr>
        <w:t xml:space="preserve">: being present in venues where attention is being produced, such as public debates, press releases, </w:t>
      </w:r>
      <w:proofErr w:type="gramStart"/>
      <w:r>
        <w:rPr>
          <w:rFonts w:hAnsi="Times New Roman" w:cs="Times New Roman"/>
        </w:rPr>
        <w:t>social</w:t>
      </w:r>
      <w:proofErr w:type="gramEnd"/>
      <w:r>
        <w:rPr>
          <w:rFonts w:hAnsi="Times New Roman" w:cs="Times New Roman"/>
        </w:rPr>
        <w:t xml:space="preserve"> media.</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Parallel structures</w:t>
      </w:r>
      <w:r>
        <w:rPr>
          <w:rFonts w:hAnsi="Times New Roman" w:cs="Times New Roman"/>
        </w:rPr>
        <w:t>: dividing system in various subsystems that communicate with different target groups. Can help to cope with variety of audiences, but may also result in compartmentalization.</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Political-sensitivity skills</w:t>
      </w:r>
      <w:r>
        <w:rPr>
          <w:rFonts w:hAnsi="Times New Roman" w:cs="Times New Roman"/>
        </w:rPr>
        <w:t>: the ability to ‘know’ when to engage responding to extreme calls for attention and when not. For example through developing response strategies or prepare policy solutions that are feasible and acceptable in case of a media hype. This requires political-sensitivity skills.</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Pr="00B72771"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b/>
          <w:bCs/>
        </w:rPr>
      </w:pPr>
      <w:r w:rsidRPr="00812757">
        <w:rPr>
          <w:rFonts w:hAnsi="Times New Roman" w:cs="Times New Roman"/>
          <w:b/>
          <w:bCs/>
        </w:rPr>
        <w:t>Revitalization:</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lastRenderedPageBreak/>
        <w:t>Tolerance of disappointments</w:t>
      </w:r>
      <w:r>
        <w:rPr>
          <w:rFonts w:hAnsi="Times New Roman" w:cs="Times New Roman"/>
        </w:rPr>
        <w:t>: ability of actors not to be overwhelmed by disappointments but to try to step out of stagnated patterns and to understand what is going on in terms of interactions patterns.</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Readiness to introduce third actors and contents</w:t>
      </w:r>
      <w:r>
        <w:rPr>
          <w:rFonts w:hAnsi="Times New Roman" w:cs="Times New Roman"/>
        </w:rPr>
        <w:t>: b</w:t>
      </w:r>
      <w:r w:rsidRPr="00AF6FE6">
        <w:rPr>
          <w:rFonts w:hAnsi="Times New Roman" w:cs="Times New Roman"/>
        </w:rPr>
        <w:t xml:space="preserve">ringing in someone who is not part of </w:t>
      </w:r>
      <w:r>
        <w:rPr>
          <w:rFonts w:hAnsi="Times New Roman" w:cs="Times New Roman"/>
        </w:rPr>
        <w:t xml:space="preserve">stagnated interaction </w:t>
      </w:r>
      <w:r w:rsidRPr="00AF6FE6">
        <w:rPr>
          <w:rFonts w:hAnsi="Times New Roman" w:cs="Times New Roman"/>
        </w:rPr>
        <w:t xml:space="preserve">patterns, </w:t>
      </w:r>
      <w:r>
        <w:rPr>
          <w:rFonts w:hAnsi="Times New Roman" w:cs="Times New Roman"/>
        </w:rPr>
        <w:t xml:space="preserve">and </w:t>
      </w:r>
      <w:r w:rsidRPr="00AF6FE6">
        <w:rPr>
          <w:rFonts w:hAnsi="Times New Roman" w:cs="Times New Roman"/>
        </w:rPr>
        <w:t>who has a fresh perspective on the process, and is in the position to</w:t>
      </w:r>
      <w:r>
        <w:rPr>
          <w:rFonts w:hAnsi="Times New Roman" w:cs="Times New Roman"/>
        </w:rPr>
        <w:t xml:space="preserve"> </w:t>
      </w:r>
      <w:r w:rsidRPr="00AF6FE6">
        <w:rPr>
          <w:rFonts w:hAnsi="Times New Roman" w:cs="Times New Roman"/>
        </w:rPr>
        <w:t>intervene even in power structures</w:t>
      </w:r>
      <w:r>
        <w:rPr>
          <w:rFonts w:hAnsi="Times New Roman" w:cs="Times New Roman"/>
        </w:rPr>
        <w:t xml:space="preserve">. An alternative is bringing in new ideas and innovative </w:t>
      </w:r>
      <w:proofErr w:type="gramStart"/>
      <w:r>
        <w:rPr>
          <w:rFonts w:hAnsi="Times New Roman" w:cs="Times New Roman"/>
        </w:rPr>
        <w:t>approaches, that</w:t>
      </w:r>
      <w:proofErr w:type="gramEnd"/>
      <w:r>
        <w:rPr>
          <w:rFonts w:hAnsi="Times New Roman" w:cs="Times New Roman"/>
        </w:rPr>
        <w:t xml:space="preserve"> were not thought of before. </w:t>
      </w:r>
      <w:r w:rsidRPr="00AF6FE6">
        <w:rPr>
          <w:rFonts w:hAnsi="Times New Roman" w:cs="Times New Roman"/>
        </w:rPr>
        <w:t xml:space="preserve"> </w:t>
      </w:r>
    </w:p>
    <w:p w:rsidR="004D7528" w:rsidRPr="00AF6FE6"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Postponements of judgments</w:t>
      </w:r>
      <w:r>
        <w:rPr>
          <w:rFonts w:hAnsi="Times New Roman" w:cs="Times New Roman"/>
        </w:rPr>
        <w:t xml:space="preserve">: </w:t>
      </w:r>
      <w:r w:rsidRPr="00AF6FE6">
        <w:rPr>
          <w:rFonts w:hAnsi="Times New Roman" w:cs="Times New Roman"/>
        </w:rPr>
        <w:t>willing</w:t>
      </w:r>
      <w:r>
        <w:rPr>
          <w:rFonts w:hAnsi="Times New Roman" w:cs="Times New Roman"/>
        </w:rPr>
        <w:t>ness</w:t>
      </w:r>
      <w:r w:rsidRPr="00AF6FE6">
        <w:rPr>
          <w:rFonts w:hAnsi="Times New Roman" w:cs="Times New Roman"/>
        </w:rPr>
        <w:t xml:space="preserve"> to postpone disqualifying judgments and conspiracy</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roofErr w:type="gramStart"/>
      <w:r w:rsidRPr="00AF6FE6">
        <w:rPr>
          <w:rFonts w:hAnsi="Times New Roman" w:cs="Times New Roman"/>
        </w:rPr>
        <w:t>narratives</w:t>
      </w:r>
      <w:proofErr w:type="gramEnd"/>
      <w:r w:rsidRPr="00AF6FE6">
        <w:rPr>
          <w:rFonts w:hAnsi="Times New Roman" w:cs="Times New Roman"/>
        </w:rPr>
        <w:t>, and to tolerate conflicts as vital elements of policy processes.</w:t>
      </w:r>
      <w:r>
        <w:rPr>
          <w:rFonts w:hAnsi="Times New Roman" w:cs="Times New Roman"/>
        </w:rPr>
        <w:t xml:space="preserve">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r w:rsidRPr="00812757">
        <w:rPr>
          <w:rFonts w:hAnsi="Times New Roman" w:cs="Times New Roman"/>
          <w:i/>
          <w:iCs/>
        </w:rPr>
        <w:t>Intervention skills</w:t>
      </w:r>
      <w:r>
        <w:rPr>
          <w:rFonts w:hAnsi="Times New Roman" w:cs="Times New Roman"/>
        </w:rPr>
        <w:t>: ability of individuals to intervene in stagnated interactions and to introduce new perspectives, innovations, etc.</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Pr="00B72771"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b/>
          <w:bCs/>
        </w:rPr>
      </w:pPr>
      <w:r>
        <w:rPr>
          <w:rFonts w:hAnsi="Times New Roman" w:cs="Times New Roman"/>
          <w:b/>
          <w:bCs/>
        </w:rPr>
        <w:t>Rescaling</w:t>
      </w:r>
      <w:r w:rsidRPr="00812757">
        <w:rPr>
          <w:rFonts w:hAnsi="Times New Roman" w:cs="Times New Roman"/>
          <w:b/>
          <w:bCs/>
        </w:rPr>
        <w:t xml:space="preserve">: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480" w:lineRule="auto"/>
        <w:rPr>
          <w:rFonts w:hAnsi="Times New Roman" w:cs="Times New Roman"/>
        </w:rPr>
      </w:pPr>
    </w:p>
    <w:p w:rsidR="004D7528" w:rsidRPr="006F294D" w:rsidRDefault="004D7528" w:rsidP="004D7528">
      <w:pPr>
        <w:keepNext/>
        <w:pBdr>
          <w:top w:val="none" w:sz="0" w:space="0" w:color="auto"/>
          <w:left w:val="none" w:sz="0" w:space="0" w:color="auto"/>
          <w:bottom w:val="none" w:sz="0" w:space="0" w:color="auto"/>
          <w:right w:val="none" w:sz="0" w:space="0" w:color="auto"/>
        </w:pBdr>
        <w:spacing w:line="480" w:lineRule="auto"/>
        <w:rPr>
          <w:rFonts w:hAnsi="Times New Roman" w:cs="Times New Roman"/>
        </w:rPr>
      </w:pPr>
      <w:r w:rsidRPr="00812757">
        <w:rPr>
          <w:rFonts w:hAnsi="Times New Roman" w:cs="Times New Roman"/>
          <w:i/>
          <w:iCs/>
        </w:rPr>
        <w:t>Openness for multiple scale logics</w:t>
      </w:r>
      <w:r>
        <w:rPr>
          <w:rFonts w:hAnsi="Times New Roman" w:cs="Times New Roman"/>
        </w:rPr>
        <w:t>: o</w:t>
      </w:r>
      <w:r w:rsidRPr="00AF6FE6">
        <w:rPr>
          <w:rFonts w:hAnsi="Times New Roman" w:cs="Times New Roman"/>
        </w:rPr>
        <w:t>penness to the scale logics of</w:t>
      </w:r>
      <w:r>
        <w:rPr>
          <w:rFonts w:hAnsi="Times New Roman" w:cs="Times New Roman"/>
        </w:rPr>
        <w:t xml:space="preserve"> </w:t>
      </w:r>
      <w:r w:rsidRPr="00AF6FE6">
        <w:rPr>
          <w:rFonts w:hAnsi="Times New Roman" w:cs="Times New Roman"/>
        </w:rPr>
        <w:t>different perspectives and thus leaving behind scale as a dogmatic concept</w:t>
      </w:r>
    </w:p>
    <w:p w:rsidR="004D7528" w:rsidRPr="006F294D" w:rsidRDefault="004D7528" w:rsidP="004D7528">
      <w:pPr>
        <w:keepNext/>
        <w:pBdr>
          <w:top w:val="none" w:sz="0" w:space="0" w:color="auto"/>
          <w:left w:val="none" w:sz="0" w:space="0" w:color="auto"/>
          <w:bottom w:val="none" w:sz="0" w:space="0" w:color="auto"/>
          <w:right w:val="none" w:sz="0" w:space="0" w:color="auto"/>
        </w:pBdr>
        <w:spacing w:line="480" w:lineRule="auto"/>
        <w:rPr>
          <w:rFonts w:hAnsi="Times New Roman" w:cs="Times New Roman"/>
        </w:rPr>
      </w:pPr>
      <w:r w:rsidRPr="00812757">
        <w:rPr>
          <w:rFonts w:hAnsi="Times New Roman" w:cs="Times New Roman"/>
          <w:i/>
          <w:iCs/>
        </w:rPr>
        <w:t>Flexible institutions to create and recreate fit</w:t>
      </w:r>
      <w:r>
        <w:rPr>
          <w:rFonts w:hAnsi="Times New Roman" w:cs="Times New Roman"/>
        </w:rPr>
        <w:t xml:space="preserve">: between problem and governance scales. </w:t>
      </w:r>
    </w:p>
    <w:p w:rsidR="004D7528" w:rsidRDefault="004D7528" w:rsidP="004D7528">
      <w:pPr>
        <w:spacing w:line="480" w:lineRule="auto"/>
        <w:rPr>
          <w:rFonts w:hAnsi="Times New Roman" w:cs="Times New Roman"/>
        </w:rPr>
      </w:pPr>
      <w:r w:rsidRPr="00812757">
        <w:rPr>
          <w:rFonts w:hAnsi="Times New Roman" w:cs="Times New Roman"/>
          <w:i/>
          <w:iCs/>
        </w:rPr>
        <w:t>Tolerance for redundancy and blurred responsibilities</w:t>
      </w:r>
      <w:r>
        <w:rPr>
          <w:rFonts w:hAnsi="Times New Roman" w:cs="Times New Roman"/>
        </w:rPr>
        <w:t>: matching</w:t>
      </w:r>
      <w:r w:rsidRPr="00206D9A">
        <w:rPr>
          <w:rFonts w:hAnsi="Times New Roman" w:cs="Times New Roman"/>
        </w:rPr>
        <w:t xml:space="preserve"> existing cross-level interactions in the</w:t>
      </w:r>
      <w:r>
        <w:rPr>
          <w:rFonts w:hAnsi="Times New Roman" w:cs="Times New Roman"/>
        </w:rPr>
        <w:t xml:space="preserve"> </w:t>
      </w:r>
      <w:r w:rsidRPr="00206D9A">
        <w:rPr>
          <w:rFonts w:hAnsi="Times New Roman" w:cs="Times New Roman"/>
        </w:rPr>
        <w:t>problem scale with cross-level interactions in the governance scale will often require some</w:t>
      </w:r>
      <w:r>
        <w:rPr>
          <w:rFonts w:hAnsi="Times New Roman" w:cs="Times New Roman"/>
        </w:rPr>
        <w:t xml:space="preserve"> </w:t>
      </w:r>
      <w:r w:rsidRPr="00206D9A">
        <w:rPr>
          <w:rFonts w:hAnsi="Times New Roman" w:cs="Times New Roman"/>
        </w:rPr>
        <w:t>redundancy in the system, e.g. in the form of polycentric institutional arrangements, with nested</w:t>
      </w:r>
      <w:r>
        <w:rPr>
          <w:rFonts w:hAnsi="Times New Roman" w:cs="Times New Roman"/>
        </w:rPr>
        <w:t xml:space="preserve"> </w:t>
      </w:r>
      <w:r w:rsidRPr="00206D9A">
        <w:rPr>
          <w:rFonts w:hAnsi="Times New Roman" w:cs="Times New Roman"/>
        </w:rPr>
        <w:t>quasi-autonomous decision-making units operating at multiple levels</w:t>
      </w:r>
      <w:r>
        <w:rPr>
          <w:rFonts w:hAnsi="Times New Roman" w:cs="Times New Roman"/>
        </w:rPr>
        <w:t xml:space="preserve">. This requires tolerance for redundancy and blurred responsibilities. </w:t>
      </w:r>
    </w:p>
    <w:p w:rsidR="004D7528" w:rsidRDefault="004D7528" w:rsidP="004D7528">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Pr>
          <w:rFonts w:hAnsi="Times New Roman" w:cs="Times New Roman"/>
        </w:rPr>
        <w:br w:type="page"/>
      </w:r>
    </w:p>
    <w:p w:rsidR="004D7528" w:rsidRDefault="004D7528" w:rsidP="004D7528">
      <w:pPr>
        <w:spacing w:line="360" w:lineRule="auto"/>
        <w:rPr>
          <w:rFonts w:hAnsi="Times New Roman" w:cs="Times New Roman"/>
          <w:b/>
        </w:rPr>
      </w:pPr>
      <w:r w:rsidRPr="006F294D">
        <w:rPr>
          <w:rFonts w:hAnsi="Times New Roman" w:cs="Times New Roman"/>
          <w:b/>
        </w:rPr>
        <w:lastRenderedPageBreak/>
        <w:t>Supplementary Material I</w:t>
      </w:r>
      <w:r>
        <w:rPr>
          <w:rFonts w:hAnsi="Times New Roman" w:cs="Times New Roman"/>
          <w:b/>
        </w:rPr>
        <w:t>I</w:t>
      </w:r>
      <w:r w:rsidRPr="006F294D">
        <w:rPr>
          <w:rFonts w:hAnsi="Times New Roman" w:cs="Times New Roman"/>
          <w:b/>
        </w:rPr>
        <w:t xml:space="preserve">: Overview respondents </w:t>
      </w:r>
    </w:p>
    <w:p w:rsidR="004D7528" w:rsidRPr="006F294D" w:rsidRDefault="004D7528" w:rsidP="004D7528">
      <w:pPr>
        <w:spacing w:line="360" w:lineRule="auto"/>
        <w:rPr>
          <w:rFonts w:hAnsi="Times New Roman" w:cs="Times New Roman"/>
          <w:b/>
        </w:rPr>
      </w:pPr>
    </w:p>
    <w:tbl>
      <w:tblPr>
        <w:tblStyle w:val="TableNormal1"/>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3"/>
        <w:gridCol w:w="2303"/>
        <w:gridCol w:w="2303"/>
        <w:gridCol w:w="2303"/>
      </w:tblGrid>
      <w:tr w:rsidR="004D7528" w:rsidRPr="006F294D" w:rsidTr="009E206E">
        <w:trPr>
          <w:trHeight w:val="1069"/>
        </w:trPr>
        <w:tc>
          <w:tcPr>
            <w:tcW w:w="2303" w:type="dxa"/>
            <w:tcBorders>
              <w:top w:val="single" w:sz="8" w:space="0" w:color="000000"/>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rFonts w:hAnsi="Times New Roman" w:cs="Times New Roman"/>
                <w:b/>
                <w:bCs/>
                <w:sz w:val="20"/>
                <w:szCs w:val="20"/>
              </w:rPr>
            </w:pPr>
            <w:r w:rsidRPr="00CE3980">
              <w:rPr>
                <w:rFonts w:hAnsi="Times New Roman" w:cs="Times New Roman"/>
                <w:b/>
                <w:bCs/>
                <w:sz w:val="20"/>
                <w:szCs w:val="20"/>
              </w:rPr>
              <w:t>Directorate-General</w:t>
            </w:r>
          </w:p>
        </w:tc>
        <w:tc>
          <w:tcPr>
            <w:tcW w:w="2303" w:type="dxa"/>
            <w:tcBorders>
              <w:top w:val="single" w:sz="8" w:space="0" w:color="000000"/>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rFonts w:hAnsi="Times New Roman" w:cs="Times New Roman"/>
                <w:b/>
                <w:bCs/>
                <w:sz w:val="20"/>
                <w:szCs w:val="20"/>
              </w:rPr>
            </w:pPr>
            <w:r w:rsidRPr="00CE3980">
              <w:rPr>
                <w:rFonts w:hAnsi="Times New Roman" w:cs="Times New Roman"/>
                <w:b/>
                <w:bCs/>
                <w:sz w:val="20"/>
                <w:szCs w:val="20"/>
              </w:rPr>
              <w:t>Number of respondents</w:t>
            </w:r>
          </w:p>
        </w:tc>
        <w:tc>
          <w:tcPr>
            <w:tcW w:w="2303" w:type="dxa"/>
            <w:tcBorders>
              <w:top w:val="single" w:sz="8" w:space="0" w:color="000000"/>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rFonts w:hAnsi="Times New Roman" w:cs="Times New Roman"/>
                <w:b/>
                <w:bCs/>
                <w:sz w:val="20"/>
                <w:szCs w:val="20"/>
              </w:rPr>
            </w:pPr>
            <w:r w:rsidRPr="00CE3980">
              <w:rPr>
                <w:rFonts w:hAnsi="Times New Roman" w:cs="Times New Roman"/>
                <w:b/>
                <w:bCs/>
                <w:sz w:val="20"/>
                <w:szCs w:val="20"/>
              </w:rPr>
              <w:t>Unit(s) or directorate(s) in which respondents work</w:t>
            </w:r>
          </w:p>
        </w:tc>
        <w:tc>
          <w:tcPr>
            <w:tcW w:w="2303" w:type="dxa"/>
            <w:tcBorders>
              <w:top w:val="single" w:sz="8" w:space="0" w:color="000000"/>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rFonts w:hAnsi="Times New Roman" w:cs="Times New Roman"/>
                <w:b/>
                <w:bCs/>
                <w:sz w:val="20"/>
                <w:szCs w:val="20"/>
              </w:rPr>
            </w:pPr>
            <w:r w:rsidRPr="00CE3980">
              <w:rPr>
                <w:rFonts w:hAnsi="Times New Roman" w:cs="Times New Roman"/>
                <w:b/>
                <w:bCs/>
                <w:sz w:val="20"/>
                <w:szCs w:val="20"/>
              </w:rPr>
              <w:t>Types of respondents</w:t>
            </w:r>
          </w:p>
        </w:tc>
      </w:tr>
      <w:tr w:rsidR="004D7528" w:rsidRPr="006F294D" w:rsidTr="009E206E">
        <w:trPr>
          <w:trHeight w:val="4121"/>
        </w:trPr>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Agriculture and Rural Development (AGRI)</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6</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A3 ACP, South Africa, FAO and G8/G20</w:t>
            </w:r>
          </w:p>
          <w:p w:rsidR="004D7528" w:rsidRPr="00CE3980" w:rsidRDefault="004D7528" w:rsidP="009E206E">
            <w:pPr>
              <w:spacing w:line="360" w:lineRule="auto"/>
              <w:rPr>
                <w:sz w:val="20"/>
                <w:szCs w:val="20"/>
              </w:rPr>
            </w:pPr>
            <w:r w:rsidRPr="00CE3980">
              <w:rPr>
                <w:sz w:val="20"/>
                <w:szCs w:val="20"/>
              </w:rPr>
              <w:t>B2 Analysis of trade and international policies</w:t>
            </w:r>
          </w:p>
          <w:p w:rsidR="004D7528" w:rsidRPr="00CE3980" w:rsidRDefault="004D7528" w:rsidP="009E206E">
            <w:pPr>
              <w:spacing w:line="360" w:lineRule="auto"/>
              <w:rPr>
                <w:sz w:val="20"/>
                <w:szCs w:val="20"/>
              </w:rPr>
            </w:pPr>
            <w:r w:rsidRPr="00CE3980">
              <w:rPr>
                <w:sz w:val="20"/>
                <w:szCs w:val="20"/>
              </w:rPr>
              <w:t>C Single CMO, economics and analysis of agricultural markets</w:t>
            </w:r>
          </w:p>
          <w:p w:rsidR="004D7528" w:rsidRPr="00CE3980" w:rsidRDefault="004D7528" w:rsidP="009E206E">
            <w:pPr>
              <w:spacing w:line="360" w:lineRule="auto"/>
              <w:rPr>
                <w:sz w:val="20"/>
                <w:szCs w:val="20"/>
              </w:rPr>
            </w:pPr>
            <w:r w:rsidRPr="00CE3980">
              <w:rPr>
                <w:sz w:val="20"/>
                <w:szCs w:val="20"/>
              </w:rPr>
              <w:t>E Economic analysis, perspectives and evaluation; communication</w:t>
            </w:r>
          </w:p>
          <w:p w:rsidR="004D7528" w:rsidRPr="00CE3980" w:rsidRDefault="004D7528" w:rsidP="009E206E">
            <w:pPr>
              <w:spacing w:line="360" w:lineRule="auto"/>
            </w:pPr>
            <w:r w:rsidRPr="00CE3980">
              <w:rPr>
                <w:sz w:val="20"/>
                <w:szCs w:val="20"/>
              </w:rPr>
              <w:t>E1 Agricultural policy analysis and perspectives</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Director (2)</w:t>
            </w:r>
          </w:p>
          <w:p w:rsidR="004D7528" w:rsidRPr="00CE3980" w:rsidRDefault="004D7528" w:rsidP="009E206E">
            <w:pPr>
              <w:spacing w:line="360" w:lineRule="auto"/>
              <w:rPr>
                <w:sz w:val="20"/>
                <w:szCs w:val="20"/>
              </w:rPr>
            </w:pPr>
          </w:p>
          <w:p w:rsidR="004D7528" w:rsidRPr="00CE3980" w:rsidRDefault="004D7528" w:rsidP="009E206E">
            <w:pPr>
              <w:spacing w:line="360" w:lineRule="auto"/>
              <w:rPr>
                <w:sz w:val="20"/>
                <w:szCs w:val="20"/>
              </w:rPr>
            </w:pPr>
            <w:r w:rsidRPr="00CE3980">
              <w:rPr>
                <w:sz w:val="20"/>
                <w:szCs w:val="20"/>
              </w:rPr>
              <w:t>Head of unit (2)</w:t>
            </w:r>
          </w:p>
          <w:p w:rsidR="004D7528" w:rsidRPr="00CE3980" w:rsidRDefault="004D7528" w:rsidP="009E206E">
            <w:pPr>
              <w:spacing w:line="360" w:lineRule="auto"/>
              <w:rPr>
                <w:sz w:val="20"/>
                <w:szCs w:val="20"/>
              </w:rPr>
            </w:pPr>
          </w:p>
          <w:p w:rsidR="004D7528" w:rsidRPr="00CE3980" w:rsidRDefault="004D7528" w:rsidP="009E206E">
            <w:pPr>
              <w:spacing w:line="360" w:lineRule="auto"/>
            </w:pPr>
            <w:r w:rsidRPr="00CE3980">
              <w:rPr>
                <w:sz w:val="20"/>
                <w:szCs w:val="20"/>
              </w:rPr>
              <w:t>Policy officer (2)</w:t>
            </w:r>
          </w:p>
        </w:tc>
      </w:tr>
      <w:tr w:rsidR="004D7528" w:rsidRPr="006F294D" w:rsidTr="009E206E">
        <w:trPr>
          <w:trHeight w:val="1189"/>
        </w:trPr>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Development and Cooperation (DEVCO)</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5</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A1 Development and coherence</w:t>
            </w:r>
          </w:p>
          <w:p w:rsidR="004D7528" w:rsidRPr="00CE3980" w:rsidRDefault="004D7528" w:rsidP="009E206E">
            <w:pPr>
              <w:spacing w:line="360" w:lineRule="auto"/>
            </w:pPr>
            <w:r w:rsidRPr="00CE3980">
              <w:rPr>
                <w:sz w:val="20"/>
                <w:szCs w:val="20"/>
              </w:rPr>
              <w:t>C1 Rural development, food security, nutrition</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Head of sector (1)</w:t>
            </w:r>
          </w:p>
          <w:p w:rsidR="004D7528" w:rsidRPr="00CE3980" w:rsidRDefault="004D7528" w:rsidP="009E206E">
            <w:pPr>
              <w:spacing w:line="360" w:lineRule="auto"/>
              <w:rPr>
                <w:sz w:val="20"/>
                <w:szCs w:val="20"/>
              </w:rPr>
            </w:pPr>
          </w:p>
          <w:p w:rsidR="004D7528" w:rsidRPr="00CE3980" w:rsidRDefault="004D7528" w:rsidP="009E206E">
            <w:pPr>
              <w:spacing w:line="360" w:lineRule="auto"/>
            </w:pPr>
            <w:r w:rsidRPr="00CE3980">
              <w:rPr>
                <w:sz w:val="20"/>
                <w:szCs w:val="20"/>
              </w:rPr>
              <w:t>Policy officer (4)</w:t>
            </w:r>
          </w:p>
        </w:tc>
      </w:tr>
      <w:tr w:rsidR="004D7528" w:rsidRPr="006F294D" w:rsidTr="009E206E">
        <w:trPr>
          <w:trHeight w:val="537"/>
        </w:trPr>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Energy (ENER)</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1</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C1 Renewables and CCS Policy</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Policy officer (1)</w:t>
            </w:r>
          </w:p>
        </w:tc>
      </w:tr>
      <w:tr w:rsidR="004D7528" w:rsidRPr="006F294D" w:rsidTr="009E206E">
        <w:trPr>
          <w:trHeight w:val="863"/>
        </w:trPr>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Environment (ENVI)</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2</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B1 Agriculture, forests and soil</w:t>
            </w:r>
          </w:p>
          <w:p w:rsidR="004D7528" w:rsidRPr="00CE3980" w:rsidRDefault="004D7528" w:rsidP="009E206E">
            <w:pPr>
              <w:spacing w:line="360" w:lineRule="auto"/>
            </w:pPr>
            <w:r w:rsidRPr="00CE3980">
              <w:rPr>
                <w:sz w:val="20"/>
                <w:szCs w:val="20"/>
              </w:rPr>
              <w:t>E2 Sustainability, trade and multilateral agreements</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Deputy head of unit (1)</w:t>
            </w:r>
          </w:p>
          <w:p w:rsidR="004D7528" w:rsidRPr="00CE3980" w:rsidRDefault="004D7528" w:rsidP="009E206E">
            <w:pPr>
              <w:spacing w:line="360" w:lineRule="auto"/>
              <w:rPr>
                <w:sz w:val="20"/>
                <w:szCs w:val="20"/>
              </w:rPr>
            </w:pPr>
          </w:p>
          <w:p w:rsidR="004D7528" w:rsidRPr="00CE3980" w:rsidRDefault="004D7528" w:rsidP="009E206E">
            <w:pPr>
              <w:spacing w:line="360" w:lineRule="auto"/>
            </w:pPr>
            <w:r w:rsidRPr="00CE3980">
              <w:rPr>
                <w:sz w:val="20"/>
                <w:szCs w:val="20"/>
              </w:rPr>
              <w:t>Policy officer (1)</w:t>
            </w:r>
          </w:p>
        </w:tc>
      </w:tr>
      <w:tr w:rsidR="004D7528" w:rsidRPr="006F294D" w:rsidTr="009E206E">
        <w:trPr>
          <w:trHeight w:val="537"/>
        </w:trPr>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Health and Consumers (SANCO)</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1</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Deputy director general (1)</w:t>
            </w:r>
          </w:p>
        </w:tc>
      </w:tr>
      <w:tr w:rsidR="004D7528" w:rsidRPr="006F294D" w:rsidTr="009E206E">
        <w:trPr>
          <w:trHeight w:val="537"/>
        </w:trPr>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Humanitarian Aid and Civil Protection (ECHO)</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1</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A4 Specific thematic policies</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Policy officer (1)</w:t>
            </w:r>
          </w:p>
        </w:tc>
      </w:tr>
      <w:tr w:rsidR="004D7528" w:rsidRPr="006F294D" w:rsidTr="009E206E">
        <w:trPr>
          <w:trHeight w:val="863"/>
        </w:trPr>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lastRenderedPageBreak/>
              <w:t>Maritime Affairs and Fisheries (MARE)</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1</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B3 Bilateral agreements and fisheries control in international waters</w:t>
            </w:r>
          </w:p>
        </w:tc>
        <w:tc>
          <w:tcPr>
            <w:tcW w:w="2303" w:type="dxa"/>
            <w:tcBorders>
              <w:top w:val="nil"/>
              <w:left w:val="nil"/>
              <w:bottom w:val="nil"/>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Policy officer (1)</w:t>
            </w:r>
          </w:p>
        </w:tc>
      </w:tr>
      <w:tr w:rsidR="004D7528" w:rsidRPr="006F294D" w:rsidTr="009E206E">
        <w:trPr>
          <w:trHeight w:val="212"/>
        </w:trPr>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Secretariat-General (SEC-GEN)</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1</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D3 Resource efficiency</w:t>
            </w:r>
          </w:p>
        </w:tc>
        <w:tc>
          <w:tcPr>
            <w:tcW w:w="2303" w:type="dxa"/>
            <w:tcBorders>
              <w:top w:val="nil"/>
              <w:left w:val="nil"/>
              <w:bottom w:val="nil"/>
              <w:right w:val="nil"/>
            </w:tcBorders>
            <w:shd w:val="clear" w:color="auto" w:fill="C0C0C0"/>
            <w:tcMar>
              <w:top w:w="80" w:type="dxa"/>
              <w:left w:w="80" w:type="dxa"/>
              <w:bottom w:w="80" w:type="dxa"/>
              <w:right w:w="80" w:type="dxa"/>
            </w:tcMar>
          </w:tcPr>
          <w:p w:rsidR="004D7528" w:rsidRPr="00CE3980" w:rsidRDefault="004D7528" w:rsidP="009E206E">
            <w:pPr>
              <w:spacing w:line="360" w:lineRule="auto"/>
            </w:pPr>
            <w:r w:rsidRPr="00CE3980">
              <w:rPr>
                <w:sz w:val="20"/>
                <w:szCs w:val="20"/>
              </w:rPr>
              <w:t>Policy officer (1)</w:t>
            </w:r>
          </w:p>
        </w:tc>
      </w:tr>
      <w:tr w:rsidR="004D7528" w:rsidRPr="006F294D" w:rsidTr="009E206E">
        <w:trPr>
          <w:trHeight w:val="2176"/>
        </w:trPr>
        <w:tc>
          <w:tcPr>
            <w:tcW w:w="2303" w:type="dxa"/>
            <w:tcBorders>
              <w:top w:val="nil"/>
              <w:left w:val="nil"/>
              <w:bottom w:val="single" w:sz="8" w:space="0" w:color="000000"/>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Trade (TRADE)</w:t>
            </w:r>
          </w:p>
        </w:tc>
        <w:tc>
          <w:tcPr>
            <w:tcW w:w="2303" w:type="dxa"/>
            <w:tcBorders>
              <w:top w:val="nil"/>
              <w:left w:val="nil"/>
              <w:bottom w:val="single" w:sz="8" w:space="0" w:color="000000"/>
              <w:right w:val="nil"/>
            </w:tcBorders>
            <w:shd w:val="clear" w:color="auto" w:fill="auto"/>
            <w:tcMar>
              <w:top w:w="80" w:type="dxa"/>
              <w:left w:w="80" w:type="dxa"/>
              <w:bottom w:w="80" w:type="dxa"/>
              <w:right w:w="80" w:type="dxa"/>
            </w:tcMar>
          </w:tcPr>
          <w:p w:rsidR="004D7528" w:rsidRPr="00CE3980" w:rsidRDefault="004D7528" w:rsidP="009E206E">
            <w:pPr>
              <w:spacing w:line="360" w:lineRule="auto"/>
            </w:pPr>
            <w:r w:rsidRPr="00CE3980">
              <w:rPr>
                <w:sz w:val="20"/>
                <w:szCs w:val="20"/>
              </w:rPr>
              <w:t>2</w:t>
            </w:r>
          </w:p>
        </w:tc>
        <w:tc>
          <w:tcPr>
            <w:tcW w:w="2303" w:type="dxa"/>
            <w:tcBorders>
              <w:top w:val="nil"/>
              <w:left w:val="nil"/>
              <w:bottom w:val="single" w:sz="8" w:space="0" w:color="000000"/>
              <w:right w:val="nil"/>
            </w:tcBorders>
            <w:shd w:val="clear" w:color="auto" w:fill="auto"/>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 xml:space="preserve">D3 Agriculture, fisheries, sanitary and </w:t>
            </w:r>
            <w:proofErr w:type="spellStart"/>
            <w:r w:rsidRPr="00CE3980">
              <w:rPr>
                <w:sz w:val="20"/>
                <w:szCs w:val="20"/>
              </w:rPr>
              <w:t>phytosanitary</w:t>
            </w:r>
            <w:proofErr w:type="spellEnd"/>
            <w:r w:rsidRPr="00CE3980">
              <w:rPr>
                <w:sz w:val="20"/>
                <w:szCs w:val="20"/>
              </w:rPr>
              <w:t xml:space="preserve"> market access, biotechnology</w:t>
            </w:r>
          </w:p>
          <w:p w:rsidR="004D7528" w:rsidRPr="00CE3980" w:rsidRDefault="004D7528" w:rsidP="009E206E">
            <w:pPr>
              <w:spacing w:line="360" w:lineRule="auto"/>
            </w:pPr>
            <w:r w:rsidRPr="00CE3980">
              <w:rPr>
                <w:sz w:val="20"/>
                <w:szCs w:val="20"/>
              </w:rPr>
              <w:t>F1 WTO coordination, OECD, export credits and dual use</w:t>
            </w:r>
          </w:p>
        </w:tc>
        <w:tc>
          <w:tcPr>
            <w:tcW w:w="2303" w:type="dxa"/>
            <w:tcBorders>
              <w:top w:val="nil"/>
              <w:left w:val="nil"/>
              <w:bottom w:val="single" w:sz="8" w:space="0" w:color="000000"/>
              <w:right w:val="nil"/>
            </w:tcBorders>
            <w:shd w:val="clear" w:color="auto" w:fill="auto"/>
            <w:tcMar>
              <w:top w:w="80" w:type="dxa"/>
              <w:left w:w="80" w:type="dxa"/>
              <w:bottom w:w="80" w:type="dxa"/>
              <w:right w:w="80" w:type="dxa"/>
            </w:tcMar>
          </w:tcPr>
          <w:p w:rsidR="004D7528" w:rsidRPr="00CE3980" w:rsidRDefault="004D7528" w:rsidP="009E206E">
            <w:pPr>
              <w:spacing w:line="360" w:lineRule="auto"/>
              <w:rPr>
                <w:sz w:val="20"/>
                <w:szCs w:val="20"/>
              </w:rPr>
            </w:pPr>
            <w:r w:rsidRPr="00CE3980">
              <w:rPr>
                <w:sz w:val="20"/>
                <w:szCs w:val="20"/>
              </w:rPr>
              <w:t>Head of unit (1)</w:t>
            </w:r>
          </w:p>
          <w:p w:rsidR="004D7528" w:rsidRPr="00CE3980" w:rsidRDefault="004D7528" w:rsidP="009E206E">
            <w:pPr>
              <w:spacing w:line="360" w:lineRule="auto"/>
              <w:rPr>
                <w:sz w:val="20"/>
                <w:szCs w:val="20"/>
              </w:rPr>
            </w:pPr>
          </w:p>
          <w:p w:rsidR="004D7528" w:rsidRPr="00CE3980" w:rsidRDefault="004D7528" w:rsidP="009E206E">
            <w:pPr>
              <w:spacing w:line="360" w:lineRule="auto"/>
            </w:pPr>
            <w:r w:rsidRPr="00CE3980">
              <w:rPr>
                <w:sz w:val="20"/>
                <w:szCs w:val="20"/>
              </w:rPr>
              <w:t>Policy officer (1)</w:t>
            </w:r>
          </w:p>
        </w:tc>
      </w:tr>
    </w:tbl>
    <w:p w:rsidR="004D7528" w:rsidRPr="006F294D" w:rsidRDefault="004D7528" w:rsidP="004D7528">
      <w:pPr>
        <w:spacing w:line="360" w:lineRule="auto"/>
        <w:rPr>
          <w:rFonts w:ascii="Times New Roman Bold" w:eastAsia="Times New Roman Bold" w:hAnsi="Times New Roman Bold" w:cs="Times New Roman Bold"/>
        </w:rPr>
      </w:pPr>
    </w:p>
    <w:p w:rsidR="00FB5810" w:rsidRDefault="00FB5810"/>
    <w:sectPr w:rsidR="00FB5810" w:rsidSect="00826F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8"/>
    <w:rsid w:val="001C6E7A"/>
    <w:rsid w:val="004D7528"/>
    <w:rsid w:val="00826F32"/>
    <w:rsid w:val="00E61868"/>
    <w:rsid w:val="00FB5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752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D75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bidi="ar-S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752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D75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dc:creator>
  <cp:lastModifiedBy>Smith, Sarahjayne</cp:lastModifiedBy>
  <cp:revision>2</cp:revision>
  <dcterms:created xsi:type="dcterms:W3CDTF">2015-07-02T13:52:00Z</dcterms:created>
  <dcterms:modified xsi:type="dcterms:W3CDTF">2015-07-02T13:52:00Z</dcterms:modified>
</cp:coreProperties>
</file>