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6C3" w:rsidRPr="004A26C3" w:rsidRDefault="004A26C3" w:rsidP="00991544">
      <w:pPr>
        <w:keepNext/>
        <w:keepLines/>
        <w:spacing w:before="480" w:after="0" w:line="276" w:lineRule="auto"/>
        <w:jc w:val="center"/>
        <w:outlineLvl w:val="0"/>
        <w:rPr>
          <w:rFonts w:eastAsiaTheme="majorEastAsia"/>
          <w:b/>
          <w:bCs/>
          <w:sz w:val="28"/>
          <w:szCs w:val="28"/>
        </w:rPr>
      </w:pPr>
      <w:bookmarkStart w:id="0" w:name="_GoBack"/>
      <w:bookmarkEnd w:id="0"/>
      <w:r w:rsidRPr="004A26C3">
        <w:rPr>
          <w:rFonts w:eastAsiaTheme="majorEastAsia"/>
          <w:b/>
          <w:bCs/>
          <w:sz w:val="28"/>
          <w:szCs w:val="28"/>
        </w:rPr>
        <w:t>APPENDIX 1: Minimally adjusted models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t>Section 1: Models using pack-years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1,402,829.1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AIC: Akaike information criterion</w:t>
      </w:r>
    </w:p>
    <w:p w:rsidR="004A26C3" w:rsidRPr="004A26C3" w:rsidRDefault="004A26C3" w:rsidP="004A26C3">
      <w:pPr>
        <w:spacing w:after="0" w:line="276" w:lineRule="auto"/>
        <w:rPr>
          <w:rFonts w:eastAsiaTheme="minorHAnsi"/>
          <w:sz w:val="22"/>
          <w:szCs w:val="22"/>
        </w:rPr>
      </w:pPr>
      <w:proofErr w:type="spellStart"/>
      <w:r w:rsidRPr="004A26C3">
        <w:rPr>
          <w:rFonts w:eastAsiaTheme="minorHAnsi"/>
          <w:sz w:val="22"/>
          <w:szCs w:val="22"/>
        </w:rPr>
        <w:t>Cov</w:t>
      </w:r>
      <w:proofErr w:type="spellEnd"/>
      <w:r w:rsidRPr="004A26C3">
        <w:rPr>
          <w:rFonts w:eastAsiaTheme="minorHAnsi"/>
          <w:sz w:val="22"/>
          <w:szCs w:val="22"/>
        </w:rPr>
        <w:t>.: covariates</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Est.: beta estimate</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Std. Err.: standard error</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X</w:t>
      </w:r>
      <w:r w:rsidRPr="004A26C3">
        <w:rPr>
          <w:rFonts w:eastAsiaTheme="minorHAnsi"/>
          <w:sz w:val="22"/>
          <w:szCs w:val="22"/>
          <w:vertAlign w:val="superscript"/>
        </w:rPr>
        <w:t>2</w:t>
      </w:r>
      <w:r w:rsidRPr="004A26C3">
        <w:rPr>
          <w:rFonts w:eastAsiaTheme="minorHAnsi"/>
          <w:sz w:val="22"/>
          <w:szCs w:val="22"/>
        </w:rPr>
        <w:t>: chi-squared test statistic</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P(X</w:t>
      </w:r>
      <w:r w:rsidRPr="004A26C3">
        <w:rPr>
          <w:rFonts w:eastAsiaTheme="minorHAnsi"/>
          <w:sz w:val="22"/>
          <w:szCs w:val="22"/>
          <w:vertAlign w:val="superscript"/>
        </w:rPr>
        <w:t>2</w:t>
      </w:r>
      <w:r w:rsidRPr="004A26C3">
        <w:rPr>
          <w:rFonts w:eastAsiaTheme="minorHAnsi"/>
          <w:sz w:val="22"/>
          <w:szCs w:val="22"/>
        </w:rPr>
        <w:t>): chi-squared p-value</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HR: hazard ratio</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21796.11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19734.78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3.25246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1485.06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25.910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1.86360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18721.24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1.40518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179.92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0.96378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1143.88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18550.32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0.18519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375.77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18545.49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0.72128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2.057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0.70898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380.39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18549.88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0.04321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377.31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337.29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18509.50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346.63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18511.49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344.23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8.79 e-7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18512.86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-0.29710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0.47788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18878.51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-0.28666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0.42977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0.3163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0.2867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7C and 8, HRs per 10 pack-years were evaluated at different ages. Effect modification by age is shown below in Figure S1.1.</w:t>
      </w: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lastRenderedPageBreak/>
        <w:drawing>
          <wp:inline distT="0" distB="0" distL="0" distR="0" wp14:anchorId="0C205A95" wp14:editId="503FCF8F">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for 10 Additional Pack-Year of Smoking.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1667.72</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0.21280</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0.25937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1.237</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83,819 subjects, 596,454 subject-cycle records, 833 events (0.1%), 1,161,499.3 person-years of follow-up (records with unknown pack-years, unknown years of smoking, or unknown time since quitting deleted).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8380.38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321.78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7985.74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0.27423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0.61646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0.10082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474.23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7943.16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0.25853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0.09148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44.89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7941.19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0.79522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0.01791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7938.30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0.25975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0.51470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0.40055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-0.61864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1.15181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0.02743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7943.62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0.25568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85.20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7934.39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0.25896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7936.07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0.25871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0.15634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 xml:space="preserve">-x-Age </w:t>
            </w:r>
            <w:r w:rsidRPr="004A26C3">
              <w:rPr>
                <w:rFonts w:eastAsiaTheme="minorHAnsi"/>
                <w:sz w:val="22"/>
                <w:szCs w:val="22"/>
              </w:rPr>
              <w:lastRenderedPageBreak/>
              <w:t>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lastRenderedPageBreak/>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7937.90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0.25916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-0.46144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3.14e-6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8015.37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0.25804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Pack-Yr-x-Age^2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rPr>
          <w:trHeight w:val="170"/>
        </w:trPr>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2.93e-6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7C and 8, HRs per 10 pack-years were evaluated at different ages. Effect modification by age is shown below in Figure S1.2.</w:t>
      </w: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drawing>
          <wp:inline distT="0" distB="0" distL="0" distR="0" wp14:anchorId="2E3130CB" wp14:editId="3029B86F">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 for 10 Additional Pack-Year of Smoking for Former or Never Smoker.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lastRenderedPageBreak/>
        <w:t>Current or Former Smokers (Quit for &lt; 10 Years)</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8449.35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8396.00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0.45308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8051.20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359.78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8024.52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0.11186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230.61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8025.98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229.82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8016.76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-0.07991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-0.32337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0.88489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8024.71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0.4471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231.16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0.8647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8013.19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-0.07928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8013.83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-0.07930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0.20586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0.1660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8015.48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-0.07936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-0.31219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0.88475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8045.81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-0.30311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0.86611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0.03786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0.6263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7C and 8, HRs per 10 pack-years were evaluated at different ages. Effect modification by age is shown below in Figure S1.3.</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noProof/>
          <w:sz w:val="22"/>
          <w:szCs w:val="22"/>
        </w:rPr>
        <w:lastRenderedPageBreak/>
        <w:drawing>
          <wp:inline distT="0" distB="0" distL="0" distR="0" wp14:anchorId="6C4D3A35" wp14:editId="69BEEF13">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 for 10 Additional Pack-Year of Smoking for Current or Former Smoker.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Former Smokers Only (Quit for ≥ 10 Years)</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39,575 subjects, 259,080 subject-cycle records, 654 events (0.3%), 502,399.8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5848.00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0.27027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0.14831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5455.74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0.31600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463.50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5409.75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0.29598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5410.97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0.15060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137.76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5406.99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0.29734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0.02233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5408.91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0.29748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5410.70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0.29849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-0.49706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1.40705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5453.66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0.31966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-0.49905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1.36033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3.74e-6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5C and 6, HRs per 10 pack-years were evaluated at different ages. Effect modification by age is shown below in Figure S1.4.</w:t>
      </w: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lastRenderedPageBreak/>
        <w:drawing>
          <wp:inline distT="0" distB="0" distL="0" distR="0" wp14:anchorId="0978BBB0" wp14:editId="77C4FB71">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 for 10 Additional Pack-Year of Smoking for Former Smoker.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lastRenderedPageBreak/>
        <w:t xml:space="preserve">Section 2: Models using average packs </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1,402,807.3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21796.11</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19734.78</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3.25462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1485.06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25.910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1.86360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18872.12</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-0.30144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0.15981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-0.38231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0.12934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1.00686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0.13990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51.80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741.28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18870.31</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0.06100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174.95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18866.94</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0.13423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1638.30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18868.59</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0.45229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1.02969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1633.56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18869.28</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3.23904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2.63085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25.509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1632.16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21810.31</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18870.50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1.60822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3.36717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1631.48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1667.72</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0.21280</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0.25937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1.237</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83,819 subjects, 596,454 subject-cycle records, 833 events (0.1%), 1,161,499.3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8380.38</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321.78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8067.05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0.21769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-0.25613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0.61527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264.90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8067.56</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0.22239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0.42648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0.16989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667.66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8066.27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0.21609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0.12879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0.32174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0.37675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0.62720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59.21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8064.99</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0.21578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0.66352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689.63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8066.97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0.21583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0.48911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1.36217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689.72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8066.80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0.21525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6.23565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4.06984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510.631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688.38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-0.17255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0.11933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8068.07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0.21547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5.07786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4.53230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160.430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687.43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-0.22833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8449.35</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8396.00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0.45308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8150.20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0.11075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3.62559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0.28181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8148.87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3.57753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0.26784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178.41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35.785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210.97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lastRenderedPageBreak/>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8148.65</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0.10279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3.74120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0.29053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42.149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8147.67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3.76147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0.28993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43.012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8149.51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0.11086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2.72560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0.03738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8150.92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0.11085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4.82175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3.76076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8150.92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-0.10112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15.37467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9.13814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&gt;999.9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Former Smokers Only (Quit for ≥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39,575 subjects, 259,080 subject-cycle records, 654 events (0.3%), 502,399.8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5848.00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0.27027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0.14831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5531.80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0.24212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0.61231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0.20004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5533.57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0.24158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0.61654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0.20009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9.49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5535.00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0.24233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-0.53593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1.56561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5533.85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0.24034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6.53383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4.20348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688.027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5535.70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0.24082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5.90327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4.62480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366.235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-0.22274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-8.93 e-6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szCs w:val="24"/>
        </w:rPr>
      </w:pPr>
      <w:r w:rsidRPr="004A26C3">
        <w:rPr>
          <w:rFonts w:eastAsiaTheme="minorHAnsi"/>
          <w:szCs w:val="24"/>
        </w:rPr>
        <w:br w:type="page"/>
      </w:r>
    </w:p>
    <w:p w:rsidR="004A26C3" w:rsidRPr="004A26C3" w:rsidRDefault="004A26C3" w:rsidP="004A26C3">
      <w:pPr>
        <w:keepNext/>
        <w:keepLines/>
        <w:spacing w:before="480" w:after="0" w:line="276" w:lineRule="auto"/>
        <w:jc w:val="center"/>
        <w:outlineLvl w:val="0"/>
        <w:rPr>
          <w:rFonts w:eastAsiaTheme="majorEastAsia"/>
          <w:bCs/>
          <w:sz w:val="28"/>
          <w:szCs w:val="28"/>
        </w:rPr>
      </w:pPr>
      <w:r w:rsidRPr="004A26C3">
        <w:rPr>
          <w:rFonts w:eastAsiaTheme="majorEastAsia"/>
          <w:b/>
          <w:bCs/>
          <w:sz w:val="28"/>
          <w:szCs w:val="28"/>
        </w:rPr>
        <w:lastRenderedPageBreak/>
        <w:t>APPENDIX 2: Fully adjusted models</w:t>
      </w: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t>Section 1: Models using pack-years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1,402,807.3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Additional covariates included in fully adjusted models:</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 value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household income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Body mass index</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Overall diet quality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Alcohol consumption</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Physical activity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from parent in childhood</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home</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work</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Duration of secondhand smoke at home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21096.64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19610.10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2.95759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1112.57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19.252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1.75807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451.57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18705.14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1.29373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145.69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3.646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0.92230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1005.85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18549.61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0.05500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0.14509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0.11647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361.76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rPr>
          <w:trHeight w:val="350"/>
        </w:trPr>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18545.16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0.05392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0.24776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0.67913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0.24592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366.31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18548.57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0.05263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361.87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289.93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18491.76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0.07379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0.00836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77.99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299.57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38.76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18493.76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0.07357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297.94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4.51 e-8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18495.19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0.08500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-0.28488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18810.61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0.09163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-0.26558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0.43551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0.01886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7C and 8, HRs per 10 pack-years were evaluated at different ages. Effect modification by age is shown in Figure S2.1.</w:t>
      </w: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lastRenderedPageBreak/>
        <w:drawing>
          <wp:inline distT="0" distB="0" distL="0" distR="0" wp14:anchorId="4BB85816" wp14:editId="7A182C1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for 10 Additional Pack-Year of Smoking.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1687.59</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0.23889</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0.26052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1.270</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83,819 subjects, 596,454 subject-cycle records, 833 events (0.1%), 1,161,499.3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8646.85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0.18170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8340.71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0.23938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0.12996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1.41410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255.30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4.113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7984.418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0.56333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421.11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7946.43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0.26614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0.05511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0.6875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0.02936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39.96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7944.61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0.26490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0.75062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0.37403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7942.09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0.26608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0.48867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0.40329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-0.73094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1.15803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0.5247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1.93e-6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7946.49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0.26403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137.70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7938.19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0.26546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0.01785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71.81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7939.77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0.26535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 xml:space="preserve">-x-Age </w:t>
            </w:r>
            <w:r w:rsidRPr="004A26C3">
              <w:rPr>
                <w:rFonts w:eastAsiaTheme="minorHAnsi"/>
                <w:sz w:val="22"/>
                <w:szCs w:val="22"/>
              </w:rPr>
              <w:lastRenderedPageBreak/>
              <w:t>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lastRenderedPageBreak/>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7941.52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0.26565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0.13110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-0.58087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1.14325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0.04836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0.5904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1.58e-6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3.15e-6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8006.86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0.27594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0.02783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1.82e-6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7C and 8, HRs per 10 pack-years were evaluated at different ages. Effect modification by age is shown below in Figure S2.2.</w:t>
      </w: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drawing>
          <wp:inline distT="0" distB="0" distL="0" distR="0" wp14:anchorId="19BD738A" wp14:editId="14064622">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 for 10 Additional Pack-Year of Smoking for Former or Never Smoker.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lastRenderedPageBreak/>
        <w:t>Current or Former Smokers (Quit for &lt;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8386.18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8355.80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0.35704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0.06336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8040.23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328.27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8017.92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0.7271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8018.83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0.05183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0.2975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8011.30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-0.07371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0.05020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-0.23106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0.88618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0.6263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8017.09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8007.01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0.06931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0.01400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24.49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8007.76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-0.06342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0.19727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0.1860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8009.53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-0.22435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0.88603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8031.38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0.11336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0.86968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0.03800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2.64e-6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7C and 8, HRs per 10 pack-years were evaluated at different ages. Effect modification by age is shown in Figure S2.3.</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noProof/>
          <w:sz w:val="22"/>
          <w:szCs w:val="22"/>
        </w:rPr>
        <w:lastRenderedPageBreak/>
        <w:drawing>
          <wp:inline distT="0" distB="0" distL="0" distR="0" wp14:anchorId="6E8C9130" wp14:editId="21AACE75">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 for 10 Additional Pack-Year of Smoking for Current or Former Smoker.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Former Smokers Only (Quit for ≥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39,575 subjects, 259,080 subject-cycle records, 654 events (0.3%), 502,399.8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5815.26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0.26919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5462.76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0.32317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0.15314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408.44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5422.81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0.30013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0.15296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5423.69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0.29944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5419.70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0.30011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0.15279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0.02249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5421.65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0.30018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0.15279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-0.00188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7.80 e-6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5423.36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0.30089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0.15286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1.41139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5461.25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0.32476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0.15307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-0.60916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1.36849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0.5890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2.22e-6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0.5563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t>Based on Models 5C and 6, HRs per 10 pack-years were evaluated at different ages. Effect modification by age is shown below in Figure S2.4.</w:t>
      </w: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lastRenderedPageBreak/>
        <w:drawing>
          <wp:inline distT="0" distB="0" distL="0" distR="0" wp14:anchorId="04FB653A" wp14:editId="3B671E3D">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 for 10 Additional Pack-Year of Smoking for Former Smoker.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lastRenderedPageBreak/>
        <w:t>Section 2: Models using average packs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1,402,807.3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21096.64</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19610.10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2.95759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1112.57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19.252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1.75807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451.57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18859.40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-0.34999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-0.39287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1.01119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0.14172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2.749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0.06645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657.31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18858.02</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0.25202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0.24787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0.9961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0.14212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18854.06</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1.04356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1333.17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18855.84</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0.55492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0.01519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18856.40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3.47661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2.63948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32.350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1328.60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18857.65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1.82597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3.41068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1328.31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44,245 subjects, 337,374 subject-cycle records, 179 events (0.1%), 659,099.5 person-years of follow-up (records with unknown pack-years, unknown years of smoking, or unknown time since quitting deleted). </w:t>
      </w:r>
      <w:r w:rsidRPr="004A26C3">
        <w:rPr>
          <w:rFonts w:eastAsiaTheme="minorHAnsi"/>
          <w:b/>
          <w:sz w:val="22"/>
          <w:szCs w:val="22"/>
        </w:rPr>
        <w:t xml:space="preserve">Each model includes stratification by age-month and cycle, also with region as covariate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Also include all the additional variables listed in previous section.</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1687.59</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0.23889</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0.26052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1.270</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83,819 subjects, 596,454 subject-cycle records, 833 events (0.1%), 1,161,499.3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8658.05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0.18348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0.12965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8349.63</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0.24140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1.41882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257.03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8078.50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0.22346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1.250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0.16650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0.63719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234.60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8079.57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0.22692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0.42504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0.17134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539.53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8078.09</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0.13019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0.24864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0.38048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0.65054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0.05397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56.18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8076.51</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0.67857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0.19308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0.05840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559.68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8078.50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0.49447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1.38141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0.7204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0.05840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559.75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8078.46</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6.09461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4.09884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443.461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0.05836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558.71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-0.16800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0.12014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8079.84</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4.96490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4.57287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143.295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0.05835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558.09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-0.21830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25,767 subjects, 124,673 subject-cycle records, 1,159 events (0.9%), 241,329.8 person-years of follow-up (records with unknown pack-years, unknown years of smoking, or unknown time since quitting deleted).</w:t>
      </w:r>
      <w:r w:rsidRPr="004A26C3">
        <w:rPr>
          <w:rFonts w:eastAsiaTheme="minorHAnsi"/>
          <w:b/>
          <w:sz w:val="22"/>
          <w:szCs w:val="22"/>
        </w:rPr>
        <w:t xml:space="preserve"> 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8395.23</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8364.52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0.11138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0.3475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0.35871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0.06334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8145.34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0.11210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0.2075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3.60876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0.28547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36.92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149.43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8144.92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-0.08698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3.50201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0.27122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33.182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0.07642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8142.34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0.06987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3.74052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161.27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42.120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8140.80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3.75462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0.29388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42.718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144.14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8142.65</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0.4428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2.74909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2.57086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0.08633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143.74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0.03775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8144.04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4.89535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3.77013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133.667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143.92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0.10284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8144.98</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13.82772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9.33956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&gt;999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144.51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Former Smokers Only (Quit for ≥ 10 Years)</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39,575 subjects, 259,080 subject-cycle records, 654 events (0.3%), 502,399.8 person-years of follow-up (records with unknown pack-years, unknown years of smoking, or unknown time since quitting deleted).</w:t>
      </w:r>
      <w:r w:rsidRPr="004A26C3">
        <w:rPr>
          <w:rFonts w:eastAsiaTheme="minorHAnsi"/>
          <w:b/>
          <w:sz w:val="22"/>
          <w:szCs w:val="22"/>
        </w:rPr>
        <w:t xml:space="preserve"> Each model includes stratification by age-month and cycle, also with region and additional variables as covariates.</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5824.32</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0.27182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5555.65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0.24348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0.63371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0.20194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0.00433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5557.31</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0.24043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0.15134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0.20166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5558.84</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0.24337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-0.41508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1.58413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0.02249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5557.85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0.24132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0.15129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6.49945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4.23089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664.779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-0.19541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0.12278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5550.25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0.24132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0.20607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-0.60696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2.27657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1.99 e-6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6.48e-6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szCs w:val="24"/>
        </w:rPr>
      </w:pPr>
      <w:r w:rsidRPr="004A26C3">
        <w:rPr>
          <w:rFonts w:eastAsiaTheme="minorHAnsi"/>
          <w:szCs w:val="24"/>
        </w:rPr>
        <w:br w:type="page"/>
      </w:r>
    </w:p>
    <w:p w:rsidR="004A26C3" w:rsidRPr="004A26C3" w:rsidRDefault="004A26C3" w:rsidP="004A26C3">
      <w:pPr>
        <w:keepNext/>
        <w:keepLines/>
        <w:spacing w:before="480" w:after="0" w:line="276" w:lineRule="auto"/>
        <w:jc w:val="center"/>
        <w:outlineLvl w:val="0"/>
        <w:rPr>
          <w:rFonts w:eastAsiaTheme="majorEastAsia"/>
          <w:b/>
          <w:bCs/>
          <w:sz w:val="28"/>
          <w:szCs w:val="28"/>
        </w:rPr>
      </w:pPr>
      <w:r w:rsidRPr="004A26C3">
        <w:rPr>
          <w:rFonts w:eastAsiaTheme="majorEastAsia"/>
          <w:b/>
          <w:bCs/>
          <w:sz w:val="28"/>
          <w:szCs w:val="28"/>
        </w:rPr>
        <w:lastRenderedPageBreak/>
        <w:t>APPENDIX 3: Secondary analyses</w:t>
      </w: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t>Section 1: Models using pack-years and different PM</w:t>
      </w:r>
      <w:r w:rsidRPr="004A26C3">
        <w:rPr>
          <w:rFonts w:eastAsiaTheme="majorEastAsia"/>
          <w:b/>
          <w:bCs/>
          <w:sz w:val="26"/>
          <w:szCs w:val="26"/>
          <w:vertAlign w:val="subscript"/>
        </w:rPr>
        <w:t>2.5</w:t>
      </w:r>
      <w:r w:rsidRPr="004A26C3">
        <w:rPr>
          <w:rFonts w:eastAsiaTheme="majorEastAsia"/>
          <w:b/>
          <w:bCs/>
          <w:sz w:val="26"/>
          <w:szCs w:val="26"/>
        </w:rPr>
        <w:t xml:space="preserve"> averaging times (without additional variables)</w:t>
      </w:r>
    </w:p>
    <w:p w:rsidR="004A26C3" w:rsidRPr="004A26C3" w:rsidRDefault="004A26C3" w:rsidP="004A26C3">
      <w:pPr>
        <w:spacing w:after="0" w:line="276" w:lineRule="auto"/>
        <w:rPr>
          <w:rFonts w:eastAsiaTheme="minorHAnsi"/>
          <w:b/>
          <w:sz w:val="28"/>
          <w:szCs w:val="28"/>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(Current, Never, and Former Smokers)</w:t>
      </w:r>
    </w:p>
    <w:tbl>
      <w:tblPr>
        <w:tblStyle w:val="TableGrid"/>
        <w:tblW w:w="9456" w:type="dxa"/>
        <w:tblCellMar>
          <w:left w:w="43" w:type="dxa"/>
          <w:right w:w="43" w:type="dxa"/>
        </w:tblCellMar>
        <w:tblLook w:val="04A0" w:firstRow="1" w:lastRow="0" w:firstColumn="1" w:lastColumn="0" w:noHBand="0" w:noVBand="1"/>
      </w:tblPr>
      <w:tblGrid>
        <w:gridCol w:w="429"/>
        <w:gridCol w:w="430"/>
        <w:gridCol w:w="1037"/>
        <w:gridCol w:w="1053"/>
        <w:gridCol w:w="2156"/>
        <w:gridCol w:w="913"/>
        <w:gridCol w:w="913"/>
        <w:gridCol w:w="806"/>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0"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21774.47</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0.08291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18494.88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0.04859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0.5632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-0.30229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0.47802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0.5271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0.03847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343.45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21774.52</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0.08357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18494.99</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0.03976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-0.30161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0.47802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0.03847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0.7451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0.01579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0.4465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0.4217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21774.55</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0.08376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0.9736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18495.13</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0.02445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0.08491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-0.30092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0.47802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0.03848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343.61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0.01576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0.4474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0.4226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0.4200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tbl>
      <w:tblPr>
        <w:tblStyle w:val="TableGrid"/>
        <w:tblW w:w="9350" w:type="dxa"/>
        <w:tblCellMar>
          <w:left w:w="43" w:type="dxa"/>
          <w:right w:w="43" w:type="dxa"/>
        </w:tblCellMar>
        <w:tblLook w:val="04A0" w:firstRow="1" w:lastRow="0" w:firstColumn="1" w:lastColumn="0" w:noHBand="0" w:noVBand="1"/>
      </w:tblPr>
      <w:tblGrid>
        <w:gridCol w:w="430"/>
        <w:gridCol w:w="431"/>
        <w:gridCol w:w="1036"/>
        <w:gridCol w:w="1053"/>
        <w:gridCol w:w="2051"/>
        <w:gridCol w:w="913"/>
        <w:gridCol w:w="913"/>
        <w:gridCol w:w="805"/>
        <w:gridCol w:w="859"/>
        <w:gridCol w:w="859"/>
      </w:tblGrid>
      <w:tr w:rsidR="004A26C3" w:rsidRPr="004A26C3" w:rsidTr="00E87BBC">
        <w:tc>
          <w:tcPr>
            <w:tcW w:w="421"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2"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1667.72</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0.21280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0.25937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1.237</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1667.87</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0.18868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0.26103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1.208</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1667.84</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0.18720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0.26112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7"/>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8768.32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0.13509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7927.64</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0.25684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-0.48231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0.6712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84.08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0.8484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0.04808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0.6443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0.6481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3.14 e-6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0.6638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8768.60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0.12878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0.3600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7927.99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0.13057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-0.47814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1.13582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0.6738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0.8464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0.02201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0.04807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0.6470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3.14 e-6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0.6667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8768.88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0.09614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0.12918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0.4567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7928.58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0.22597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0.13098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1.254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-0.47212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1.13544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0.6776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84.17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0.8427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0.02176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0.04806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3.14 e-6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7"/>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lastRenderedPageBreak/>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8441.06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-0.11217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0.11027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0.3091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8009.18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-0.07826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0.11174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-0.29630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0.88495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0.03372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8440.98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0.11133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8009.09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-0.08575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0.4468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-0.29656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0.88494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0.03372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0.5693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8440.94</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-0.11992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0.11166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8008.95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-0.09584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0.11314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-0.29587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0.88499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0.7381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0.03373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0.01741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Former Smokers Only </w:t>
      </w:r>
    </w:p>
    <w:tbl>
      <w:tblPr>
        <w:tblStyle w:val="TableGrid"/>
        <w:tblW w:w="9456" w:type="dxa"/>
        <w:tblCellMar>
          <w:left w:w="43" w:type="dxa"/>
          <w:right w:w="43" w:type="dxa"/>
        </w:tblCellMar>
        <w:tblLook w:val="04A0" w:firstRow="1" w:lastRow="0" w:firstColumn="1" w:lastColumn="0" w:noHBand="0" w:noVBand="1"/>
      </w:tblPr>
      <w:tblGrid>
        <w:gridCol w:w="430"/>
        <w:gridCol w:w="431"/>
        <w:gridCol w:w="1036"/>
        <w:gridCol w:w="1053"/>
        <w:gridCol w:w="2157"/>
        <w:gridCol w:w="913"/>
        <w:gridCol w:w="913"/>
        <w:gridCol w:w="805"/>
        <w:gridCol w:w="859"/>
        <w:gridCol w:w="859"/>
      </w:tblGrid>
      <w:tr w:rsidR="004A26C3" w:rsidRPr="004A26C3" w:rsidTr="00E87BBC">
        <w:tc>
          <w:tcPr>
            <w:tcW w:w="430"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5839.81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0.26740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0.14844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5400.66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0.29592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0.15071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1.344</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-0.55049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1.40727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0.02339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6.16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0.02712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0.6485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0.6270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lastRenderedPageBreak/>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5840.16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0.25388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0.14930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5400.94</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0.28694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0.15165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0.0585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-0.54507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1.40686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0.6984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0.02342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6.16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0.2994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0.05947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0.6512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0.6297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1.93e-6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5840.91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0.21944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0.14999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5401.77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0.25257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0.15242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-0.53525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1.40660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0.7036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0.586</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6.19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0.2991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0.02646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0.05946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0.6563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0.6347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1.90e-6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0.6232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Current or Never Smokers </w:t>
      </w:r>
    </w:p>
    <w:tbl>
      <w:tblPr>
        <w:tblStyle w:val="TableGrid"/>
        <w:tblW w:w="9456" w:type="dxa"/>
        <w:tblCellMar>
          <w:left w:w="43" w:type="dxa"/>
          <w:right w:w="43" w:type="dxa"/>
        </w:tblCellMar>
        <w:tblLook w:val="04A0" w:firstRow="1" w:lastRow="0" w:firstColumn="1" w:lastColumn="0" w:noHBand="0" w:noVBand="1"/>
      </w:tblPr>
      <w:tblGrid>
        <w:gridCol w:w="429"/>
        <w:gridCol w:w="430"/>
        <w:gridCol w:w="1036"/>
        <w:gridCol w:w="1053"/>
        <w:gridCol w:w="2157"/>
        <w:gridCol w:w="913"/>
        <w:gridCol w:w="913"/>
        <w:gridCol w:w="806"/>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0"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8745.27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-0.13378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0.12222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6629.05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-0.11597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0.12529</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-0.40929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0.64674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0.5268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241.98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0.02069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0.02825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0.4638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0.4421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8745.00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-0.14971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0.2251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6628.78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-0.13407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0.12633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0.2886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-0.40851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0.64677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0.5276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241.98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0.02066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0.02825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lastRenderedPageBreak/>
              <w:t>24</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8745.19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-0.13983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0.12360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6628.99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-0.12161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0.12664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-0.40748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0.64677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241.90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0.02825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0.4655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Cs w:val="24"/>
        </w:rPr>
      </w:pPr>
      <w:r w:rsidRPr="004A26C3">
        <w:rPr>
          <w:rFonts w:eastAsiaTheme="minorHAnsi"/>
          <w:b/>
          <w:szCs w:val="24"/>
        </w:rPr>
        <w:t>Models Using Average Packs (Total Pack-Years / Years Smoked, without additional variables)</w:t>
      </w:r>
    </w:p>
    <w:p w:rsidR="004A26C3" w:rsidRPr="004A26C3" w:rsidRDefault="004A26C3" w:rsidP="004A26C3">
      <w:pPr>
        <w:spacing w:after="0" w:line="276" w:lineRule="auto"/>
        <w:rPr>
          <w:rFonts w:eastAsiaTheme="minorHAnsi"/>
          <w:b/>
          <w:sz w:val="28"/>
          <w:szCs w:val="28"/>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(Current, Never, and Former Smokers)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7"/>
        <w:gridCol w:w="1053"/>
        <w:gridCol w:w="2156"/>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21774.47</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0.08291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18810.86</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1.11424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0.13596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67.16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3.047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-0.63799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0.77831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0.03193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0.3544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21774.52</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0.08357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18810.88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1.11424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0.13596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67.16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3.047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-0.63799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0.77831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0.03193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0.3544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21774.55</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0.08376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0.9736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18810.90</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1.11421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0.13597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67.15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3.047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-0.63661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0.77833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0.3399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tbl>
      <w:tblPr>
        <w:tblStyle w:val="TableGrid"/>
        <w:tblW w:w="9350" w:type="dxa"/>
        <w:tblCellMar>
          <w:left w:w="43" w:type="dxa"/>
          <w:right w:w="43" w:type="dxa"/>
        </w:tblCellMar>
        <w:tblLook w:val="04A0" w:firstRow="1" w:lastRow="0" w:firstColumn="1" w:lastColumn="0" w:noHBand="0" w:noVBand="1"/>
      </w:tblPr>
      <w:tblGrid>
        <w:gridCol w:w="430"/>
        <w:gridCol w:w="431"/>
        <w:gridCol w:w="1036"/>
        <w:gridCol w:w="1053"/>
        <w:gridCol w:w="2051"/>
        <w:gridCol w:w="913"/>
        <w:gridCol w:w="913"/>
        <w:gridCol w:w="805"/>
        <w:gridCol w:w="859"/>
        <w:gridCol w:w="859"/>
      </w:tblGrid>
      <w:tr w:rsidR="004A26C3" w:rsidRPr="004A26C3" w:rsidTr="00E87BBC">
        <w:tc>
          <w:tcPr>
            <w:tcW w:w="421"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2"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1667.72</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0.21280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0.25937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1.237</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1667.87</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0.18868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0.26103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1.208</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1667.88</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0.18720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0.26112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r>
    </w:tbl>
    <w:p w:rsidR="004A26C3" w:rsidRPr="004A26C3" w:rsidRDefault="004A26C3" w:rsidP="004A26C3">
      <w:pPr>
        <w:spacing w:after="200" w:line="276" w:lineRule="auto"/>
        <w:rPr>
          <w:rFonts w:eastAsiaTheme="minorHAnsi"/>
          <w:b/>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tbl>
      <w:tblPr>
        <w:tblStyle w:val="TableGrid"/>
        <w:tblW w:w="9456" w:type="dxa"/>
        <w:tblCellMar>
          <w:left w:w="43" w:type="dxa"/>
          <w:right w:w="43" w:type="dxa"/>
        </w:tblCellMar>
        <w:tblLook w:val="04A0" w:firstRow="1" w:lastRow="0" w:firstColumn="1" w:lastColumn="0" w:noHBand="0" w:noVBand="1"/>
      </w:tblPr>
      <w:tblGrid>
        <w:gridCol w:w="430"/>
        <w:gridCol w:w="431"/>
        <w:gridCol w:w="1036"/>
        <w:gridCol w:w="1053"/>
        <w:gridCol w:w="2157"/>
        <w:gridCol w:w="913"/>
        <w:gridCol w:w="913"/>
        <w:gridCol w:w="805"/>
        <w:gridCol w:w="859"/>
        <w:gridCol w:w="859"/>
      </w:tblGrid>
      <w:tr w:rsidR="004A26C3" w:rsidRPr="004A26C3" w:rsidTr="00E87BBC">
        <w:tc>
          <w:tcPr>
            <w:tcW w:w="430"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8768.32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0.13509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8052.16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0.21588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0.12893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0.69476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0.19302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-0.48281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1.54922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0.02200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0.06574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0.7622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4.31e-6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8768.60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0.12878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0.3600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8052.44</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0.20598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0.69465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0.19302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-0.48160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1.54914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0.618</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0.02194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0.7385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4.31e-6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0.7976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8768.88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0.09614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0.12918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0.4567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8052.92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0.18591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0.13014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1.204</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0.69436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0.19304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-0.48037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1.54895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5.26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0.7391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4.31e-6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0.7983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6"/>
        <w:gridCol w:w="913"/>
        <w:gridCol w:w="913"/>
        <w:gridCol w:w="806"/>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8441.06</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-0.11217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0.11027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0.3091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8142.70</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-0.10180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0.11088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0.3585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3.83232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0.29498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46.170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0.67717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3.10358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0.8273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0.13539</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0.8617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9.37e-6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8440.98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0.11133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8142.60</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-0.10871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0.11191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3.83268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0.29497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168.839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46.186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0.67463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3.10374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-0.02374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0.13540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-1.70e-6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9.37e-6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0.8561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8440.94</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-0.11992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0.11166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8142.51</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-0.11421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0.11231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0.3092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3.83278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0.29495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168.86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46.191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0.67815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3.10393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0.8271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0.13540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0.8600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0.8617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-1.71e-6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9.37e-6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0.8555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Former Smokers Only </w:t>
      </w:r>
    </w:p>
    <w:tbl>
      <w:tblPr>
        <w:tblStyle w:val="TableGrid"/>
        <w:tblW w:w="9456" w:type="dxa"/>
        <w:tblCellMar>
          <w:left w:w="43" w:type="dxa"/>
          <w:right w:w="43" w:type="dxa"/>
        </w:tblCellMar>
        <w:tblLook w:val="04A0" w:firstRow="1" w:lastRow="0" w:firstColumn="1" w:lastColumn="0" w:noHBand="0" w:noVBand="1"/>
      </w:tblPr>
      <w:tblGrid>
        <w:gridCol w:w="430"/>
        <w:gridCol w:w="431"/>
        <w:gridCol w:w="1036"/>
        <w:gridCol w:w="1053"/>
        <w:gridCol w:w="2157"/>
        <w:gridCol w:w="913"/>
        <w:gridCol w:w="913"/>
        <w:gridCol w:w="805"/>
        <w:gridCol w:w="859"/>
        <w:gridCol w:w="859"/>
      </w:tblGrid>
      <w:tr w:rsidR="004A26C3" w:rsidRPr="004A26C3" w:rsidTr="00E87BBC">
        <w:tc>
          <w:tcPr>
            <w:tcW w:w="430"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5839.81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0.26740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0.14844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5526.70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0.24044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0.14936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0.69480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0.20408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-0.55369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2.26487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0.09681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0.7661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6.45 e-6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5840.16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0.25388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0.14930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5526.90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0.23251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0.15032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0.69474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0.20405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-0.55553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2.26461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0.8062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0.574</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0.5792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0.09680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6.45 e-6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5840.91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0.21944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0.14999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5527.55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0.19880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0.15096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0.69465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0.20403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-0.55770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2.26511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0.8055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0.02896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0.09682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0.7649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2.01 e-6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6.45 e-6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0.7549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Current or Never Smokers </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7"/>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8745.27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-0.13378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0.12222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6713.11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-0.13707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0.12429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2.99972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0.30310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97.95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20.080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-0.53789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0.96709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0.04189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0.5372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0.5617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8744.99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-0.14971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0.12341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0.2251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6712.79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-0.15499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0.12552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3.00036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0.30310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97.99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20.093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-0.53692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0.96707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0.04189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0.5294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0.5380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0.5626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8745.19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-0.13983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6713.08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-0.14010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0.12585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0.2656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2.99943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0.30306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97.95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20.074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-0.53676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0.96704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0.04189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0.5294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t>Section 2: Models using pack-years and different PM</w:t>
      </w:r>
      <w:r w:rsidRPr="004A26C3">
        <w:rPr>
          <w:rFonts w:eastAsiaTheme="majorEastAsia"/>
          <w:b/>
          <w:bCs/>
          <w:sz w:val="26"/>
          <w:szCs w:val="26"/>
          <w:vertAlign w:val="subscript"/>
        </w:rPr>
        <w:t>2.5</w:t>
      </w:r>
      <w:r w:rsidRPr="004A26C3">
        <w:rPr>
          <w:rFonts w:eastAsiaTheme="majorEastAsia"/>
          <w:b/>
          <w:bCs/>
          <w:sz w:val="26"/>
          <w:szCs w:val="26"/>
        </w:rPr>
        <w:t xml:space="preserve"> averaging times (with additional variables)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Additional covariates included in fully adjusted models:</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 value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household income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Body mass index</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Overall diet quality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Alcohol consumption</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Physical activity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from parent in childhood</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home</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work</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Duration of secondhand smoke at home</w:t>
      </w:r>
    </w:p>
    <w:p w:rsidR="004A26C3" w:rsidRPr="004A26C3" w:rsidRDefault="004A26C3" w:rsidP="004A26C3">
      <w:pPr>
        <w:spacing w:after="0" w:line="276" w:lineRule="auto"/>
        <w:rPr>
          <w:rFonts w:eastAsiaTheme="minorHAnsi"/>
          <w:b/>
          <w:sz w:val="28"/>
          <w:szCs w:val="28"/>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(Current, Never, and Former Smokers)</w:t>
      </w:r>
    </w:p>
    <w:tbl>
      <w:tblPr>
        <w:tblStyle w:val="TableGrid"/>
        <w:tblW w:w="9456" w:type="dxa"/>
        <w:tblCellMar>
          <w:left w:w="43" w:type="dxa"/>
          <w:right w:w="43" w:type="dxa"/>
        </w:tblCellMar>
        <w:tblLook w:val="04A0" w:firstRow="1" w:lastRow="0" w:firstColumn="1" w:lastColumn="0" w:noHBand="0" w:noVBand="1"/>
      </w:tblPr>
      <w:tblGrid>
        <w:gridCol w:w="429"/>
        <w:gridCol w:w="430"/>
        <w:gridCol w:w="1037"/>
        <w:gridCol w:w="1053"/>
        <w:gridCol w:w="2156"/>
        <w:gridCol w:w="913"/>
        <w:gridCol w:w="913"/>
        <w:gridCol w:w="806"/>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0"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21073.48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0.06417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18494.88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0.05667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0.08500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0.5050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-0.28488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0.5518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0.03674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297.55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0.8451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0.01493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0.4496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0.4492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lastRenderedPageBreak/>
              <w:t>48</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21073.48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0.05654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18495.33</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0.04740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0.08569</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0.5802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-0.28418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0.47874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0.03675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297.65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0.8430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0.01490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21073.79</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0.04410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0.08495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18495.50</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0.03105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0.08592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0.7178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0.47873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0.03675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297.78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0.01487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0.4740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0.4515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tbl>
      <w:tblPr>
        <w:tblStyle w:val="TableGrid"/>
        <w:tblW w:w="9350" w:type="dxa"/>
        <w:tblCellMar>
          <w:left w:w="43" w:type="dxa"/>
          <w:right w:w="43" w:type="dxa"/>
        </w:tblCellMar>
        <w:tblLook w:val="04A0" w:firstRow="1" w:lastRow="0" w:firstColumn="1" w:lastColumn="0" w:noHBand="0" w:noVBand="1"/>
      </w:tblPr>
      <w:tblGrid>
        <w:gridCol w:w="430"/>
        <w:gridCol w:w="431"/>
        <w:gridCol w:w="1036"/>
        <w:gridCol w:w="1053"/>
        <w:gridCol w:w="2051"/>
        <w:gridCol w:w="913"/>
        <w:gridCol w:w="913"/>
        <w:gridCol w:w="805"/>
        <w:gridCol w:w="859"/>
        <w:gridCol w:w="859"/>
      </w:tblGrid>
      <w:tr w:rsidR="004A26C3" w:rsidRPr="004A26C3" w:rsidTr="00E87BBC">
        <w:tc>
          <w:tcPr>
            <w:tcW w:w="421"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2"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1687.59</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0.26052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0.3592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1.270</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1687.75</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0.21625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0.26250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1687.77</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0.21431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0.26301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1.239</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7"/>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8646.85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0.18170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7941.52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0.26565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0.13110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-0.58087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1.14325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0.03065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72.05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0.02603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0.04836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0.5904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0.5984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1.58 e-6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3.16 e-6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8647.17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0.16750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0.13062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1.182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7941.86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0.25593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0.13200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-0.57732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1.14298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0.03066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72.10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0.02587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0.04835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0.5926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3.16 e-6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0.6199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8647.57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0.14610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0.2649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7942.50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0.23385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0.13240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0.0774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-0.57143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1.14262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0.03067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72.15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0.04834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0.5960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3.16 e-6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7"/>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8386.18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0.11150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0.3564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8009.53</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0.11327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-0.22435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0.88603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0.01414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8386.08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-0.10985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0.11266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8009.44</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-0.07265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0.11438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0.5253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-0.22463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0.88602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0.01415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0.7148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8386.01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-0.11407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0.11310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8009.31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-0.08381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0.11487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0.4556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-0.22413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0.88608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0.01413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Former Smokers Only </w:t>
      </w:r>
    </w:p>
    <w:tbl>
      <w:tblPr>
        <w:tblStyle w:val="TableGrid"/>
        <w:tblW w:w="9456" w:type="dxa"/>
        <w:tblCellMar>
          <w:left w:w="43" w:type="dxa"/>
          <w:right w:w="43" w:type="dxa"/>
        </w:tblCellMar>
        <w:tblLook w:val="04A0" w:firstRow="1" w:lastRow="0" w:firstColumn="1" w:lastColumn="0" w:noHBand="0" w:noVBand="1"/>
      </w:tblPr>
      <w:tblGrid>
        <w:gridCol w:w="430"/>
        <w:gridCol w:w="431"/>
        <w:gridCol w:w="1036"/>
        <w:gridCol w:w="1053"/>
        <w:gridCol w:w="2157"/>
        <w:gridCol w:w="913"/>
        <w:gridCol w:w="913"/>
        <w:gridCol w:w="805"/>
        <w:gridCol w:w="859"/>
        <w:gridCol w:w="859"/>
      </w:tblGrid>
      <w:tr w:rsidR="004A26C3" w:rsidRPr="004A26C3" w:rsidTr="00E87BBC">
        <w:tc>
          <w:tcPr>
            <w:tcW w:w="430"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5815.26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0.26919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0.15074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5423.36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0.30089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0.15286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-0.63181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1.41139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0.6544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0.02097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0.03024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0.6121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0.5952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5815.57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0.25726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0.15167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5423.62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0.29230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0.15386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-0.62891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1.41094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0.6558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0.02101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0.2393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0.03011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0.5967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5816.31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0.22288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0.15235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1.250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5424.49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0.25562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0.15464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-0.62056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0.6600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0.538</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0.02103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0.2392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0.02976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2.07 e-6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3.89e-6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0.5940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Current or Never Smokers </w:t>
      </w:r>
    </w:p>
    <w:tbl>
      <w:tblPr>
        <w:tblStyle w:val="TableGrid"/>
        <w:tblW w:w="9456" w:type="dxa"/>
        <w:tblCellMar>
          <w:left w:w="43" w:type="dxa"/>
          <w:right w:w="43" w:type="dxa"/>
        </w:tblCellMar>
        <w:tblLook w:val="04A0" w:firstRow="1" w:lastRow="0" w:firstColumn="1" w:lastColumn="0" w:noHBand="0" w:noVBand="1"/>
      </w:tblPr>
      <w:tblGrid>
        <w:gridCol w:w="429"/>
        <w:gridCol w:w="430"/>
        <w:gridCol w:w="1036"/>
        <w:gridCol w:w="1053"/>
        <w:gridCol w:w="2157"/>
        <w:gridCol w:w="913"/>
        <w:gridCol w:w="913"/>
        <w:gridCol w:w="806"/>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0"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8159.70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-0.07878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0.12394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0.5250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6642.19</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-0.11595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0.12695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-0.37806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0.64994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0.04028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0.00284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201.00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0.01938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0.02838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0.4947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0.4704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1.44e-6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0.4645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8159.55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-0.09360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0.12524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6641.93</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-0.13421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0.12810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-0.37754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0.64995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0.04028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0.00284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201.00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0.02838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0.4953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1.44e-6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0.4649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8159.70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-0.08211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0.12550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6642.13</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-0.12172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0.12839</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-0.37660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0.64997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0.5623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0.04027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0.00284</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200.96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0.01932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0.02838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0.4961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0.4717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0"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1.43e-6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lastRenderedPageBreak/>
        <w:t>Section 3: Models using average packs and different PM</w:t>
      </w:r>
      <w:r w:rsidRPr="004A26C3">
        <w:rPr>
          <w:rFonts w:eastAsiaTheme="majorEastAsia"/>
          <w:b/>
          <w:bCs/>
          <w:sz w:val="26"/>
          <w:szCs w:val="26"/>
          <w:vertAlign w:val="subscript"/>
        </w:rPr>
        <w:t>2.5</w:t>
      </w:r>
      <w:r w:rsidRPr="004A26C3">
        <w:rPr>
          <w:rFonts w:eastAsiaTheme="majorEastAsia"/>
          <w:b/>
          <w:bCs/>
          <w:sz w:val="26"/>
          <w:szCs w:val="26"/>
        </w:rPr>
        <w:t xml:space="preserve"> averaging times (total pack-years / years smoked, with additional variables)</w:t>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Additional covariates included in fully adjusted models:</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 value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household income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Body mass index</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Overall diet quality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Alcohol consumption</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Physical activity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from parent in childhood</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home</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work</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Duration of secondhand smoke at home</w:t>
      </w:r>
    </w:p>
    <w:p w:rsidR="004A26C3" w:rsidRPr="004A26C3" w:rsidRDefault="004A26C3" w:rsidP="004A26C3">
      <w:pPr>
        <w:spacing w:after="0" w:line="276" w:lineRule="auto"/>
        <w:rPr>
          <w:rFonts w:eastAsiaTheme="minorHAnsi"/>
          <w:b/>
          <w:sz w:val="28"/>
          <w:szCs w:val="28"/>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(Current, Never, and Former Smokers)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7"/>
        <w:gridCol w:w="1053"/>
        <w:gridCol w:w="2156"/>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21073.48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0.06417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18801.11</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0.02268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0.7881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0.13831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62.15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-0.63612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0.77972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0.03145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21073.62</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0.05654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18801.16</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0.01532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0.08512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0.8572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1.09029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0.13831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62.14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-0.63555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0.77973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0.4150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0.3682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21073.79</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0.04410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0.08495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0.6037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21778.31</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18801.19</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0.08538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0.9843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1.09026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0.13832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62.13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2.975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-0.63459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0.77975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0.03138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0.3516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0.3512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2.28e-6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0.3694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tbl>
      <w:tblPr>
        <w:tblStyle w:val="TableGrid"/>
        <w:tblW w:w="9350" w:type="dxa"/>
        <w:tblCellMar>
          <w:left w:w="43" w:type="dxa"/>
          <w:right w:w="43" w:type="dxa"/>
        </w:tblCellMar>
        <w:tblLook w:val="04A0" w:firstRow="1" w:lastRow="0" w:firstColumn="1" w:lastColumn="0" w:noHBand="0" w:noVBand="1"/>
      </w:tblPr>
      <w:tblGrid>
        <w:gridCol w:w="430"/>
        <w:gridCol w:w="431"/>
        <w:gridCol w:w="1036"/>
        <w:gridCol w:w="1053"/>
        <w:gridCol w:w="2051"/>
        <w:gridCol w:w="913"/>
        <w:gridCol w:w="913"/>
        <w:gridCol w:w="805"/>
        <w:gridCol w:w="859"/>
        <w:gridCol w:w="859"/>
      </w:tblGrid>
      <w:tr w:rsidR="004A26C3" w:rsidRPr="004A26C3" w:rsidTr="00E87BBC">
        <w:tc>
          <w:tcPr>
            <w:tcW w:w="421"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2" w:type="dxa"/>
            <w:vAlign w:val="bottom"/>
          </w:tcPr>
          <w:p w:rsidR="004A26C3" w:rsidRPr="004A26C3" w:rsidRDefault="004A26C3" w:rsidP="004A26C3">
            <w:pPr>
              <w:spacing w:after="0"/>
              <w:rPr>
                <w:rFonts w:eastAsiaTheme="minorHAnsi"/>
                <w:sz w:val="22"/>
                <w:szCs w:val="22"/>
              </w:rPr>
            </w:pPr>
          </w:p>
        </w:tc>
        <w:tc>
          <w:tcPr>
            <w:tcW w:w="103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05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1687.59</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0.23899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0.26052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0.3592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1.270</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1687.75</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0.21625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0.26250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0.4100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1.241</w:t>
            </w:r>
          </w:p>
        </w:tc>
      </w:tr>
      <w:tr w:rsidR="004A26C3" w:rsidRPr="004A26C3" w:rsidTr="00E87BBC">
        <w:tc>
          <w:tcPr>
            <w:tcW w:w="421" w:type="dxa"/>
          </w:tcPr>
          <w:p w:rsidR="004A26C3" w:rsidRPr="004A26C3" w:rsidRDefault="004A26C3" w:rsidP="004A26C3">
            <w:pPr>
              <w:spacing w:after="0"/>
              <w:rPr>
                <w:rFonts w:eastAsiaTheme="minorHAnsi"/>
                <w:sz w:val="22"/>
                <w:szCs w:val="22"/>
              </w:rPr>
            </w:pPr>
          </w:p>
        </w:tc>
        <w:tc>
          <w:tcPr>
            <w:tcW w:w="432" w:type="dxa"/>
          </w:tcPr>
          <w:p w:rsidR="004A26C3" w:rsidRPr="004A26C3" w:rsidRDefault="004A26C3" w:rsidP="004A26C3">
            <w:pPr>
              <w:spacing w:after="0"/>
              <w:rPr>
                <w:rFonts w:eastAsiaTheme="minorHAnsi"/>
                <w:sz w:val="22"/>
                <w:szCs w:val="22"/>
              </w:rPr>
            </w:pPr>
          </w:p>
        </w:tc>
        <w:tc>
          <w:tcPr>
            <w:tcW w:w="1037" w:type="dxa"/>
          </w:tcPr>
          <w:p w:rsidR="004A26C3" w:rsidRPr="004A26C3" w:rsidRDefault="004A26C3" w:rsidP="004A26C3">
            <w:pPr>
              <w:spacing w:after="0"/>
              <w:jc w:val="right"/>
              <w:rPr>
                <w:rFonts w:eastAsiaTheme="minorHAnsi"/>
                <w:sz w:val="22"/>
                <w:szCs w:val="22"/>
              </w:rPr>
            </w:pPr>
          </w:p>
        </w:tc>
        <w:tc>
          <w:tcPr>
            <w:tcW w:w="1054" w:type="dxa"/>
          </w:tcPr>
          <w:p w:rsidR="004A26C3" w:rsidRPr="004A26C3" w:rsidRDefault="004A26C3" w:rsidP="004A26C3">
            <w:pPr>
              <w:spacing w:after="0"/>
              <w:jc w:val="right"/>
              <w:rPr>
                <w:rFonts w:eastAsiaTheme="minorHAnsi"/>
                <w:sz w:val="22"/>
                <w:szCs w:val="22"/>
              </w:rPr>
            </w:pPr>
          </w:p>
        </w:tc>
        <w:tc>
          <w:tcPr>
            <w:tcW w:w="2054"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r>
      <w:tr w:rsidR="004A26C3" w:rsidRPr="004A26C3" w:rsidTr="00E87BBC">
        <w:tc>
          <w:tcPr>
            <w:tcW w:w="421"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2"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5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1687.77</w:t>
            </w:r>
          </w:p>
        </w:tc>
        <w:tc>
          <w:tcPr>
            <w:tcW w:w="2054"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0.21431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0.26301</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0.4152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1.239</w:t>
            </w:r>
          </w:p>
        </w:tc>
      </w:tr>
    </w:tbl>
    <w:p w:rsidR="004A26C3" w:rsidRPr="004A26C3" w:rsidRDefault="004A26C3" w:rsidP="004A26C3">
      <w:pPr>
        <w:spacing w:after="200" w:line="276" w:lineRule="auto"/>
        <w:rPr>
          <w:rFonts w:eastAsiaTheme="minorHAnsi"/>
          <w:b/>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w:t>
      </w:r>
    </w:p>
    <w:tbl>
      <w:tblPr>
        <w:tblStyle w:val="TableGrid"/>
        <w:tblW w:w="9456" w:type="dxa"/>
        <w:tblCellMar>
          <w:left w:w="43" w:type="dxa"/>
          <w:right w:w="43" w:type="dxa"/>
        </w:tblCellMar>
        <w:tblLook w:val="04A0" w:firstRow="1" w:lastRow="0" w:firstColumn="1" w:lastColumn="0" w:noHBand="0" w:noVBand="1"/>
      </w:tblPr>
      <w:tblGrid>
        <w:gridCol w:w="430"/>
        <w:gridCol w:w="431"/>
        <w:gridCol w:w="1036"/>
        <w:gridCol w:w="1053"/>
        <w:gridCol w:w="2157"/>
        <w:gridCol w:w="913"/>
        <w:gridCol w:w="913"/>
        <w:gridCol w:w="805"/>
        <w:gridCol w:w="859"/>
        <w:gridCol w:w="859"/>
      </w:tblGrid>
      <w:tr w:rsidR="004A26C3" w:rsidRPr="004A26C3" w:rsidTr="00E87BBC">
        <w:tc>
          <w:tcPr>
            <w:tcW w:w="430"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8646.85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0.18170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0.12972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8064.77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0.22114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0.70674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0.19443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2.027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-0.56718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1.55515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5.64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0.02481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0.06598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4.32e-6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0.7766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8647.17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0.16750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0.13062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1.182</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8065.05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0.21146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0.13119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0.70657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0.19443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2.027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-0.56639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1.55503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0.568</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5.64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0.02477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0.06597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0.7073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4.32e-6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0.7772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8647.57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0.14610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0.13105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0.2649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1.157</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8768.14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8065.55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0.19036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0.13154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1.210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0.70619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0.19445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2.026</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-0.56599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1.55482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0.568</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5.65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0.02475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0.06597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 xml:space="preserve">-x-Age </w:t>
            </w:r>
            <w:r w:rsidRPr="004A26C3">
              <w:rPr>
                <w:rFonts w:eastAsiaTheme="minorHAnsi"/>
                <w:sz w:val="22"/>
                <w:szCs w:val="22"/>
              </w:rPr>
              <w:lastRenderedPageBreak/>
              <w:t>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lastRenderedPageBreak/>
              <w:t>-0.00031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0.00093</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4.32e-6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0.7774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6"/>
        <w:gridCol w:w="913"/>
        <w:gridCol w:w="913"/>
        <w:gridCol w:w="806"/>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8386.18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0.11150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0.3564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8135.80</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-0.08562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0.11225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3.81467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0.29883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162.95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45.362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0.63731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3.12937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0.8386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1.891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-0.02174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0.13656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0.8791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-1.46e-6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9.46e-6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0.8775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8386.18</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-0.10985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0.11266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8135.69</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-0.09383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0.11339</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3.81484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0.29883</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162.96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45.370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0.63596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3.12967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0.8390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-0.02168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0.13657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0.8739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0.8795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-1.45e-6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9.46e-6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8386.01</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-0.11407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0.11310</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6"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8445.84</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8135.59</w:t>
            </w: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-0.10115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0.11385</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0.3743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3.81483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0.29882</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162.98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45.369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0.63996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3.13007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0.8380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1.896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0.00108</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-0.02183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0.13659</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0.8730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0.00197</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0.8787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6"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-1.46e-6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9.46e-6</w:t>
            </w:r>
          </w:p>
        </w:tc>
        <w:tc>
          <w:tcPr>
            <w:tcW w:w="80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0.8772</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b/>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Former Smokers Only </w:t>
      </w:r>
    </w:p>
    <w:tbl>
      <w:tblPr>
        <w:tblStyle w:val="TableGrid"/>
        <w:tblW w:w="9456" w:type="dxa"/>
        <w:tblCellMar>
          <w:left w:w="43" w:type="dxa"/>
          <w:right w:w="43" w:type="dxa"/>
        </w:tblCellMar>
        <w:tblLook w:val="04A0" w:firstRow="1" w:lastRow="0" w:firstColumn="1" w:lastColumn="0" w:noHBand="0" w:noVBand="1"/>
      </w:tblPr>
      <w:tblGrid>
        <w:gridCol w:w="430"/>
        <w:gridCol w:w="431"/>
        <w:gridCol w:w="1036"/>
        <w:gridCol w:w="1053"/>
        <w:gridCol w:w="2157"/>
        <w:gridCol w:w="913"/>
        <w:gridCol w:w="913"/>
        <w:gridCol w:w="805"/>
        <w:gridCol w:w="859"/>
        <w:gridCol w:w="859"/>
      </w:tblGrid>
      <w:tr w:rsidR="004A26C3" w:rsidRPr="004A26C3" w:rsidTr="00E87BBC">
        <w:tc>
          <w:tcPr>
            <w:tcW w:w="430"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5815.26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0.26916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0.15074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1.309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5550.25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0.24132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0.15137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0.71556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0.20607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-0.60696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2.27657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0.5023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0.03012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0.09731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0.7539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1.99 e-6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6.48 e-6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5815.58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0.25726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0.15167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5550.45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0.23312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0.15239</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0.20604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-0.61047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2.27634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0.7886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0.543</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0.5026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0.03027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0.09730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0.7528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1.99 e-6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6.48 e-6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0.7577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5816.31</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0.22288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0.15235</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1.250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5837.27</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5551.12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0.19760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0.15302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0.1966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1.218</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0.71517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0.20602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2.045</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-0.61482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2.27686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0.7871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0.5014</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0.09732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0.7545</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0.7517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30"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2.00 e-6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6.48 e-6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Current or Never Smokers </w:t>
      </w:r>
    </w:p>
    <w:tbl>
      <w:tblPr>
        <w:tblStyle w:val="TableGrid"/>
        <w:tblW w:w="9456" w:type="dxa"/>
        <w:tblCellMar>
          <w:left w:w="43" w:type="dxa"/>
          <w:right w:w="43" w:type="dxa"/>
        </w:tblCellMar>
        <w:tblLook w:val="04A0" w:firstRow="1" w:lastRow="0" w:firstColumn="1" w:lastColumn="0" w:noHBand="0" w:noVBand="1"/>
      </w:tblPr>
      <w:tblGrid>
        <w:gridCol w:w="429"/>
        <w:gridCol w:w="431"/>
        <w:gridCol w:w="1036"/>
        <w:gridCol w:w="1053"/>
        <w:gridCol w:w="2157"/>
        <w:gridCol w:w="913"/>
        <w:gridCol w:w="913"/>
        <w:gridCol w:w="805"/>
        <w:gridCol w:w="860"/>
        <w:gridCol w:w="859"/>
      </w:tblGrid>
      <w:tr w:rsidR="004A26C3" w:rsidRPr="004A26C3" w:rsidTr="00E87BBC">
        <w:tc>
          <w:tcPr>
            <w:tcW w:w="429" w:type="dxa"/>
            <w:vAlign w:val="bottom"/>
          </w:tcPr>
          <w:p w:rsidR="004A26C3" w:rsidRPr="004A26C3" w:rsidRDefault="004A26C3" w:rsidP="004A26C3">
            <w:pPr>
              <w:spacing w:after="0"/>
              <w:rPr>
                <w:rFonts w:eastAsiaTheme="minorHAnsi"/>
                <w:b/>
                <w:sz w:val="22"/>
                <w:szCs w:val="22"/>
              </w:rPr>
            </w:pPr>
            <w:r w:rsidRPr="004A26C3">
              <w:rPr>
                <w:rFonts w:eastAsiaTheme="minorHAnsi"/>
                <w:b/>
                <w:sz w:val="22"/>
                <w:szCs w:val="22"/>
              </w:rPr>
              <w:t>PM</w:t>
            </w:r>
          </w:p>
        </w:tc>
        <w:tc>
          <w:tcPr>
            <w:tcW w:w="431" w:type="dxa"/>
            <w:vAlign w:val="bottom"/>
          </w:tcPr>
          <w:p w:rsidR="004A26C3" w:rsidRPr="004A26C3" w:rsidRDefault="004A26C3" w:rsidP="004A26C3">
            <w:pPr>
              <w:spacing w:after="0"/>
              <w:rPr>
                <w:rFonts w:eastAsiaTheme="minorHAnsi"/>
                <w:sz w:val="22"/>
                <w:szCs w:val="22"/>
              </w:rPr>
            </w:pPr>
          </w:p>
        </w:tc>
        <w:tc>
          <w:tcPr>
            <w:tcW w:w="1036"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5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5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1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0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72</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8159.70</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-0.07878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0.5250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0.924</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6723.17</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-0.13658</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0.12581</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0.2776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3.01173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0.30740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95.99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20.322</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-0.51884</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0.96816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0.5920</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0.02537</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0.5453</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0.5539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0.5779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48</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8159.55</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-0.09360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0.12524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0.4548</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6722.86</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-0.15489</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0.12714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0.2231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0.857</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3.01256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0.30740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96.04</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20.339</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-0.51790</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0.96812</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0.5927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0.02533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1.58e-6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b/>
                <w:sz w:val="22"/>
                <w:szCs w:val="22"/>
              </w:rPr>
            </w:pPr>
            <w:r w:rsidRPr="004A26C3">
              <w:rPr>
                <w:rFonts w:eastAsiaTheme="minorHAnsi"/>
                <w:b/>
                <w:sz w:val="22"/>
                <w:szCs w:val="22"/>
              </w:rPr>
              <w:t>24</w:t>
            </w: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8159.68</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-0.08211</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0.12550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0.5129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0.921</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913" w:type="dxa"/>
          </w:tcPr>
          <w:p w:rsidR="004A26C3" w:rsidRPr="004A26C3" w:rsidRDefault="004A26C3" w:rsidP="004A26C3">
            <w:pPr>
              <w:spacing w:after="0"/>
              <w:jc w:val="right"/>
              <w:rPr>
                <w:rFonts w:eastAsiaTheme="minorHAnsi"/>
                <w:sz w:val="22"/>
                <w:szCs w:val="22"/>
              </w:rPr>
            </w:pPr>
          </w:p>
        </w:tc>
        <w:tc>
          <w:tcPr>
            <w:tcW w:w="805" w:type="dxa"/>
          </w:tcPr>
          <w:p w:rsidR="004A26C3" w:rsidRPr="004A26C3" w:rsidRDefault="004A26C3" w:rsidP="004A26C3">
            <w:pPr>
              <w:spacing w:after="0"/>
              <w:jc w:val="right"/>
              <w:rPr>
                <w:rFonts w:eastAsiaTheme="minorHAnsi"/>
                <w:sz w:val="22"/>
                <w:szCs w:val="22"/>
              </w:rPr>
            </w:pPr>
          </w:p>
        </w:tc>
        <w:tc>
          <w:tcPr>
            <w:tcW w:w="860" w:type="dxa"/>
          </w:tcPr>
          <w:p w:rsidR="004A26C3" w:rsidRPr="004A26C3" w:rsidRDefault="004A26C3" w:rsidP="004A26C3">
            <w:pPr>
              <w:spacing w:after="0"/>
              <w:jc w:val="right"/>
              <w:rPr>
                <w:rFonts w:eastAsiaTheme="minorHAnsi"/>
                <w:sz w:val="22"/>
                <w:szCs w:val="22"/>
              </w:rPr>
            </w:pPr>
          </w:p>
        </w:tc>
        <w:tc>
          <w:tcPr>
            <w:tcW w:w="859" w:type="dxa"/>
          </w:tcPr>
          <w:p w:rsidR="004A26C3" w:rsidRPr="004A26C3" w:rsidRDefault="004A26C3" w:rsidP="004A26C3">
            <w:pPr>
              <w:spacing w:after="0"/>
              <w:jc w:val="right"/>
              <w:rPr>
                <w:rFonts w:eastAsiaTheme="minorHAnsi"/>
                <w:sz w:val="22"/>
                <w:szCs w:val="22"/>
              </w:rPr>
            </w:pP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36"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8760.95</w:t>
            </w:r>
          </w:p>
        </w:tc>
        <w:tc>
          <w:tcPr>
            <w:tcW w:w="105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6723.12</w:t>
            </w: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-0.14115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0.12746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1.23</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0.2681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0.868</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3.01175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0.30736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96.02</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20.323</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-0.51782</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0.96808</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0.5927</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0.595</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0.02533</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0.04194</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0.5459</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-0.00035</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0.00060</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0.5546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29" w:type="dxa"/>
          </w:tcPr>
          <w:p w:rsidR="004A26C3" w:rsidRPr="004A26C3" w:rsidRDefault="004A26C3" w:rsidP="004A26C3">
            <w:pPr>
              <w:spacing w:after="0"/>
              <w:rPr>
                <w:rFonts w:eastAsiaTheme="minorHAnsi"/>
                <w:sz w:val="22"/>
                <w:szCs w:val="22"/>
              </w:rPr>
            </w:pPr>
          </w:p>
        </w:tc>
        <w:tc>
          <w:tcPr>
            <w:tcW w:w="431" w:type="dxa"/>
          </w:tcPr>
          <w:p w:rsidR="004A26C3" w:rsidRPr="004A26C3" w:rsidRDefault="004A26C3" w:rsidP="004A26C3">
            <w:pPr>
              <w:spacing w:after="0"/>
              <w:rPr>
                <w:rFonts w:eastAsiaTheme="minorHAnsi"/>
                <w:sz w:val="22"/>
                <w:szCs w:val="22"/>
              </w:rPr>
            </w:pPr>
          </w:p>
        </w:tc>
        <w:tc>
          <w:tcPr>
            <w:tcW w:w="1036" w:type="dxa"/>
          </w:tcPr>
          <w:p w:rsidR="004A26C3" w:rsidRPr="004A26C3" w:rsidRDefault="004A26C3" w:rsidP="004A26C3">
            <w:pPr>
              <w:spacing w:after="0"/>
              <w:jc w:val="right"/>
              <w:rPr>
                <w:rFonts w:eastAsiaTheme="minorHAnsi"/>
                <w:sz w:val="22"/>
                <w:szCs w:val="22"/>
              </w:rPr>
            </w:pPr>
          </w:p>
        </w:tc>
        <w:tc>
          <w:tcPr>
            <w:tcW w:w="1053" w:type="dxa"/>
          </w:tcPr>
          <w:p w:rsidR="004A26C3" w:rsidRPr="004A26C3" w:rsidRDefault="004A26C3" w:rsidP="004A26C3">
            <w:pPr>
              <w:spacing w:after="0"/>
              <w:jc w:val="right"/>
              <w:rPr>
                <w:rFonts w:eastAsiaTheme="minorHAnsi"/>
                <w:sz w:val="22"/>
                <w:szCs w:val="22"/>
              </w:rPr>
            </w:pPr>
          </w:p>
        </w:tc>
        <w:tc>
          <w:tcPr>
            <w:tcW w:w="2157"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1.58e-6</w:t>
            </w:r>
          </w:p>
        </w:tc>
        <w:tc>
          <w:tcPr>
            <w:tcW w:w="91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2.85e-6</w:t>
            </w:r>
          </w:p>
        </w:tc>
        <w:tc>
          <w:tcPr>
            <w:tcW w:w="80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0.5786</w:t>
            </w:r>
          </w:p>
        </w:tc>
        <w:tc>
          <w:tcPr>
            <w:tcW w:w="8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spacing w:after="200" w:line="276" w:lineRule="auto"/>
        <w:rPr>
          <w:rFonts w:eastAsiaTheme="minorHAnsi"/>
          <w:sz w:val="22"/>
          <w:szCs w:val="22"/>
        </w:rPr>
      </w:pP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t>Section 4: Models using different baseline age stratifications</w:t>
      </w:r>
    </w:p>
    <w:p w:rsidR="004A26C3" w:rsidRPr="004A26C3" w:rsidRDefault="004A26C3" w:rsidP="004A26C3">
      <w:pPr>
        <w:keepNext/>
        <w:keepLines/>
        <w:spacing w:before="200" w:after="0" w:line="276" w:lineRule="auto"/>
        <w:outlineLvl w:val="2"/>
        <w:rPr>
          <w:rFonts w:eastAsiaTheme="majorEastAsia"/>
          <w:b/>
          <w:bCs/>
          <w:sz w:val="22"/>
          <w:szCs w:val="22"/>
        </w:rPr>
      </w:pPr>
      <w:r w:rsidRPr="004A26C3">
        <w:rPr>
          <w:rFonts w:eastAsiaTheme="majorEastAsia"/>
          <w:b/>
          <w:bCs/>
          <w:sz w:val="22"/>
          <w:szCs w:val="22"/>
        </w:rPr>
        <w:t>Section 4.1. Minimally adjusted models</w:t>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numPr>
          <w:ilvl w:val="0"/>
          <w:numId w:val="12"/>
        </w:numPr>
        <w:spacing w:after="0" w:line="259" w:lineRule="auto"/>
        <w:contextualSpacing/>
        <w:rPr>
          <w:rFonts w:eastAsiaTheme="minorHAnsi"/>
          <w:b/>
          <w:sz w:val="22"/>
          <w:szCs w:val="22"/>
        </w:rPr>
      </w:pPr>
      <w:r w:rsidRPr="004A26C3">
        <w:rPr>
          <w:rFonts w:eastAsiaTheme="minorHAnsi"/>
          <w:b/>
          <w:sz w:val="22"/>
          <w:szCs w:val="22"/>
        </w:rPr>
        <w:t>Age in months and cycle (default) – 503 levels of age in months</w:t>
      </w:r>
    </w:p>
    <w:p w:rsidR="004A26C3" w:rsidRPr="004A26C3" w:rsidRDefault="004A26C3" w:rsidP="004A26C3">
      <w:pPr>
        <w:numPr>
          <w:ilvl w:val="0"/>
          <w:numId w:val="12"/>
        </w:numPr>
        <w:spacing w:after="0" w:line="259" w:lineRule="auto"/>
        <w:contextualSpacing/>
        <w:rPr>
          <w:rFonts w:eastAsiaTheme="minorHAnsi"/>
          <w:b/>
          <w:sz w:val="22"/>
          <w:szCs w:val="22"/>
        </w:rPr>
      </w:pPr>
      <w:r w:rsidRPr="004A26C3">
        <w:rPr>
          <w:rFonts w:eastAsiaTheme="minorHAnsi"/>
          <w:b/>
          <w:sz w:val="22"/>
          <w:szCs w:val="22"/>
        </w:rPr>
        <w:t>Age in single years and cycle – 42 levels of age in years, from 48 to 89</w:t>
      </w:r>
    </w:p>
    <w:p w:rsidR="004A26C3" w:rsidRPr="004A26C3" w:rsidRDefault="004A26C3" w:rsidP="004A26C3">
      <w:pPr>
        <w:numPr>
          <w:ilvl w:val="0"/>
          <w:numId w:val="12"/>
        </w:numPr>
        <w:spacing w:after="0" w:line="259" w:lineRule="auto"/>
        <w:contextualSpacing/>
        <w:rPr>
          <w:rFonts w:eastAsiaTheme="minorHAnsi"/>
          <w:b/>
          <w:sz w:val="22"/>
          <w:szCs w:val="22"/>
        </w:rPr>
      </w:pPr>
      <w:r w:rsidRPr="004A26C3">
        <w:rPr>
          <w:rFonts w:eastAsiaTheme="minorHAnsi"/>
          <w:b/>
          <w:sz w:val="22"/>
          <w:szCs w:val="22"/>
        </w:rPr>
        <w:t>Age in 5-year intervals and cycle – 9 levels of 5-year age groups</w:t>
      </w:r>
    </w:p>
    <w:p w:rsidR="004A26C3" w:rsidRPr="004A26C3" w:rsidRDefault="004A26C3" w:rsidP="004A26C3">
      <w:pPr>
        <w:numPr>
          <w:ilvl w:val="0"/>
          <w:numId w:val="12"/>
        </w:numPr>
        <w:spacing w:after="0" w:line="259" w:lineRule="auto"/>
        <w:contextualSpacing/>
        <w:rPr>
          <w:rFonts w:eastAsiaTheme="minorHAnsi"/>
          <w:b/>
          <w:sz w:val="22"/>
          <w:szCs w:val="22"/>
        </w:rPr>
      </w:pPr>
      <w:r w:rsidRPr="004A26C3">
        <w:rPr>
          <w:rFonts w:eastAsiaTheme="minorHAnsi"/>
          <w:b/>
          <w:sz w:val="22"/>
          <w:szCs w:val="22"/>
        </w:rPr>
        <w:t xml:space="preserve">Age in 10-year intervals and </w:t>
      </w:r>
      <w:proofErr w:type="gramStart"/>
      <w:r w:rsidRPr="004A26C3">
        <w:rPr>
          <w:rFonts w:eastAsiaTheme="minorHAnsi"/>
          <w:b/>
          <w:sz w:val="22"/>
          <w:szCs w:val="22"/>
        </w:rPr>
        <w:t>cycle  -</w:t>
      </w:r>
      <w:proofErr w:type="gramEnd"/>
      <w:r w:rsidRPr="004A26C3">
        <w:rPr>
          <w:rFonts w:eastAsiaTheme="minorHAnsi"/>
          <w:b/>
          <w:sz w:val="22"/>
          <w:szCs w:val="22"/>
        </w:rPr>
        <w:t xml:space="preserve"> 5 levels of 10-year age groups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97,303 subjects, 721,177 subject-cycle records, 1,990 events (0.3%), 1,402,988.7 person-years of follow-up (records with unknown pack-years deleted). </w:t>
      </w:r>
    </w:p>
    <w:p w:rsidR="004A26C3" w:rsidRPr="004A26C3" w:rsidRDefault="004A26C3" w:rsidP="004A26C3">
      <w:pPr>
        <w:spacing w:after="0" w:line="276" w:lineRule="auto"/>
        <w:rPr>
          <w:rFonts w:eastAsiaTheme="minorHAnsi"/>
          <w:sz w:val="22"/>
          <w:szCs w:val="22"/>
        </w:rPr>
      </w:pPr>
    </w:p>
    <w:tbl>
      <w:tblPr>
        <w:tblStyle w:val="TableGrid"/>
        <w:tblW w:w="8163" w:type="dxa"/>
        <w:tblCellMar>
          <w:left w:w="43" w:type="dxa"/>
          <w:right w:w="43" w:type="dxa"/>
        </w:tblCellMar>
        <w:tblLook w:val="04A0" w:firstRow="1" w:lastRow="0" w:firstColumn="1" w:lastColumn="0" w:noHBand="0" w:noVBand="1"/>
      </w:tblPr>
      <w:tblGrid>
        <w:gridCol w:w="466"/>
        <w:gridCol w:w="1059"/>
        <w:gridCol w:w="1080"/>
        <w:gridCol w:w="2250"/>
        <w:gridCol w:w="698"/>
        <w:gridCol w:w="827"/>
        <w:gridCol w:w="883"/>
        <w:gridCol w:w="900"/>
      </w:tblGrid>
      <w:tr w:rsidR="004A26C3" w:rsidRPr="004A26C3" w:rsidTr="00E87BBC">
        <w:tc>
          <w:tcPr>
            <w:tcW w:w="466" w:type="dxa"/>
            <w:vAlign w:val="bottom"/>
          </w:tcPr>
          <w:p w:rsidR="004A26C3" w:rsidRPr="004A26C3" w:rsidRDefault="004A26C3" w:rsidP="004A26C3">
            <w:pPr>
              <w:spacing w:after="0"/>
              <w:rPr>
                <w:rFonts w:eastAsiaTheme="minorHAnsi"/>
                <w:sz w:val="22"/>
                <w:szCs w:val="22"/>
              </w:rPr>
            </w:pPr>
          </w:p>
        </w:tc>
        <w:tc>
          <w:tcPr>
            <w:tcW w:w="10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5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69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c>
          <w:tcPr>
            <w:tcW w:w="8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 Lower</w:t>
            </w:r>
          </w:p>
        </w:tc>
        <w:tc>
          <w:tcPr>
            <w:tcW w:w="88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 Upper</w:t>
            </w:r>
          </w:p>
        </w:tc>
        <w:tc>
          <w:tcPr>
            <w:tcW w:w="90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p-values</w:t>
            </w: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21788.88</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18861.24</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0.9145</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1.2738</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0.3666</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0.749</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0.3223</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1.7385</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0.5005</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0.9806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1.0549</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0.3641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0.9992</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0.3133</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0.2837</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p>
        </w:tc>
        <w:tc>
          <w:tcPr>
            <w:tcW w:w="698" w:type="dxa"/>
          </w:tcPr>
          <w:p w:rsidR="004A26C3" w:rsidRPr="004A26C3" w:rsidRDefault="004A26C3" w:rsidP="004A26C3">
            <w:pPr>
              <w:spacing w:after="0"/>
              <w:jc w:val="right"/>
              <w:rPr>
                <w:rFonts w:eastAsiaTheme="minorHAnsi"/>
                <w:sz w:val="22"/>
                <w:szCs w:val="22"/>
              </w:rPr>
            </w:pPr>
          </w:p>
        </w:tc>
        <w:tc>
          <w:tcPr>
            <w:tcW w:w="827" w:type="dxa"/>
          </w:tcPr>
          <w:p w:rsidR="004A26C3" w:rsidRPr="004A26C3" w:rsidRDefault="004A26C3" w:rsidP="004A26C3">
            <w:pPr>
              <w:spacing w:after="0"/>
              <w:jc w:val="right"/>
              <w:rPr>
                <w:rFonts w:eastAsiaTheme="minorHAnsi"/>
                <w:sz w:val="22"/>
                <w:szCs w:val="22"/>
              </w:rPr>
            </w:pPr>
          </w:p>
        </w:tc>
        <w:tc>
          <w:tcPr>
            <w:tcW w:w="883" w:type="dxa"/>
          </w:tcPr>
          <w:p w:rsidR="004A26C3" w:rsidRPr="004A26C3" w:rsidRDefault="004A26C3" w:rsidP="004A26C3">
            <w:pPr>
              <w:spacing w:after="0"/>
              <w:jc w:val="right"/>
              <w:rPr>
                <w:rFonts w:eastAsiaTheme="minorHAnsi"/>
                <w:sz w:val="22"/>
                <w:szCs w:val="22"/>
              </w:rPr>
            </w:pPr>
          </w:p>
        </w:tc>
        <w:tc>
          <w:tcPr>
            <w:tcW w:w="900" w:type="dxa"/>
          </w:tcPr>
          <w:p w:rsidR="004A26C3" w:rsidRPr="004A26C3" w:rsidRDefault="004A26C3" w:rsidP="004A26C3">
            <w:pPr>
              <w:spacing w:after="0"/>
              <w:jc w:val="right"/>
              <w:rPr>
                <w:rFonts w:eastAsiaTheme="minorHAnsi"/>
                <w:sz w:val="22"/>
                <w:szCs w:val="22"/>
              </w:rPr>
            </w:pP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31651.01</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28718.65</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1.102</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0.9354</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1.2980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0.2457</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0.725</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0.3271</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1.6064</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0.4281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0.9836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1.0538</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0.3065</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0.9992</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0.2648</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0.2481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p>
        </w:tc>
        <w:tc>
          <w:tcPr>
            <w:tcW w:w="698" w:type="dxa"/>
          </w:tcPr>
          <w:p w:rsidR="004A26C3" w:rsidRPr="004A26C3" w:rsidRDefault="004A26C3" w:rsidP="004A26C3">
            <w:pPr>
              <w:spacing w:after="0"/>
              <w:jc w:val="right"/>
              <w:rPr>
                <w:rFonts w:eastAsiaTheme="minorHAnsi"/>
                <w:sz w:val="22"/>
                <w:szCs w:val="22"/>
              </w:rPr>
            </w:pPr>
          </w:p>
        </w:tc>
        <w:tc>
          <w:tcPr>
            <w:tcW w:w="827" w:type="dxa"/>
          </w:tcPr>
          <w:p w:rsidR="004A26C3" w:rsidRPr="004A26C3" w:rsidRDefault="004A26C3" w:rsidP="004A26C3">
            <w:pPr>
              <w:spacing w:after="0"/>
              <w:jc w:val="right"/>
              <w:rPr>
                <w:rFonts w:eastAsiaTheme="minorHAnsi"/>
                <w:sz w:val="22"/>
                <w:szCs w:val="22"/>
              </w:rPr>
            </w:pPr>
          </w:p>
        </w:tc>
        <w:tc>
          <w:tcPr>
            <w:tcW w:w="883" w:type="dxa"/>
          </w:tcPr>
          <w:p w:rsidR="004A26C3" w:rsidRPr="004A26C3" w:rsidRDefault="004A26C3" w:rsidP="004A26C3">
            <w:pPr>
              <w:spacing w:after="0"/>
              <w:jc w:val="right"/>
              <w:rPr>
                <w:rFonts w:eastAsiaTheme="minorHAnsi"/>
                <w:sz w:val="22"/>
                <w:szCs w:val="22"/>
              </w:rPr>
            </w:pPr>
          </w:p>
        </w:tc>
        <w:tc>
          <w:tcPr>
            <w:tcW w:w="900" w:type="dxa"/>
          </w:tcPr>
          <w:p w:rsidR="004A26C3" w:rsidRPr="004A26C3" w:rsidRDefault="004A26C3" w:rsidP="004A26C3">
            <w:pPr>
              <w:spacing w:after="0"/>
              <w:jc w:val="right"/>
              <w:rPr>
                <w:rFonts w:eastAsiaTheme="minorHAnsi"/>
                <w:sz w:val="22"/>
                <w:szCs w:val="22"/>
              </w:rPr>
            </w:pP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37858.95</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34923.77</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0.9287</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1.2886</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0.2824</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0.762</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0.3737</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1.5538</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0.4546</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0.9846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1.0473</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0.3290</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0.9993</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0.2901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0.2694</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p>
        </w:tc>
        <w:tc>
          <w:tcPr>
            <w:tcW w:w="698" w:type="dxa"/>
          </w:tcPr>
          <w:p w:rsidR="004A26C3" w:rsidRPr="004A26C3" w:rsidRDefault="004A26C3" w:rsidP="004A26C3">
            <w:pPr>
              <w:spacing w:after="0"/>
              <w:jc w:val="right"/>
              <w:rPr>
                <w:rFonts w:eastAsiaTheme="minorHAnsi"/>
                <w:sz w:val="22"/>
                <w:szCs w:val="22"/>
              </w:rPr>
            </w:pPr>
          </w:p>
        </w:tc>
        <w:tc>
          <w:tcPr>
            <w:tcW w:w="827" w:type="dxa"/>
          </w:tcPr>
          <w:p w:rsidR="004A26C3" w:rsidRPr="004A26C3" w:rsidRDefault="004A26C3" w:rsidP="004A26C3">
            <w:pPr>
              <w:spacing w:after="0"/>
              <w:jc w:val="right"/>
              <w:rPr>
                <w:rFonts w:eastAsiaTheme="minorHAnsi"/>
                <w:sz w:val="22"/>
                <w:szCs w:val="22"/>
              </w:rPr>
            </w:pPr>
          </w:p>
        </w:tc>
        <w:tc>
          <w:tcPr>
            <w:tcW w:w="883" w:type="dxa"/>
          </w:tcPr>
          <w:p w:rsidR="004A26C3" w:rsidRPr="004A26C3" w:rsidRDefault="004A26C3" w:rsidP="004A26C3">
            <w:pPr>
              <w:spacing w:after="0"/>
              <w:jc w:val="right"/>
              <w:rPr>
                <w:rFonts w:eastAsiaTheme="minorHAnsi"/>
                <w:sz w:val="22"/>
                <w:szCs w:val="22"/>
              </w:rPr>
            </w:pPr>
          </w:p>
        </w:tc>
        <w:tc>
          <w:tcPr>
            <w:tcW w:w="900" w:type="dxa"/>
          </w:tcPr>
          <w:p w:rsidR="004A26C3" w:rsidRPr="004A26C3" w:rsidRDefault="004A26C3" w:rsidP="004A26C3">
            <w:pPr>
              <w:spacing w:after="0"/>
              <w:jc w:val="right"/>
              <w:rPr>
                <w:rFonts w:eastAsiaTheme="minorHAnsi"/>
                <w:sz w:val="22"/>
                <w:szCs w:val="22"/>
              </w:rPr>
            </w:pP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40220.35</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37264.86</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1.096</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0.9304</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1.2911</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0.2727</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0.853</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0.4619</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1.5750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0.6112</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1.009</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0.9826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1.0362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0.5072</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0.9995</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1.0003</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0.5048</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0.5169</w:t>
            </w:r>
          </w:p>
        </w:tc>
      </w:tr>
    </w:tbl>
    <w:p w:rsidR="004A26C3" w:rsidRPr="004A26C3" w:rsidRDefault="004A26C3" w:rsidP="004A26C3">
      <w:pPr>
        <w:spacing w:after="200" w:line="276" w:lineRule="auto"/>
        <w:rPr>
          <w:rFonts w:eastAsiaTheme="minorHAnsi"/>
          <w:b/>
          <w:szCs w:val="24"/>
        </w:rPr>
      </w:pPr>
    </w:p>
    <w:p w:rsidR="004A26C3" w:rsidRPr="004A26C3" w:rsidRDefault="004A26C3" w:rsidP="004A26C3">
      <w:pPr>
        <w:keepNext/>
        <w:keepLines/>
        <w:spacing w:before="200" w:after="0" w:line="276" w:lineRule="auto"/>
        <w:outlineLvl w:val="2"/>
        <w:rPr>
          <w:rFonts w:eastAsiaTheme="majorEastAsia"/>
          <w:b/>
          <w:bCs/>
          <w:sz w:val="22"/>
          <w:szCs w:val="22"/>
        </w:rPr>
      </w:pPr>
      <w:r w:rsidRPr="004A26C3">
        <w:rPr>
          <w:rFonts w:eastAsiaTheme="majorEastAsia"/>
          <w:b/>
          <w:bCs/>
          <w:sz w:val="22"/>
          <w:szCs w:val="22"/>
        </w:rPr>
        <w:br w:type="page"/>
      </w:r>
      <w:r w:rsidRPr="004A26C3">
        <w:rPr>
          <w:rFonts w:eastAsiaTheme="majorEastAsia"/>
          <w:b/>
          <w:bCs/>
          <w:sz w:val="22"/>
          <w:szCs w:val="22"/>
        </w:rPr>
        <w:lastRenderedPageBreak/>
        <w:t xml:space="preserve">Section 4.2. Fully adjusted models </w:t>
      </w:r>
    </w:p>
    <w:p w:rsidR="004A26C3" w:rsidRPr="004A26C3" w:rsidRDefault="004A26C3" w:rsidP="004A26C3">
      <w:pPr>
        <w:spacing w:after="0" w:line="276" w:lineRule="auto"/>
        <w:rPr>
          <w:rFonts w:eastAsiaTheme="minorHAnsi"/>
          <w:sz w:val="22"/>
          <w:szCs w:val="22"/>
        </w:rPr>
      </w:pPr>
    </w:p>
    <w:p w:rsidR="004A26C3" w:rsidRPr="004A26C3" w:rsidRDefault="004A26C3" w:rsidP="004A26C3">
      <w:pPr>
        <w:numPr>
          <w:ilvl w:val="0"/>
          <w:numId w:val="13"/>
        </w:numPr>
        <w:spacing w:after="0" w:line="259" w:lineRule="auto"/>
        <w:contextualSpacing/>
        <w:rPr>
          <w:rFonts w:eastAsiaTheme="minorHAnsi"/>
          <w:b/>
          <w:sz w:val="22"/>
          <w:szCs w:val="22"/>
        </w:rPr>
      </w:pPr>
      <w:r w:rsidRPr="004A26C3">
        <w:rPr>
          <w:rFonts w:eastAsiaTheme="minorHAnsi"/>
          <w:b/>
          <w:sz w:val="22"/>
          <w:szCs w:val="22"/>
        </w:rPr>
        <w:t>Age in months and cycle (default) – 503 levels of age in months</w:t>
      </w:r>
    </w:p>
    <w:p w:rsidR="004A26C3" w:rsidRPr="004A26C3" w:rsidRDefault="004A26C3" w:rsidP="004A26C3">
      <w:pPr>
        <w:numPr>
          <w:ilvl w:val="0"/>
          <w:numId w:val="13"/>
        </w:numPr>
        <w:spacing w:after="0" w:line="259" w:lineRule="auto"/>
        <w:contextualSpacing/>
        <w:rPr>
          <w:rFonts w:eastAsiaTheme="minorHAnsi"/>
          <w:b/>
          <w:sz w:val="22"/>
          <w:szCs w:val="22"/>
        </w:rPr>
      </w:pPr>
      <w:r w:rsidRPr="004A26C3">
        <w:rPr>
          <w:rFonts w:eastAsiaTheme="minorHAnsi"/>
          <w:b/>
          <w:sz w:val="22"/>
          <w:szCs w:val="22"/>
        </w:rPr>
        <w:t>Age in single years and cycle – 42 levels of age in years, from 48 to 89</w:t>
      </w:r>
    </w:p>
    <w:p w:rsidR="004A26C3" w:rsidRPr="004A26C3" w:rsidRDefault="004A26C3" w:rsidP="004A26C3">
      <w:pPr>
        <w:numPr>
          <w:ilvl w:val="0"/>
          <w:numId w:val="13"/>
        </w:numPr>
        <w:spacing w:after="0" w:line="259" w:lineRule="auto"/>
        <w:contextualSpacing/>
        <w:rPr>
          <w:rFonts w:eastAsiaTheme="minorHAnsi"/>
          <w:b/>
          <w:sz w:val="22"/>
          <w:szCs w:val="22"/>
        </w:rPr>
      </w:pPr>
      <w:r w:rsidRPr="004A26C3">
        <w:rPr>
          <w:rFonts w:eastAsiaTheme="minorHAnsi"/>
          <w:b/>
          <w:sz w:val="22"/>
          <w:szCs w:val="22"/>
        </w:rPr>
        <w:t>Age in 5-year intervals and cycle – 9 levels of 5-year age groups</w:t>
      </w:r>
    </w:p>
    <w:p w:rsidR="004A26C3" w:rsidRPr="004A26C3" w:rsidRDefault="004A26C3" w:rsidP="004A26C3">
      <w:pPr>
        <w:numPr>
          <w:ilvl w:val="0"/>
          <w:numId w:val="13"/>
        </w:numPr>
        <w:spacing w:after="0" w:line="259" w:lineRule="auto"/>
        <w:contextualSpacing/>
        <w:rPr>
          <w:rFonts w:eastAsiaTheme="minorHAnsi"/>
          <w:b/>
          <w:sz w:val="22"/>
          <w:szCs w:val="22"/>
        </w:rPr>
      </w:pPr>
      <w:r w:rsidRPr="004A26C3">
        <w:rPr>
          <w:rFonts w:eastAsiaTheme="minorHAnsi"/>
          <w:b/>
          <w:sz w:val="22"/>
          <w:szCs w:val="22"/>
        </w:rPr>
        <w:t xml:space="preserve">Age in 10-year intervals and </w:t>
      </w:r>
      <w:proofErr w:type="gramStart"/>
      <w:r w:rsidRPr="004A26C3">
        <w:rPr>
          <w:rFonts w:eastAsiaTheme="minorHAnsi"/>
          <w:b/>
          <w:sz w:val="22"/>
          <w:szCs w:val="22"/>
        </w:rPr>
        <w:t>cycle  -</w:t>
      </w:r>
      <w:proofErr w:type="gramEnd"/>
      <w:r w:rsidRPr="004A26C3">
        <w:rPr>
          <w:rFonts w:eastAsiaTheme="minorHAnsi"/>
          <w:b/>
          <w:sz w:val="22"/>
          <w:szCs w:val="22"/>
        </w:rPr>
        <w:t xml:space="preserve"> 5 levels of 10-year age groups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97,303 subjects, 721,177 subject-cycle records, 1,990 events (0.3%), 1,402,988.7 person-years of follow-up (records with unknown pack-years deleted). </w:t>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Additional covariates included in fully adjusted models:</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 value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Median household income in census tract</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Body mass index</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Overall diet quality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Alcohol consumption</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Physical activity</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from parent in childhood</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home</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Secondhand smoke at work</w:t>
      </w:r>
    </w:p>
    <w:p w:rsidR="004A26C3" w:rsidRPr="004A26C3" w:rsidRDefault="004A26C3" w:rsidP="004A26C3">
      <w:pPr>
        <w:numPr>
          <w:ilvl w:val="0"/>
          <w:numId w:val="10"/>
        </w:numPr>
        <w:spacing w:after="0" w:line="259" w:lineRule="auto"/>
        <w:contextualSpacing/>
        <w:rPr>
          <w:rFonts w:eastAsiaTheme="minorHAnsi"/>
          <w:b/>
          <w:sz w:val="22"/>
          <w:szCs w:val="22"/>
        </w:rPr>
      </w:pPr>
      <w:r w:rsidRPr="004A26C3">
        <w:rPr>
          <w:rFonts w:eastAsiaTheme="minorHAnsi"/>
          <w:b/>
          <w:sz w:val="22"/>
          <w:szCs w:val="22"/>
        </w:rPr>
        <w:t>Duration of secondhand smoke at home</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tbl>
      <w:tblPr>
        <w:tblStyle w:val="TableGrid"/>
        <w:tblW w:w="8163" w:type="dxa"/>
        <w:tblCellMar>
          <w:left w:w="43" w:type="dxa"/>
          <w:right w:w="43" w:type="dxa"/>
        </w:tblCellMar>
        <w:tblLook w:val="04A0" w:firstRow="1" w:lastRow="0" w:firstColumn="1" w:lastColumn="0" w:noHBand="0" w:noVBand="1"/>
      </w:tblPr>
      <w:tblGrid>
        <w:gridCol w:w="466"/>
        <w:gridCol w:w="1059"/>
        <w:gridCol w:w="1080"/>
        <w:gridCol w:w="2250"/>
        <w:gridCol w:w="698"/>
        <w:gridCol w:w="827"/>
        <w:gridCol w:w="883"/>
        <w:gridCol w:w="900"/>
      </w:tblGrid>
      <w:tr w:rsidR="004A26C3" w:rsidRPr="004A26C3" w:rsidTr="00E87BBC">
        <w:tc>
          <w:tcPr>
            <w:tcW w:w="466" w:type="dxa"/>
            <w:vAlign w:val="bottom"/>
          </w:tcPr>
          <w:p w:rsidR="004A26C3" w:rsidRPr="004A26C3" w:rsidRDefault="004A26C3" w:rsidP="004A26C3">
            <w:pPr>
              <w:spacing w:after="0"/>
              <w:rPr>
                <w:rFonts w:eastAsiaTheme="minorHAnsi"/>
                <w:sz w:val="22"/>
                <w:szCs w:val="22"/>
              </w:rPr>
            </w:pPr>
          </w:p>
        </w:tc>
        <w:tc>
          <w:tcPr>
            <w:tcW w:w="105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5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69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c>
          <w:tcPr>
            <w:tcW w:w="8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 Lower</w:t>
            </w:r>
          </w:p>
        </w:tc>
        <w:tc>
          <w:tcPr>
            <w:tcW w:w="88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 Upper</w:t>
            </w:r>
          </w:p>
        </w:tc>
        <w:tc>
          <w:tcPr>
            <w:tcW w:w="90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p-values</w:t>
            </w: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21788.88</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18861.24</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0.9145</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1.2738</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0.3666</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0.749</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0.3223</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1.7385</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0.5005</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0.9806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1.0549</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0.3641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0.9992</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0.3133</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0.2837</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p>
        </w:tc>
        <w:tc>
          <w:tcPr>
            <w:tcW w:w="698" w:type="dxa"/>
          </w:tcPr>
          <w:p w:rsidR="004A26C3" w:rsidRPr="004A26C3" w:rsidRDefault="004A26C3" w:rsidP="004A26C3">
            <w:pPr>
              <w:spacing w:after="0"/>
              <w:jc w:val="right"/>
              <w:rPr>
                <w:rFonts w:eastAsiaTheme="minorHAnsi"/>
                <w:sz w:val="22"/>
                <w:szCs w:val="22"/>
              </w:rPr>
            </w:pPr>
          </w:p>
        </w:tc>
        <w:tc>
          <w:tcPr>
            <w:tcW w:w="827" w:type="dxa"/>
          </w:tcPr>
          <w:p w:rsidR="004A26C3" w:rsidRPr="004A26C3" w:rsidRDefault="004A26C3" w:rsidP="004A26C3">
            <w:pPr>
              <w:spacing w:after="0"/>
              <w:jc w:val="right"/>
              <w:rPr>
                <w:rFonts w:eastAsiaTheme="minorHAnsi"/>
                <w:sz w:val="22"/>
                <w:szCs w:val="22"/>
              </w:rPr>
            </w:pPr>
          </w:p>
        </w:tc>
        <w:tc>
          <w:tcPr>
            <w:tcW w:w="883" w:type="dxa"/>
          </w:tcPr>
          <w:p w:rsidR="004A26C3" w:rsidRPr="004A26C3" w:rsidRDefault="004A26C3" w:rsidP="004A26C3">
            <w:pPr>
              <w:spacing w:after="0"/>
              <w:jc w:val="right"/>
              <w:rPr>
                <w:rFonts w:eastAsiaTheme="minorHAnsi"/>
                <w:sz w:val="22"/>
                <w:szCs w:val="22"/>
              </w:rPr>
            </w:pPr>
          </w:p>
        </w:tc>
        <w:tc>
          <w:tcPr>
            <w:tcW w:w="900" w:type="dxa"/>
          </w:tcPr>
          <w:p w:rsidR="004A26C3" w:rsidRPr="004A26C3" w:rsidRDefault="004A26C3" w:rsidP="004A26C3">
            <w:pPr>
              <w:spacing w:after="0"/>
              <w:jc w:val="right"/>
              <w:rPr>
                <w:rFonts w:eastAsiaTheme="minorHAnsi"/>
                <w:sz w:val="22"/>
                <w:szCs w:val="22"/>
              </w:rPr>
            </w:pP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31651.01</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28718.65</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1.102</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0.9354</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1.2980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0.2457</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0.725</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0.3271</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1.6064</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0.4281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0.9836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1.0538</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0.3065</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0.9992</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0.2648</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0.2481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p>
        </w:tc>
        <w:tc>
          <w:tcPr>
            <w:tcW w:w="698" w:type="dxa"/>
          </w:tcPr>
          <w:p w:rsidR="004A26C3" w:rsidRPr="004A26C3" w:rsidRDefault="004A26C3" w:rsidP="004A26C3">
            <w:pPr>
              <w:spacing w:after="0"/>
              <w:jc w:val="right"/>
              <w:rPr>
                <w:rFonts w:eastAsiaTheme="minorHAnsi"/>
                <w:sz w:val="22"/>
                <w:szCs w:val="22"/>
              </w:rPr>
            </w:pPr>
          </w:p>
        </w:tc>
        <w:tc>
          <w:tcPr>
            <w:tcW w:w="827" w:type="dxa"/>
          </w:tcPr>
          <w:p w:rsidR="004A26C3" w:rsidRPr="004A26C3" w:rsidRDefault="004A26C3" w:rsidP="004A26C3">
            <w:pPr>
              <w:spacing w:after="0"/>
              <w:jc w:val="right"/>
              <w:rPr>
                <w:rFonts w:eastAsiaTheme="minorHAnsi"/>
                <w:sz w:val="22"/>
                <w:szCs w:val="22"/>
              </w:rPr>
            </w:pPr>
          </w:p>
        </w:tc>
        <w:tc>
          <w:tcPr>
            <w:tcW w:w="883" w:type="dxa"/>
          </w:tcPr>
          <w:p w:rsidR="004A26C3" w:rsidRPr="004A26C3" w:rsidRDefault="004A26C3" w:rsidP="004A26C3">
            <w:pPr>
              <w:spacing w:after="0"/>
              <w:jc w:val="right"/>
              <w:rPr>
                <w:rFonts w:eastAsiaTheme="minorHAnsi"/>
                <w:sz w:val="22"/>
                <w:szCs w:val="22"/>
              </w:rPr>
            </w:pPr>
          </w:p>
        </w:tc>
        <w:tc>
          <w:tcPr>
            <w:tcW w:w="900" w:type="dxa"/>
          </w:tcPr>
          <w:p w:rsidR="004A26C3" w:rsidRPr="004A26C3" w:rsidRDefault="004A26C3" w:rsidP="004A26C3">
            <w:pPr>
              <w:spacing w:after="0"/>
              <w:jc w:val="right"/>
              <w:rPr>
                <w:rFonts w:eastAsiaTheme="minorHAnsi"/>
                <w:sz w:val="22"/>
                <w:szCs w:val="22"/>
              </w:rPr>
            </w:pP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37858.95</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34923.77</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0.9287</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1.2886</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0.2824</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0.762</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0.3737</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1.5538</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0.4546</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0.9846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1.0473</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0.3290</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0.9993</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0.2901</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0.2694</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p>
        </w:tc>
        <w:tc>
          <w:tcPr>
            <w:tcW w:w="698" w:type="dxa"/>
          </w:tcPr>
          <w:p w:rsidR="004A26C3" w:rsidRPr="004A26C3" w:rsidRDefault="004A26C3" w:rsidP="004A26C3">
            <w:pPr>
              <w:spacing w:after="0"/>
              <w:jc w:val="right"/>
              <w:rPr>
                <w:rFonts w:eastAsiaTheme="minorHAnsi"/>
                <w:sz w:val="22"/>
                <w:szCs w:val="22"/>
              </w:rPr>
            </w:pPr>
          </w:p>
        </w:tc>
        <w:tc>
          <w:tcPr>
            <w:tcW w:w="827" w:type="dxa"/>
          </w:tcPr>
          <w:p w:rsidR="004A26C3" w:rsidRPr="004A26C3" w:rsidRDefault="004A26C3" w:rsidP="004A26C3">
            <w:pPr>
              <w:spacing w:after="0"/>
              <w:jc w:val="right"/>
              <w:rPr>
                <w:rFonts w:eastAsiaTheme="minorHAnsi"/>
                <w:sz w:val="22"/>
                <w:szCs w:val="22"/>
              </w:rPr>
            </w:pPr>
          </w:p>
        </w:tc>
        <w:tc>
          <w:tcPr>
            <w:tcW w:w="883" w:type="dxa"/>
          </w:tcPr>
          <w:p w:rsidR="004A26C3" w:rsidRPr="004A26C3" w:rsidRDefault="004A26C3" w:rsidP="004A26C3">
            <w:pPr>
              <w:spacing w:after="0"/>
              <w:jc w:val="right"/>
              <w:rPr>
                <w:rFonts w:eastAsiaTheme="minorHAnsi"/>
                <w:sz w:val="22"/>
                <w:szCs w:val="22"/>
              </w:rPr>
            </w:pPr>
          </w:p>
        </w:tc>
        <w:tc>
          <w:tcPr>
            <w:tcW w:w="900" w:type="dxa"/>
          </w:tcPr>
          <w:p w:rsidR="004A26C3" w:rsidRPr="004A26C3" w:rsidRDefault="004A26C3" w:rsidP="004A26C3">
            <w:pPr>
              <w:spacing w:after="0"/>
              <w:jc w:val="right"/>
              <w:rPr>
                <w:rFonts w:eastAsiaTheme="minorHAnsi"/>
                <w:sz w:val="22"/>
                <w:szCs w:val="22"/>
              </w:rPr>
            </w:pPr>
          </w:p>
        </w:tc>
      </w:tr>
      <w:tr w:rsidR="004A26C3" w:rsidRPr="004A26C3" w:rsidTr="00E87BBC">
        <w:tc>
          <w:tcPr>
            <w:tcW w:w="466"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59"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40220.35</w:t>
            </w:r>
          </w:p>
        </w:tc>
        <w:tc>
          <w:tcPr>
            <w:tcW w:w="10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37264.86</w:t>
            </w: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PM2.5</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1.096</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0.9304</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1.2911</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0.2727</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0.853</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0.4619</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1.5750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0.6112</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1.009</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0.9826</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1.0362</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0.5072</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0.9995</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1.0003</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0.5048</w:t>
            </w:r>
          </w:p>
        </w:tc>
      </w:tr>
      <w:tr w:rsidR="004A26C3" w:rsidRPr="004A26C3" w:rsidTr="00E87BBC">
        <w:tc>
          <w:tcPr>
            <w:tcW w:w="466" w:type="dxa"/>
          </w:tcPr>
          <w:p w:rsidR="004A26C3" w:rsidRPr="004A26C3" w:rsidRDefault="004A26C3" w:rsidP="004A26C3">
            <w:pPr>
              <w:spacing w:after="0"/>
              <w:rPr>
                <w:rFonts w:eastAsiaTheme="minorHAnsi"/>
                <w:sz w:val="22"/>
                <w:szCs w:val="22"/>
              </w:rPr>
            </w:pPr>
          </w:p>
        </w:tc>
        <w:tc>
          <w:tcPr>
            <w:tcW w:w="1059" w:type="dxa"/>
          </w:tcPr>
          <w:p w:rsidR="004A26C3" w:rsidRPr="004A26C3" w:rsidRDefault="004A26C3" w:rsidP="004A26C3">
            <w:pPr>
              <w:spacing w:after="0"/>
              <w:jc w:val="right"/>
              <w:rPr>
                <w:rFonts w:eastAsiaTheme="minorHAnsi"/>
                <w:sz w:val="22"/>
                <w:szCs w:val="22"/>
              </w:rPr>
            </w:pPr>
          </w:p>
        </w:tc>
        <w:tc>
          <w:tcPr>
            <w:tcW w:w="1080" w:type="dxa"/>
          </w:tcPr>
          <w:p w:rsidR="004A26C3" w:rsidRPr="004A26C3" w:rsidRDefault="004A26C3" w:rsidP="004A26C3">
            <w:pPr>
              <w:spacing w:after="0"/>
              <w:jc w:val="right"/>
              <w:rPr>
                <w:rFonts w:eastAsiaTheme="minorHAnsi"/>
                <w:sz w:val="22"/>
                <w:szCs w:val="22"/>
              </w:rPr>
            </w:pPr>
          </w:p>
        </w:tc>
        <w:tc>
          <w:tcPr>
            <w:tcW w:w="2250"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698"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c>
          <w:tcPr>
            <w:tcW w:w="827"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88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1.0000</w:t>
            </w:r>
          </w:p>
        </w:tc>
        <w:tc>
          <w:tcPr>
            <w:tcW w:w="90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0.5169</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keepNext/>
        <w:keepLines/>
        <w:spacing w:before="200" w:after="0" w:line="276" w:lineRule="auto"/>
        <w:jc w:val="center"/>
        <w:outlineLvl w:val="1"/>
        <w:rPr>
          <w:rFonts w:eastAsiaTheme="majorEastAsia"/>
          <w:b/>
          <w:bCs/>
          <w:sz w:val="26"/>
          <w:szCs w:val="26"/>
        </w:rPr>
      </w:pPr>
      <w:r w:rsidRPr="004A26C3">
        <w:rPr>
          <w:rFonts w:eastAsiaTheme="majorEastAsia"/>
          <w:b/>
          <w:bCs/>
          <w:sz w:val="26"/>
          <w:szCs w:val="26"/>
        </w:rPr>
        <w:lastRenderedPageBreak/>
        <w:t>Section 5: Models using different PM size fractions</w:t>
      </w:r>
    </w:p>
    <w:p w:rsidR="004A26C3" w:rsidRPr="004A26C3" w:rsidRDefault="004A26C3" w:rsidP="004A26C3">
      <w:pPr>
        <w:keepNext/>
        <w:keepLines/>
        <w:spacing w:before="200" w:after="0" w:line="276" w:lineRule="auto"/>
        <w:outlineLvl w:val="2"/>
        <w:rPr>
          <w:rFonts w:eastAsiaTheme="majorEastAsia"/>
          <w:b/>
          <w:bCs/>
          <w:sz w:val="22"/>
          <w:szCs w:val="22"/>
        </w:rPr>
      </w:pPr>
      <w:r w:rsidRPr="004A26C3">
        <w:rPr>
          <w:rFonts w:eastAsiaTheme="majorEastAsia"/>
          <w:b/>
          <w:bCs/>
          <w:sz w:val="22"/>
          <w:szCs w:val="22"/>
        </w:rPr>
        <w:t>Section 5.1: PM</w:t>
      </w:r>
      <w:r w:rsidRPr="004A26C3">
        <w:rPr>
          <w:rFonts w:eastAsiaTheme="majorEastAsia"/>
          <w:b/>
          <w:bCs/>
          <w:sz w:val="22"/>
          <w:szCs w:val="22"/>
          <w:vertAlign w:val="subscript"/>
        </w:rPr>
        <w:t>10</w:t>
      </w:r>
      <w:r w:rsidRPr="004A26C3">
        <w:rPr>
          <w:rFonts w:eastAsiaTheme="majorEastAsia"/>
          <w:b/>
          <w:bCs/>
          <w:sz w:val="22"/>
          <w:szCs w:val="22"/>
        </w:rPr>
        <w:t xml:space="preserve"> </w:t>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Based on Pack-Years of Smoking</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1,402,829.1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21795.29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0.04394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19734.36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3.25414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1484.58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1.86354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18721.45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1.40518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179.90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0.96338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1143.02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18550.36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0.18475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0.13154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375.64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18545.54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0.72061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0.70822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380.25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18549.92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377.19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337.35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18509.62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0.04660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82.95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346.712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0.7867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18511.62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0.04660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344.31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0.6471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9.04 e-7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18512.98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0.47783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18878.82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-0.28394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0.42972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1667.85</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0.10250</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0.13822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1.108</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Never or Former Smokers (Quit for </w:t>
      </w:r>
      <w:r w:rsidRPr="004A26C3">
        <w:rPr>
          <w:rFonts w:ascii="Calibri" w:eastAsiaTheme="minorHAnsi" w:hAnsi="Calibri"/>
          <w:b/>
          <w:sz w:val="22"/>
          <w:szCs w:val="22"/>
        </w:rPr>
        <w:t>≥</w:t>
      </w:r>
      <w:r w:rsidRPr="004A26C3">
        <w:rPr>
          <w:rFonts w:eastAsiaTheme="minorHAnsi"/>
          <w:b/>
          <w:sz w:val="22"/>
          <w:szCs w:val="22"/>
        </w:rPr>
        <w:t xml:space="preserve"> 10 Years), Based on Pack-Years of Smoking</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83,819 subjects, 596,454 subject-cycle records, 833 events (0.1%), 1,161,499.3 person-years of follow-up (records with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8777.60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8380.45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1.51921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321.23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lastRenderedPageBreak/>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7986.66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0.61455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0.10082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473.09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7943.96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139.29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7943.96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0.79394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0.02645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7939.27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0.51641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0.40047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-0.62394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1.15209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0.02766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7944.41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0.07160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85.14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7935.36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7937.06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0.15638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0.7167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7938.88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-0.46640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3.14e-6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8016.26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-0.47902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2.93e-6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 Based on Pack-Years of Smoking</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8449.94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8396.61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0.45298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8051.37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0.18798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8024.72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230.89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8026.17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8016.86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-0.04011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-0.32921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0.88518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0.5761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0.5428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8024.90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231.44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8013.29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8013.94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0.20548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8013.94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-0.31799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0.88503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8045.88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-0.30897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0.86632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0.7241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Former Smokers Only (Quit for </w:t>
      </w:r>
      <w:r w:rsidRPr="004A26C3">
        <w:rPr>
          <w:rFonts w:ascii="Calibri" w:eastAsiaTheme="minorHAnsi" w:hAnsi="Calibri"/>
          <w:b/>
          <w:sz w:val="22"/>
          <w:szCs w:val="22"/>
        </w:rPr>
        <w:t>≥</w:t>
      </w:r>
      <w:r w:rsidRPr="004A26C3">
        <w:rPr>
          <w:rFonts w:eastAsiaTheme="minorHAnsi"/>
          <w:b/>
          <w:sz w:val="22"/>
          <w:szCs w:val="22"/>
        </w:rPr>
        <w:t xml:space="preserve"> 10 Years), Based on Pack-Years of Smoking</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39,575 subjects, 259,080 subject-cycle records, 654 events (0.3%), 502,399.8 person-years of follow-up (records with unknown pack-years, unknown years smoked,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5848.17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0.14763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5456.74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0.15539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0.08410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462.44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5410.63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0.14572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136.48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5411.84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0.14526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5408.03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0.14249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5409.95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0.14271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0.19849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5411.73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-0.50865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1.40754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0.7178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1.80e-6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5454.83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0.15362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-0.51252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1.36072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2.01e-6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Based on Average Packs / Year</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1,402,829.1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lastRenderedPageBreak/>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lastRenderedPageBreak/>
              <w:t xml:space="preserve">AIC w/ </w:t>
            </w:r>
            <w:proofErr w:type="spellStart"/>
            <w:r w:rsidRPr="004A26C3">
              <w:rPr>
                <w:rFonts w:eastAsiaTheme="minorHAnsi"/>
                <w:b/>
                <w:sz w:val="22"/>
                <w:szCs w:val="22"/>
              </w:rPr>
              <w:lastRenderedPageBreak/>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lastRenderedPageBreak/>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21795.29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0.04394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19734.36</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3.25414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1484.58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1.86354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18872.04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-0.30121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0.15980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0.12933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1.00699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0.13990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51.81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741.05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18570.23</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174.93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18866.86</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0.13423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1637.99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18868.51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0.7388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0.45320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1.02971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1633.25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18869.20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0.01588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3.24320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2.63088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25.616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1631.85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0.2504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18870.41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0.01600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1.61259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3.36704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1631.17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18886.14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0.04659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1.35328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3.57407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3.870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2215.29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1667.85</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0.10250</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0.13822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1.108</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Never or Former Smokers (Quit for </w:t>
      </w:r>
      <w:r w:rsidRPr="004A26C3">
        <w:rPr>
          <w:rFonts w:ascii="Calibri" w:eastAsiaTheme="minorHAnsi" w:hAnsi="Calibri"/>
          <w:b/>
          <w:sz w:val="22"/>
          <w:szCs w:val="22"/>
        </w:rPr>
        <w:t>≥</w:t>
      </w:r>
      <w:r w:rsidRPr="004A26C3">
        <w:rPr>
          <w:rFonts w:eastAsiaTheme="minorHAnsi"/>
          <w:b/>
          <w:sz w:val="22"/>
          <w:szCs w:val="22"/>
        </w:rPr>
        <w:t xml:space="preserve"> 10 Years), Based on Average Packs / Year</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83,819 subjects, 596,454 subject-cycle records, 833 events (0.1%), 1,161,499.3 person-years of follow-up (records with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8777.60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8380.45</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1.51921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321.23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8067.28</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0.11627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-0.25825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0.61665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264.92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8066.47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0.32185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0.37667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0.3928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0.62878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59.16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2.870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8069.38</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0.11626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0.35521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0.37993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4.93226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4.58357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138.692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0.05415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56.86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-0.22906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8065.19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689.00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8067.17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0.49047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1.36188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689.10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8066.98</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6.26227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1.36188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524.410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687.77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-0.17331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8068.24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0.11602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5.10264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4.53198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164.455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686.83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-0.22925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8070.99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0.11834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5.02655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4.67024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152.407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664.26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-0.22775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 Based on Average Packs / Year</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b/>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8449.94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8396.61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0.45298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8150.90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3.62725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0.28178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8149.22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3.57887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0.26780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178.59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35.833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8148.97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3.74326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0.29051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42.235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8148.00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3.76354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0.28991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43.101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8149.83</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2.71457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2.58335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15.098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8151.25</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-0.04519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4.79839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3.76207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121.315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159.85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8151.70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0.4740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15.38815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9.13338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&gt;999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-0.04192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0.10329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b/>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Former Smokers Only (Quit for </w:t>
      </w:r>
      <w:r w:rsidRPr="004A26C3">
        <w:rPr>
          <w:rFonts w:ascii="Calibri" w:eastAsiaTheme="minorHAnsi" w:hAnsi="Calibri"/>
          <w:b/>
          <w:sz w:val="22"/>
          <w:szCs w:val="22"/>
        </w:rPr>
        <w:t>≥</w:t>
      </w:r>
      <w:r w:rsidRPr="004A26C3">
        <w:rPr>
          <w:rFonts w:eastAsiaTheme="minorHAnsi"/>
          <w:b/>
          <w:sz w:val="22"/>
          <w:szCs w:val="22"/>
        </w:rPr>
        <w:t xml:space="preserve"> 10 Years), Based on Average Packs / Year</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39,575 subjects, 259,080 subject-cycle records, 654 events (0.3%), 502,399.8 person-years of follow-up (records with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5848.17</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0.14763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5532.03</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0.61345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0.19996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5533.80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5535.23</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-0.53073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1.56540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5534.05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6.57041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4.20372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713.660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0.6358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5535.90</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0.08393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5.94112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4.62420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380.362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0.6304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-0.22369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-8.91 e-6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spacing w:after="200" w:line="276" w:lineRule="auto"/>
        <w:rPr>
          <w:rFonts w:eastAsiaTheme="minorHAnsi"/>
          <w:sz w:val="22"/>
          <w:szCs w:val="22"/>
        </w:rPr>
      </w:pPr>
    </w:p>
    <w:p w:rsidR="004A26C3" w:rsidRPr="004A26C3" w:rsidRDefault="004A26C3" w:rsidP="004A26C3">
      <w:pPr>
        <w:keepNext/>
        <w:keepLines/>
        <w:spacing w:before="200" w:after="0" w:line="276" w:lineRule="auto"/>
        <w:outlineLvl w:val="2"/>
        <w:rPr>
          <w:rFonts w:eastAsiaTheme="majorEastAsia"/>
          <w:b/>
          <w:bCs/>
          <w:sz w:val="22"/>
          <w:szCs w:val="22"/>
        </w:rPr>
      </w:pPr>
      <w:r w:rsidRPr="004A26C3">
        <w:rPr>
          <w:rFonts w:eastAsiaTheme="majorEastAsia"/>
          <w:b/>
          <w:bCs/>
          <w:sz w:val="22"/>
          <w:szCs w:val="22"/>
        </w:rPr>
        <w:t>Section 5.2: PM</w:t>
      </w:r>
      <w:r w:rsidRPr="004A26C3">
        <w:rPr>
          <w:rFonts w:eastAsiaTheme="majorEastAsia"/>
          <w:b/>
          <w:bCs/>
          <w:sz w:val="22"/>
          <w:szCs w:val="22"/>
          <w:vertAlign w:val="subscript"/>
        </w:rPr>
        <w:t>2.5–10</w:t>
      </w:r>
      <w:r w:rsidRPr="004A26C3">
        <w:rPr>
          <w:rFonts w:eastAsiaTheme="majorEastAsia"/>
          <w:b/>
          <w:bCs/>
          <w:sz w:val="22"/>
          <w:szCs w:val="22"/>
        </w:rPr>
        <w:t xml:space="preserve"> (coarse PM) </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Based on Pack-Years of Smoking</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1,402,829.1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21794.68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19734.47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3.25390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1484.26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1.86282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532.026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18721.83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0.02702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1.40526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179.92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4.077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0.96271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18550.52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0.18414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0.14328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0.13068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168.48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18545.69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0.07205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0.70777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2.029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18550.06</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0.07209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0.7666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377.00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0.03824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337.45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0.7373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18509.79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0.07575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82.95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346.82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0.7796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18511.78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344.42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8.76 e-7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18513.15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0.07210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0.8284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0.47782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0.5381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343.90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18879.23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-0.28240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0.42969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1668.18</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0.09761</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1.103</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 xml:space="preserve">Never or Former Smokers (Quit for </w:t>
      </w:r>
      <w:r w:rsidRPr="004A26C3">
        <w:rPr>
          <w:rFonts w:ascii="Calibri" w:eastAsiaTheme="minorHAnsi" w:hAnsi="Calibri"/>
          <w:b/>
          <w:sz w:val="22"/>
          <w:szCs w:val="22"/>
        </w:rPr>
        <w:t>≥</w:t>
      </w:r>
      <w:r w:rsidRPr="004A26C3">
        <w:rPr>
          <w:rFonts w:eastAsiaTheme="minorHAnsi"/>
          <w:b/>
          <w:sz w:val="22"/>
          <w:szCs w:val="22"/>
        </w:rPr>
        <w:t xml:space="preserve"> 10 Years), Based on Pack-Years of Smoking</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83,819 subjects, 596,454 subject-cycle records, 833 events (0.1%), 1,161,499.3 person-years of follow-up (records with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8382.31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1.51637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lastRenderedPageBreak/>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7989.03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0.11722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0.61175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0.10082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472.49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7946.07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0.11130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0.5238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7944.07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0.79179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0.37037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2.207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7941.37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0.10475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0.10849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0.51435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0.40058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-0.61344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1.15146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0.2059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0.02720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0.5762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1.64e-6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7946.47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0.11061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138.01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85.20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7937.45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0.08519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7939.14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0.15640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84.45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7940.98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-0.45672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0.02101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0.04810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3.14e-6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8018.33</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0.10689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0.10829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-0.46678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0.04492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1.58e-6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2.93e-6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 Based on Pack-Years of Smoking</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8450.38</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8397.10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0.45282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8051.65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-0.03160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0.18767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0.00126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8025.01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231.08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8026.47</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-0.03938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0.08738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0.3970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8017.12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-0.03781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0.08691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-0.32850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0.88518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0.4593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0.01889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0.6256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0.5433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8025.19</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0.7564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0.02090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231.63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0.03506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25.50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8013.55</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0.01397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0.03401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0.00689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0.8315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8014.20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0.7137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0.20556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8015.84</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-0.31725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0.88503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0.7200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0.00019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0.8557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0.03870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0.6344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0.5850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2.69e-6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8046.11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-0.30888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0.86635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0.01869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0.03787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Former Smokers Only (Quit for ≥ 10 Years), Based on Pack-Years of Smoking</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39,575 subjects, 259,080 subject-cycle records, 654 events (0.3%), 502,399.8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4"/>
        <w:gridCol w:w="1045"/>
        <w:gridCol w:w="1064"/>
        <w:gridCol w:w="2128"/>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8"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5850.01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5459.11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0.03634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461.87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5412.71</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0.12043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0.03263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48.27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5413.92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0.11987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0.3455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5410.10</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0.08034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0.02236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5412.02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0.11290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5413.82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0.3698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-0.48852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1.40813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0.02375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0.0118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0.3190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0.02430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1.74e-6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3.88e-6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5457.22</w:t>
            </w: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0.12658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0.3366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Pack-Years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-0.48843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1.36111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0.02568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0.05750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0.6242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8" w:type="dxa"/>
          </w:tcPr>
          <w:p w:rsidR="004A26C3" w:rsidRPr="004A26C3" w:rsidRDefault="004A26C3" w:rsidP="004A26C3">
            <w:pPr>
              <w:spacing w:after="0"/>
              <w:rPr>
                <w:rFonts w:eastAsiaTheme="minorHAnsi"/>
                <w:sz w:val="22"/>
                <w:szCs w:val="22"/>
              </w:rPr>
            </w:pPr>
            <w:r w:rsidRPr="004A26C3">
              <w:rPr>
                <w:rFonts w:eastAsiaTheme="minorHAnsi"/>
                <w:sz w:val="22"/>
                <w:szCs w:val="22"/>
              </w:rPr>
              <w:t>Pack-</w:t>
            </w:r>
            <w:proofErr w:type="spellStart"/>
            <w:r w:rsidRPr="004A26C3">
              <w:rPr>
                <w:rFonts w:eastAsiaTheme="minorHAnsi"/>
                <w:sz w:val="22"/>
                <w:szCs w:val="22"/>
              </w:rPr>
              <w:t>Yr</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1.94e-6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3.75e-6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0.6048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Full Cohort, Based on Average Packs / Year</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97,303 subjects, 721,127 subject-cycle records, 1,992 events (0.3%), 1,402,829.1 person-years of follow-up (records with unknown pack-years, unknown years of smoking, or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21794.68</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19734.47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0.3869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3.25390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1484.26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25.891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1.86282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0.08076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532.026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6.442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18872.02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0.02690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-0.30147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0.15980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-0.38241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0.12932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1.00707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0.13991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51.81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2.738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741.20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18870.21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0.25021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0.7427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0.24602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1.03464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0.14025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54.42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0.06099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0.00461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174.94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0.00042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18866.84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1.06074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0.13424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62.43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2.889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0.06212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1637.65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18868.49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0.7160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0.45426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1.02983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0.6591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1632.93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17.58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0.00894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0.01495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0.5499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18869.17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0.7312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3.24429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2.63097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5.016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1631.52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-0.07693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0.07623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0.2577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18870.40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0.02685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1.027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1.61525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3.36712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5.029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0.06206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1630.84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0.2581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0.3936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21810.08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18886.15</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0.02982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0.07245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1.030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1.35548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3.57448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3.879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0.06552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2215.27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-0.10247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0.08132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0.3992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Never Smokers</w:t>
      </w: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44,245 subjects, 337,374 subject-cycle records, 179 events (0.1%), 659,099.5 person-years of follow-up.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081" w:type="dxa"/>
        <w:tblCellMar>
          <w:left w:w="43" w:type="dxa"/>
          <w:right w:w="43" w:type="dxa"/>
        </w:tblCellMar>
        <w:tblLook w:val="04A0" w:firstRow="1" w:lastRow="0" w:firstColumn="1" w:lastColumn="0" w:noHBand="0" w:noVBand="1"/>
      </w:tblPr>
      <w:tblGrid>
        <w:gridCol w:w="443"/>
        <w:gridCol w:w="1045"/>
        <w:gridCol w:w="1064"/>
        <w:gridCol w:w="2127"/>
        <w:gridCol w:w="921"/>
        <w:gridCol w:w="923"/>
        <w:gridCol w:w="814"/>
        <w:gridCol w:w="864"/>
        <w:gridCol w:w="880"/>
      </w:tblGrid>
      <w:tr w:rsidR="004A26C3" w:rsidRPr="004A26C3" w:rsidTr="00E87BBC">
        <w:tc>
          <w:tcPr>
            <w:tcW w:w="443"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127"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3"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3"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1667.02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1668.18</w:t>
            </w:r>
          </w:p>
        </w:tc>
        <w:tc>
          <w:tcPr>
            <w:tcW w:w="2127"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0.09761</w:t>
            </w:r>
          </w:p>
        </w:tc>
        <w:tc>
          <w:tcPr>
            <w:tcW w:w="923"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0.6445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1.103</w:t>
            </w:r>
          </w:p>
        </w:tc>
      </w:tr>
      <w:tr w:rsidR="004A26C3" w:rsidRPr="004A26C3" w:rsidTr="00E87BBC">
        <w:tc>
          <w:tcPr>
            <w:tcW w:w="443"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127"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3"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Never or Former Smokers (Quit for ≥ 10 Years), Based on Average Packs / Year</w:t>
      </w:r>
    </w:p>
    <w:p w:rsidR="004A26C3" w:rsidRPr="004A26C3" w:rsidRDefault="004A26C3" w:rsidP="004A26C3">
      <w:pPr>
        <w:spacing w:after="0" w:line="276" w:lineRule="auto"/>
        <w:rPr>
          <w:rFonts w:eastAsiaTheme="minorHAnsi"/>
          <w:b/>
          <w:sz w:val="22"/>
          <w:szCs w:val="22"/>
        </w:rPr>
      </w:pPr>
      <w:r w:rsidRPr="004A26C3">
        <w:rPr>
          <w:rFonts w:eastAsiaTheme="minorHAnsi"/>
          <w:sz w:val="22"/>
          <w:szCs w:val="22"/>
        </w:rPr>
        <w:t xml:space="preserve">83,819 subjects, 596,454 subject-cycle records, 833 events (0.1%), 1,161,499.3 person-years of follow-up (records with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0.1884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8382.31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0.13243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0.10716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1.51637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0.08475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8068.82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0.11376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-0.26170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0.16190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0.1060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0.770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0.61665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0.19822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265.20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8067.99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0.10865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0.2943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0.32070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0.37670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0.3946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1.378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0.62897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0.19848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1.876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0.05480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59.13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2.90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8070.90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0.10872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0.2897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Former v Never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0.35402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0.37998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0.3515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1.425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4.95195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4.58290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0.2799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141.451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0.05414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56.83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1.056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0.0749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-0.22935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0.13676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0.4095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8066.71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0.11373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0.66504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0.19155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12.05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1.945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688.44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8068.69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0.11375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0.2952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0.49339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1.36224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0.7172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1.638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688.54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0.01966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0.8985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8068.49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6.27728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4.06998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2.38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0.1230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532.337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0.06051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687.21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-0.17374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0.11934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0.1455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0.1348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8069.76</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0.11486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0.10874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0.2908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5.11978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4.53155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167.298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0.06049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686.26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-0.00059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0.00027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4.78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-0.22952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0.13701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0.00297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0.2119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0.4061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8.</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8778.12</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8072.60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0.11541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0.10867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0.2882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1.122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5.04183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4.67167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154.753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0.05966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0.00232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663.27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-0.22801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0.13570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0.00365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0.4332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Current or Former Smokers (Quit for &lt; 10 Years), Based on Average Packs / Year</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25,767 subjects, 124,673 subject-cycle records, 1,159 events (0.9%), 241,329.8 person-years of follow-up (records with unknown pack-years, unknown years of smoking, or unknown time since quitting deleted). </w:t>
      </w:r>
    </w:p>
    <w:p w:rsidR="004A26C3" w:rsidRPr="004A26C3" w:rsidRDefault="004A26C3" w:rsidP="004A26C3">
      <w:pPr>
        <w:spacing w:after="0" w:line="276" w:lineRule="auto"/>
        <w:rPr>
          <w:rFonts w:eastAsiaTheme="minorHAnsi"/>
          <w:b/>
          <w:sz w:val="22"/>
          <w:szCs w:val="22"/>
        </w:rPr>
      </w:pP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b/>
          <w:sz w:val="22"/>
          <w:szCs w:val="22"/>
        </w:rPr>
      </w:pPr>
    </w:p>
    <w:tbl>
      <w:tblPr>
        <w:tblStyle w:val="TableGrid"/>
        <w:tblW w:w="9202" w:type="dxa"/>
        <w:tblCellMar>
          <w:left w:w="43" w:type="dxa"/>
          <w:right w:w="43" w:type="dxa"/>
        </w:tblCellMar>
        <w:tblLook w:val="04A0" w:firstRow="1" w:lastRow="0" w:firstColumn="1" w:lastColumn="0" w:noHBand="0" w:noVBand="1"/>
      </w:tblPr>
      <w:tblGrid>
        <w:gridCol w:w="444"/>
        <w:gridCol w:w="1045"/>
        <w:gridCol w:w="1064"/>
        <w:gridCol w:w="2249"/>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49"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8450.38</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-0.01705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0.09824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0.8622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8397.10</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-0.01938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0.09843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0.8439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0.981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0.45282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0.06170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53.86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lastRenderedPageBreak/>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8151.32</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PM10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-0.03108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0.7531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-0.04014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0.07056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0.5694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3.62811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0.28171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165.86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37.642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0.08462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8149.64</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-0.03118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0.09882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0.7524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3.57939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0.26773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178.74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35.852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0.08285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0.00570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211.03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1.086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5.</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8149.39</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0.7345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Current v Former</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0.10327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0.3151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1.109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3.74413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0.29044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166.18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42.272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0.08964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157.94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0.00152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0.0474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6.</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8148.41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-0.03245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3.76432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0.28984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43.134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0.09009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160.07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0.0713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8150.26</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-0.03379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0.09899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0.7326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2.74744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2.58385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0.2876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0.09031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159.67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0.0685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0.01504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0.03790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0.6915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8151.67</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-0.03274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0.7406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4.83983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3.76259</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0.1983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126.448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159.83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3.41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0.0646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-0.05796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0.10258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0.5721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0.944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0.00080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0.4434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7C.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8454.28</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8152.11</w:t>
            </w: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-0.03240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0.09898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0.7434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15.46753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9.12692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2.87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&gt;999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0.09048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0.00714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160.71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1.095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0.00194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3.33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-0.04262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0.10330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0.6799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-0.00684</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0.00591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0.2472</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0.2024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49"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b/>
          <w:sz w:val="22"/>
          <w:szCs w:val="22"/>
        </w:rPr>
      </w:pPr>
    </w:p>
    <w:p w:rsidR="004A26C3" w:rsidRPr="004A26C3" w:rsidRDefault="004A26C3" w:rsidP="004A26C3">
      <w:pPr>
        <w:spacing w:after="200" w:line="276" w:lineRule="auto"/>
        <w:rPr>
          <w:rFonts w:eastAsiaTheme="minorHAnsi"/>
          <w:b/>
          <w:sz w:val="22"/>
          <w:szCs w:val="22"/>
        </w:rPr>
      </w:pPr>
      <w:r w:rsidRPr="004A26C3">
        <w:rPr>
          <w:rFonts w:eastAsiaTheme="minorHAnsi"/>
          <w:b/>
          <w:sz w:val="22"/>
          <w:szCs w:val="22"/>
        </w:rPr>
        <w:t>Former Smokers Only (Quit for ≥ 10 Years), Based on Average Packs / Year</w:t>
      </w:r>
    </w:p>
    <w:p w:rsidR="004A26C3" w:rsidRPr="004A26C3" w:rsidRDefault="004A26C3" w:rsidP="004A26C3">
      <w:pPr>
        <w:spacing w:after="0" w:line="276" w:lineRule="auto"/>
        <w:rPr>
          <w:rFonts w:eastAsiaTheme="minorHAnsi"/>
          <w:sz w:val="22"/>
          <w:szCs w:val="22"/>
        </w:rPr>
      </w:pPr>
      <w:r w:rsidRPr="004A26C3">
        <w:rPr>
          <w:rFonts w:eastAsiaTheme="minorHAnsi"/>
          <w:sz w:val="22"/>
          <w:szCs w:val="22"/>
        </w:rPr>
        <w:t xml:space="preserve">39,575 subjects, 259,080 subject-cycle records, 654 events (0.3%), 502,399.8 person-years of follow-up (records with unknown time since quitting deleted). </w:t>
      </w:r>
      <w:r w:rsidRPr="004A26C3">
        <w:rPr>
          <w:rFonts w:eastAsiaTheme="minorHAnsi"/>
          <w:b/>
          <w:sz w:val="22"/>
          <w:szCs w:val="22"/>
        </w:rPr>
        <w:t>Each model includes stratification by age-month and cycle, also with region as a covariate.</w:t>
      </w:r>
    </w:p>
    <w:p w:rsidR="004A26C3" w:rsidRPr="004A26C3" w:rsidRDefault="004A26C3" w:rsidP="004A26C3">
      <w:pPr>
        <w:spacing w:after="0" w:line="276" w:lineRule="auto"/>
        <w:rPr>
          <w:rFonts w:eastAsiaTheme="minorHAnsi"/>
          <w:sz w:val="22"/>
          <w:szCs w:val="22"/>
        </w:rPr>
      </w:pPr>
    </w:p>
    <w:tbl>
      <w:tblPr>
        <w:tblStyle w:val="TableGrid"/>
        <w:tblW w:w="9215" w:type="dxa"/>
        <w:tblCellMar>
          <w:left w:w="43" w:type="dxa"/>
          <w:right w:w="43" w:type="dxa"/>
        </w:tblCellMar>
        <w:tblLook w:val="04A0" w:firstRow="1" w:lastRow="0" w:firstColumn="1" w:lastColumn="0" w:noHBand="0" w:noVBand="1"/>
      </w:tblPr>
      <w:tblGrid>
        <w:gridCol w:w="444"/>
        <w:gridCol w:w="1045"/>
        <w:gridCol w:w="1064"/>
        <w:gridCol w:w="2262"/>
        <w:gridCol w:w="921"/>
        <w:gridCol w:w="921"/>
        <w:gridCol w:w="814"/>
        <w:gridCol w:w="864"/>
        <w:gridCol w:w="880"/>
      </w:tblGrid>
      <w:tr w:rsidR="004A26C3" w:rsidRPr="004A26C3" w:rsidTr="00E87BBC">
        <w:tc>
          <w:tcPr>
            <w:tcW w:w="444" w:type="dxa"/>
            <w:vAlign w:val="bottom"/>
          </w:tcPr>
          <w:p w:rsidR="004A26C3" w:rsidRPr="004A26C3" w:rsidRDefault="004A26C3" w:rsidP="004A26C3">
            <w:pPr>
              <w:spacing w:after="0"/>
              <w:rPr>
                <w:rFonts w:eastAsiaTheme="minorHAnsi"/>
                <w:sz w:val="22"/>
                <w:szCs w:val="22"/>
              </w:rPr>
            </w:pPr>
          </w:p>
        </w:tc>
        <w:tc>
          <w:tcPr>
            <w:tcW w:w="1045"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w/o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10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 xml:space="preserve">AIC w/ </w:t>
            </w:r>
            <w:proofErr w:type="spellStart"/>
            <w:r w:rsidRPr="004A26C3">
              <w:rPr>
                <w:rFonts w:eastAsiaTheme="minorHAnsi"/>
                <w:b/>
                <w:sz w:val="22"/>
                <w:szCs w:val="22"/>
              </w:rPr>
              <w:t>Cov</w:t>
            </w:r>
            <w:proofErr w:type="spellEnd"/>
            <w:r w:rsidRPr="004A26C3">
              <w:rPr>
                <w:rFonts w:eastAsiaTheme="minorHAnsi"/>
                <w:b/>
                <w:sz w:val="22"/>
                <w:szCs w:val="22"/>
              </w:rPr>
              <w:t>.</w:t>
            </w:r>
          </w:p>
        </w:tc>
        <w:tc>
          <w:tcPr>
            <w:tcW w:w="2262"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Covariates</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Est.</w:t>
            </w:r>
          </w:p>
        </w:tc>
        <w:tc>
          <w:tcPr>
            <w:tcW w:w="921"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Std. Err.</w:t>
            </w:r>
          </w:p>
        </w:tc>
        <w:tc>
          <w:tcPr>
            <w:tcW w:w="81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Χ</w:t>
            </w:r>
            <w:r w:rsidRPr="004A26C3">
              <w:rPr>
                <w:rFonts w:eastAsiaTheme="minorHAnsi"/>
                <w:b/>
                <w:sz w:val="22"/>
                <w:szCs w:val="22"/>
                <w:vertAlign w:val="superscript"/>
              </w:rPr>
              <w:t xml:space="preserve">2 </w:t>
            </w:r>
          </w:p>
        </w:tc>
        <w:tc>
          <w:tcPr>
            <w:tcW w:w="864"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P(Χ</w:t>
            </w:r>
            <w:r w:rsidRPr="004A26C3">
              <w:rPr>
                <w:rFonts w:eastAsiaTheme="minorHAnsi"/>
                <w:b/>
                <w:sz w:val="22"/>
                <w:szCs w:val="22"/>
                <w:vertAlign w:val="superscript"/>
              </w:rPr>
              <w:t>2</w:t>
            </w:r>
            <w:r w:rsidRPr="004A26C3">
              <w:rPr>
                <w:rFonts w:eastAsiaTheme="minorHAnsi"/>
                <w:b/>
                <w:sz w:val="22"/>
                <w:szCs w:val="22"/>
              </w:rPr>
              <w:t>)</w:t>
            </w:r>
          </w:p>
        </w:tc>
        <w:tc>
          <w:tcPr>
            <w:tcW w:w="880" w:type="dxa"/>
            <w:vAlign w:val="bottom"/>
          </w:tcPr>
          <w:p w:rsidR="004A26C3" w:rsidRPr="004A26C3" w:rsidRDefault="004A26C3" w:rsidP="004A26C3">
            <w:pPr>
              <w:spacing w:after="0"/>
              <w:jc w:val="center"/>
              <w:rPr>
                <w:rFonts w:eastAsiaTheme="minorHAnsi"/>
                <w:b/>
                <w:sz w:val="22"/>
                <w:szCs w:val="22"/>
              </w:rPr>
            </w:pPr>
            <w:r w:rsidRPr="004A26C3">
              <w:rPr>
                <w:rFonts w:eastAsiaTheme="minorHAnsi"/>
                <w:b/>
                <w:sz w:val="22"/>
                <w:szCs w:val="22"/>
              </w:rPr>
              <w:t>HR</w:t>
            </w: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1.</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5850.01</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0.14353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0.12516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1.31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0.2515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1.154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2.</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5533.49</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0.12469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0.12765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0.3287</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0.61355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9.42</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1.847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0.06723</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0.00415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261.91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1.070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3.</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5535.25</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0.12458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0.12764</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0.3291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0.61795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0.19998</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9.55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1.855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0.06328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1.065</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0.6234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4A.</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5536.69</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0.12475</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0.12763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0.3284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-0.52246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1.56565</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0.7386</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0.593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0.6225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0.01648</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0.02220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0.55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0.4580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1.017</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4B.</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5535.49</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0.12541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0.3265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6.60739</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4.20433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2.47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0.1161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740.551</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0.23</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0.6305</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-0.20036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0.12191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2.70</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0.1003</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0.818</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0.00162</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0.00090</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3.26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0.0709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1.002</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r w:rsidR="004A26C3" w:rsidRPr="004A26C3" w:rsidTr="00E87BBC">
        <w:tc>
          <w:tcPr>
            <w:tcW w:w="444" w:type="dxa"/>
          </w:tcPr>
          <w:p w:rsidR="004A26C3" w:rsidRPr="004A26C3" w:rsidRDefault="004A26C3" w:rsidP="004A26C3">
            <w:pPr>
              <w:spacing w:after="0"/>
              <w:rPr>
                <w:rFonts w:eastAsiaTheme="minorHAnsi"/>
                <w:sz w:val="22"/>
                <w:szCs w:val="22"/>
              </w:rPr>
            </w:pPr>
            <w:r w:rsidRPr="004A26C3">
              <w:rPr>
                <w:rFonts w:eastAsiaTheme="minorHAnsi"/>
                <w:sz w:val="22"/>
                <w:szCs w:val="22"/>
              </w:rPr>
              <w:t>4C.</w:t>
            </w:r>
          </w:p>
        </w:tc>
        <w:tc>
          <w:tcPr>
            <w:tcW w:w="1045"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5845.55</w:t>
            </w:r>
          </w:p>
        </w:tc>
        <w:tc>
          <w:tcPr>
            <w:tcW w:w="10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5537.34</w:t>
            </w: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PM Coarse</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0.12570</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0.12781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0.97</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0.3254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1.134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Average Packs</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5.99017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4.62251</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1.68</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0.1950</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399.484</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Years Smoked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0.06366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0.00903</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49.75</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&lt;0.0001</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1.066</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Months Quit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-0.00037</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0.00077</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0.6254</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r w:rsidRPr="004A26C3">
              <w:rPr>
                <w:rFonts w:eastAsiaTheme="minorHAnsi"/>
                <w:sz w:val="22"/>
                <w:szCs w:val="22"/>
              </w:rPr>
              <w:t xml:space="preserve">Ave </w:t>
            </w:r>
            <w:proofErr w:type="spellStart"/>
            <w:r w:rsidRPr="004A26C3">
              <w:rPr>
                <w:rFonts w:eastAsiaTheme="minorHAnsi"/>
                <w:sz w:val="22"/>
                <w:szCs w:val="22"/>
              </w:rPr>
              <w:t>Pck</w:t>
            </w:r>
            <w:proofErr w:type="spellEnd"/>
            <w:r w:rsidRPr="004A26C3">
              <w:rPr>
                <w:rFonts w:eastAsiaTheme="minorHAnsi"/>
                <w:sz w:val="22"/>
                <w:szCs w:val="22"/>
              </w:rPr>
              <w:t>-x-Age (</w:t>
            </w:r>
            <w:proofErr w:type="spellStart"/>
            <w:r w:rsidRPr="004A26C3">
              <w:rPr>
                <w:rFonts w:eastAsiaTheme="minorHAnsi"/>
                <w:sz w:val="22"/>
                <w:szCs w:val="22"/>
              </w:rPr>
              <w:t>Yrs</w:t>
            </w:r>
            <w:proofErr w:type="spellEnd"/>
            <w:r w:rsidRPr="004A26C3">
              <w:rPr>
                <w:rFonts w:eastAsiaTheme="minorHAnsi"/>
                <w:sz w:val="22"/>
                <w:szCs w:val="22"/>
              </w:rPr>
              <w:t>)</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-0.22421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0.13746</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2.66</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0.1029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0.799</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Squared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0.00271</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0.00302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0.81</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0.3689</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1.003</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roofErr w:type="spellStart"/>
            <w:r w:rsidRPr="004A26C3">
              <w:rPr>
                <w:rFonts w:eastAsiaTheme="minorHAnsi"/>
                <w:sz w:val="22"/>
                <w:szCs w:val="22"/>
              </w:rPr>
              <w:t>Yrs</w:t>
            </w:r>
            <w:proofErr w:type="spellEnd"/>
            <w:r w:rsidRPr="004A26C3">
              <w:rPr>
                <w:rFonts w:eastAsiaTheme="minorHAnsi"/>
                <w:sz w:val="22"/>
                <w:szCs w:val="22"/>
              </w:rPr>
              <w:t xml:space="preserve"> </w:t>
            </w:r>
            <w:proofErr w:type="spellStart"/>
            <w:r w:rsidRPr="004A26C3">
              <w:rPr>
                <w:rFonts w:eastAsiaTheme="minorHAnsi"/>
                <w:sz w:val="22"/>
                <w:szCs w:val="22"/>
              </w:rPr>
              <w:t>Smk</w:t>
            </w:r>
            <w:proofErr w:type="spellEnd"/>
            <w:r w:rsidRPr="004A26C3">
              <w:rPr>
                <w:rFonts w:eastAsiaTheme="minorHAnsi"/>
                <w:sz w:val="22"/>
                <w:szCs w:val="22"/>
              </w:rPr>
              <w:t>-x-Age Cubed</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-8.74 e-6</w:t>
            </w:r>
          </w:p>
        </w:tc>
        <w:tc>
          <w:tcPr>
            <w:tcW w:w="921"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0.00002</w:t>
            </w:r>
          </w:p>
        </w:tc>
        <w:tc>
          <w:tcPr>
            <w:tcW w:w="81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0.14</w:t>
            </w:r>
          </w:p>
        </w:tc>
        <w:tc>
          <w:tcPr>
            <w:tcW w:w="864"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0.7068</w:t>
            </w:r>
          </w:p>
        </w:tc>
        <w:tc>
          <w:tcPr>
            <w:tcW w:w="880" w:type="dxa"/>
          </w:tcPr>
          <w:p w:rsidR="004A26C3" w:rsidRPr="004A26C3" w:rsidRDefault="004A26C3" w:rsidP="004A26C3">
            <w:pPr>
              <w:spacing w:after="0"/>
              <w:jc w:val="right"/>
              <w:rPr>
                <w:rFonts w:eastAsiaTheme="minorHAnsi"/>
                <w:sz w:val="22"/>
                <w:szCs w:val="22"/>
              </w:rPr>
            </w:pPr>
            <w:r w:rsidRPr="004A26C3">
              <w:rPr>
                <w:rFonts w:eastAsiaTheme="minorHAnsi"/>
                <w:sz w:val="22"/>
                <w:szCs w:val="22"/>
              </w:rPr>
              <w:t>1.000</w:t>
            </w:r>
          </w:p>
        </w:tc>
      </w:tr>
      <w:tr w:rsidR="004A26C3" w:rsidRPr="004A26C3" w:rsidTr="00E87BBC">
        <w:tc>
          <w:tcPr>
            <w:tcW w:w="444" w:type="dxa"/>
          </w:tcPr>
          <w:p w:rsidR="004A26C3" w:rsidRPr="004A26C3" w:rsidRDefault="004A26C3" w:rsidP="004A26C3">
            <w:pPr>
              <w:spacing w:after="0"/>
              <w:rPr>
                <w:rFonts w:eastAsiaTheme="minorHAnsi"/>
                <w:sz w:val="22"/>
                <w:szCs w:val="22"/>
              </w:rPr>
            </w:pPr>
          </w:p>
        </w:tc>
        <w:tc>
          <w:tcPr>
            <w:tcW w:w="1045" w:type="dxa"/>
          </w:tcPr>
          <w:p w:rsidR="004A26C3" w:rsidRPr="004A26C3" w:rsidRDefault="004A26C3" w:rsidP="004A26C3">
            <w:pPr>
              <w:spacing w:after="0"/>
              <w:jc w:val="right"/>
              <w:rPr>
                <w:rFonts w:eastAsiaTheme="minorHAnsi"/>
                <w:sz w:val="22"/>
                <w:szCs w:val="22"/>
              </w:rPr>
            </w:pPr>
          </w:p>
        </w:tc>
        <w:tc>
          <w:tcPr>
            <w:tcW w:w="1064" w:type="dxa"/>
          </w:tcPr>
          <w:p w:rsidR="004A26C3" w:rsidRPr="004A26C3" w:rsidRDefault="004A26C3" w:rsidP="004A26C3">
            <w:pPr>
              <w:spacing w:after="0"/>
              <w:jc w:val="right"/>
              <w:rPr>
                <w:rFonts w:eastAsiaTheme="minorHAnsi"/>
                <w:sz w:val="22"/>
                <w:szCs w:val="22"/>
              </w:rPr>
            </w:pPr>
          </w:p>
        </w:tc>
        <w:tc>
          <w:tcPr>
            <w:tcW w:w="2262" w:type="dxa"/>
          </w:tcPr>
          <w:p w:rsidR="004A26C3" w:rsidRPr="004A26C3" w:rsidRDefault="004A26C3" w:rsidP="004A26C3">
            <w:pPr>
              <w:spacing w:after="0"/>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921" w:type="dxa"/>
          </w:tcPr>
          <w:p w:rsidR="004A26C3" w:rsidRPr="004A26C3" w:rsidRDefault="004A26C3" w:rsidP="004A26C3">
            <w:pPr>
              <w:spacing w:after="0"/>
              <w:jc w:val="right"/>
              <w:rPr>
                <w:rFonts w:eastAsiaTheme="minorHAnsi"/>
                <w:sz w:val="22"/>
                <w:szCs w:val="22"/>
              </w:rPr>
            </w:pPr>
          </w:p>
        </w:tc>
        <w:tc>
          <w:tcPr>
            <w:tcW w:w="814" w:type="dxa"/>
          </w:tcPr>
          <w:p w:rsidR="004A26C3" w:rsidRPr="004A26C3" w:rsidRDefault="004A26C3" w:rsidP="004A26C3">
            <w:pPr>
              <w:spacing w:after="0"/>
              <w:jc w:val="right"/>
              <w:rPr>
                <w:rFonts w:eastAsiaTheme="minorHAnsi"/>
                <w:sz w:val="22"/>
                <w:szCs w:val="22"/>
              </w:rPr>
            </w:pPr>
          </w:p>
        </w:tc>
        <w:tc>
          <w:tcPr>
            <w:tcW w:w="864" w:type="dxa"/>
          </w:tcPr>
          <w:p w:rsidR="004A26C3" w:rsidRPr="004A26C3" w:rsidRDefault="004A26C3" w:rsidP="004A26C3">
            <w:pPr>
              <w:spacing w:after="0"/>
              <w:jc w:val="right"/>
              <w:rPr>
                <w:rFonts w:eastAsiaTheme="minorHAnsi"/>
                <w:sz w:val="22"/>
                <w:szCs w:val="22"/>
              </w:rPr>
            </w:pPr>
          </w:p>
        </w:tc>
        <w:tc>
          <w:tcPr>
            <w:tcW w:w="880" w:type="dxa"/>
          </w:tcPr>
          <w:p w:rsidR="004A26C3" w:rsidRPr="004A26C3" w:rsidRDefault="004A26C3" w:rsidP="004A26C3">
            <w:pPr>
              <w:spacing w:after="0"/>
              <w:jc w:val="right"/>
              <w:rPr>
                <w:rFonts w:eastAsiaTheme="minorHAnsi"/>
                <w:sz w:val="22"/>
                <w:szCs w:val="22"/>
              </w:rPr>
            </w:pPr>
          </w:p>
        </w:tc>
      </w:tr>
    </w:tbl>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0" w:line="276" w:lineRule="auto"/>
        <w:rPr>
          <w:rFonts w:eastAsiaTheme="minorHAnsi"/>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sz w:val="22"/>
          <w:szCs w:val="22"/>
        </w:rPr>
        <w:br w:type="page"/>
      </w:r>
    </w:p>
    <w:p w:rsidR="004A26C3" w:rsidRPr="004A26C3" w:rsidRDefault="004A26C3" w:rsidP="004A26C3">
      <w:pPr>
        <w:spacing w:after="0" w:line="276" w:lineRule="auto"/>
        <w:rPr>
          <w:rFonts w:eastAsiaTheme="minorHAnsi"/>
          <w:b/>
          <w:sz w:val="22"/>
          <w:szCs w:val="22"/>
        </w:rPr>
      </w:pPr>
    </w:p>
    <w:p w:rsidR="004A26C3" w:rsidRPr="004A26C3" w:rsidRDefault="004A26C3" w:rsidP="004A26C3">
      <w:pPr>
        <w:spacing w:after="200" w:line="276" w:lineRule="auto"/>
        <w:rPr>
          <w:rFonts w:eastAsiaTheme="minorHAnsi"/>
          <w:sz w:val="22"/>
          <w:szCs w:val="22"/>
        </w:rPr>
      </w:pPr>
      <w:r w:rsidRPr="004A26C3">
        <w:rPr>
          <w:rFonts w:eastAsiaTheme="minorHAnsi"/>
          <w:noProof/>
          <w:sz w:val="22"/>
          <w:szCs w:val="22"/>
        </w:rPr>
        <w:drawing>
          <wp:inline distT="0" distB="0" distL="0" distR="0" wp14:anchorId="7AC66832" wp14:editId="289831EA">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of Cox Model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26C3" w:rsidRPr="004A26C3" w:rsidRDefault="004A26C3" w:rsidP="004A26C3">
      <w:pPr>
        <w:spacing w:after="200" w:line="276" w:lineRule="auto"/>
        <w:rPr>
          <w:rFonts w:eastAsiaTheme="minorHAnsi"/>
          <w:sz w:val="22"/>
          <w:szCs w:val="22"/>
        </w:rPr>
      </w:pPr>
    </w:p>
    <w:p w:rsidR="004A26C3" w:rsidRPr="004A26C3" w:rsidRDefault="004A26C3" w:rsidP="004A26C3">
      <w:pPr>
        <w:spacing w:after="200" w:line="276" w:lineRule="auto"/>
        <w:rPr>
          <w:rFonts w:eastAsiaTheme="majorEastAsia"/>
          <w:b/>
          <w:bCs/>
          <w:sz w:val="28"/>
          <w:szCs w:val="28"/>
        </w:rPr>
      </w:pPr>
    </w:p>
    <w:p w:rsidR="004A26C3" w:rsidRDefault="004A26C3" w:rsidP="00777D71">
      <w:pPr>
        <w:spacing w:line="360" w:lineRule="auto"/>
        <w:rPr>
          <w:b/>
        </w:rPr>
      </w:pPr>
    </w:p>
    <w:p w:rsidR="00076029" w:rsidRPr="005247F9" w:rsidRDefault="00076029" w:rsidP="00777D71">
      <w:pPr>
        <w:spacing w:line="360" w:lineRule="auto"/>
        <w:rPr>
          <w:b/>
        </w:rPr>
      </w:pPr>
      <w:r w:rsidRPr="005247F9">
        <w:rPr>
          <w:b/>
        </w:rPr>
        <w:t>References</w:t>
      </w:r>
    </w:p>
    <w:p w:rsidR="0053170F" w:rsidRPr="0053170F" w:rsidRDefault="00076029" w:rsidP="00777D71">
      <w:pPr>
        <w:pStyle w:val="EndNoteBibliography"/>
        <w:spacing w:after="0" w:line="360" w:lineRule="auto"/>
        <w:ind w:left="720" w:hanging="720"/>
      </w:pPr>
      <w:r w:rsidRPr="005247F9">
        <w:fldChar w:fldCharType="begin"/>
      </w:r>
      <w:r w:rsidRPr="005247F9">
        <w:instrText xml:space="preserve"> ADDIN EN.REFLIST </w:instrText>
      </w:r>
      <w:r w:rsidRPr="005247F9">
        <w:fldChar w:fldCharType="separate"/>
      </w:r>
      <w:bookmarkStart w:id="1" w:name="_ENREF_1"/>
      <w:r w:rsidR="0053170F" w:rsidRPr="0053170F">
        <w:t>Akaike H. A new look at the statistical model identification. IEEE Transactions on Automatic Control 1974;19(6):716-723.</w:t>
      </w:r>
      <w:bookmarkEnd w:id="1"/>
    </w:p>
    <w:p w:rsidR="0053170F" w:rsidRPr="0053170F" w:rsidRDefault="0053170F" w:rsidP="00777D71">
      <w:pPr>
        <w:pStyle w:val="EndNoteBibliography"/>
        <w:spacing w:after="0" w:line="360" w:lineRule="auto"/>
        <w:ind w:left="720" w:hanging="720"/>
      </w:pPr>
      <w:bookmarkStart w:id="2" w:name="_ENREF_2"/>
      <w:r w:rsidRPr="0053170F">
        <w:t>Beelen R, Raaschou-Nielsen O, Stafoggia M, et al. Effects of long-term exposure to air pollution on natural-cause mortality: an analysis of 22 European cohorts within the multicentre ESCAPE project. Lancet 2014;383(9919):785-795.</w:t>
      </w:r>
      <w:bookmarkEnd w:id="2"/>
    </w:p>
    <w:p w:rsidR="0053170F" w:rsidRPr="0053170F" w:rsidRDefault="0053170F" w:rsidP="00777D71">
      <w:pPr>
        <w:pStyle w:val="EndNoteBibliography"/>
        <w:spacing w:after="0" w:line="360" w:lineRule="auto"/>
        <w:ind w:left="720" w:hanging="720"/>
      </w:pPr>
      <w:bookmarkStart w:id="3" w:name="_ENREF_3"/>
      <w:r w:rsidRPr="0053170F">
        <w:t>Boffetta P, La Vecchia C, Moolgavkar S. Chronic Effects of Air Pollution are Probably Overestimated. Risk Anal 2015;35(5):766-769.</w:t>
      </w:r>
      <w:bookmarkEnd w:id="3"/>
    </w:p>
    <w:p w:rsidR="0053170F" w:rsidRPr="0053170F" w:rsidRDefault="0053170F" w:rsidP="00777D71">
      <w:pPr>
        <w:pStyle w:val="EndNoteBibliography"/>
        <w:spacing w:after="0" w:line="360" w:lineRule="auto"/>
        <w:ind w:left="720" w:hanging="720"/>
      </w:pPr>
      <w:bookmarkStart w:id="4" w:name="_ENREF_4"/>
      <w:r w:rsidRPr="0053170F">
        <w:lastRenderedPageBreak/>
        <w:t>Brown CC, Chu KC. Implications of the multistage theory of carcinogenesis applied to occupational arsenic exposure. J Natl Cancer Inst 1983;70(3):455-463.</w:t>
      </w:r>
      <w:bookmarkEnd w:id="4"/>
    </w:p>
    <w:p w:rsidR="0053170F" w:rsidRPr="0053170F" w:rsidRDefault="0053170F" w:rsidP="00777D71">
      <w:pPr>
        <w:pStyle w:val="EndNoteBibliography"/>
        <w:spacing w:after="0" w:line="360" w:lineRule="auto"/>
        <w:ind w:left="720" w:hanging="720"/>
      </w:pPr>
      <w:bookmarkStart w:id="5" w:name="_ENREF_5"/>
      <w:r w:rsidRPr="0053170F">
        <w:t>Burns DM, Shanks TG, Choi W, Thun MJ, Heath CW, Jr., Garfinkel L, 1997. Chapter 3. The American Cancer Society Cancer Prevention Study I: 12-year followup of 1 million men and women in: Burns DM, Garfinkel L, Samet JM (Eds.), Monograph 8: Changes in Cigarette-Related Disease Risks and Their Implications for Prevention and Control. U.S. Department of Health and Human Services, Public Health Service, National Institutes of Health, Bethesda, MD, p. 602.</w:t>
      </w:r>
      <w:bookmarkEnd w:id="5"/>
    </w:p>
    <w:p w:rsidR="0053170F" w:rsidRPr="0053170F" w:rsidRDefault="0053170F" w:rsidP="00777D71">
      <w:pPr>
        <w:pStyle w:val="EndNoteBibliography"/>
        <w:spacing w:after="0" w:line="360" w:lineRule="auto"/>
        <w:ind w:left="720" w:hanging="720"/>
      </w:pPr>
      <w:bookmarkStart w:id="6" w:name="_ENREF_6"/>
      <w:r w:rsidRPr="0053170F">
        <w:t>Chiuve SE, Fung TT, Rimm EB, et al. Alternative dietary indices both strongly predict risk of chronic disease. J Nutr 2012;142(6):1009-1018.</w:t>
      </w:r>
      <w:bookmarkEnd w:id="6"/>
    </w:p>
    <w:p w:rsidR="0053170F" w:rsidRPr="0053170F" w:rsidRDefault="0053170F" w:rsidP="00777D71">
      <w:pPr>
        <w:pStyle w:val="EndNoteBibliography"/>
        <w:spacing w:after="0" w:line="360" w:lineRule="auto"/>
        <w:ind w:left="720" w:hanging="720"/>
      </w:pPr>
      <w:bookmarkStart w:id="7" w:name="_ENREF_7"/>
      <w:r w:rsidRPr="0053170F">
        <w:t>Cox DR. Regression models and life-tables. J Roy Stat Soc Ser B 1972;34(2):187-220.</w:t>
      </w:r>
      <w:bookmarkEnd w:id="7"/>
    </w:p>
    <w:p w:rsidR="0053170F" w:rsidRPr="0053170F" w:rsidRDefault="0053170F" w:rsidP="00777D71">
      <w:pPr>
        <w:pStyle w:val="EndNoteBibliography"/>
        <w:spacing w:after="0" w:line="360" w:lineRule="auto"/>
        <w:ind w:left="720" w:hanging="720"/>
      </w:pPr>
      <w:bookmarkStart w:id="8" w:name="_ENREF_8"/>
      <w:r w:rsidRPr="0053170F">
        <w:t>Day NE, Brown CC. Multistage models and primary prevention of cancer. J Natl Cancer Inst 1980;64(4):977-989.</w:t>
      </w:r>
      <w:bookmarkEnd w:id="8"/>
    </w:p>
    <w:p w:rsidR="0053170F" w:rsidRPr="0053170F" w:rsidRDefault="0053170F" w:rsidP="00777D71">
      <w:pPr>
        <w:pStyle w:val="EndNoteBibliography"/>
        <w:spacing w:after="0" w:line="360" w:lineRule="auto"/>
        <w:ind w:left="720" w:hanging="720"/>
      </w:pPr>
      <w:bookmarkStart w:id="9" w:name="_ENREF_9"/>
      <w:r w:rsidRPr="0053170F">
        <w:t>Dockery DW, Pope CA, 3rd, Xu X, et al. An association between air pollution and mortality in six U.S. cities. N Engl J Med 1993;329(24):1753-1759.</w:t>
      </w:r>
      <w:bookmarkEnd w:id="9"/>
    </w:p>
    <w:p w:rsidR="0053170F" w:rsidRPr="0053170F" w:rsidRDefault="0053170F" w:rsidP="00777D71">
      <w:pPr>
        <w:pStyle w:val="EndNoteBibliography"/>
        <w:spacing w:after="0" w:line="360" w:lineRule="auto"/>
        <w:ind w:left="720" w:hanging="720"/>
      </w:pPr>
      <w:bookmarkStart w:id="10" w:name="_ENREF_10"/>
      <w:r w:rsidRPr="0053170F">
        <w:t>Hazelton WD, Clements MS, Moolgavkar SH. Multistage carcinogenesis and lung cancer mortality in three cohorts. Cancer Epidemiol Biomarkers Prev 2005;14(5):1171-1181.</w:t>
      </w:r>
      <w:bookmarkEnd w:id="10"/>
    </w:p>
    <w:p w:rsidR="0053170F" w:rsidRPr="0053170F" w:rsidRDefault="0053170F" w:rsidP="00777D71">
      <w:pPr>
        <w:pStyle w:val="EndNoteBibliography"/>
        <w:spacing w:after="0" w:line="360" w:lineRule="auto"/>
        <w:ind w:left="720" w:hanging="720"/>
      </w:pPr>
      <w:bookmarkStart w:id="11" w:name="_ENREF_11"/>
      <w:r w:rsidRPr="0053170F">
        <w:t>Hernán MA. The hazards of hazard ratios. Epidemiology 2010;21(1):13-15.</w:t>
      </w:r>
      <w:bookmarkEnd w:id="11"/>
    </w:p>
    <w:p w:rsidR="0053170F" w:rsidRPr="0053170F" w:rsidRDefault="0053170F" w:rsidP="00777D71">
      <w:pPr>
        <w:pStyle w:val="EndNoteBibliography"/>
        <w:spacing w:after="0" w:line="360" w:lineRule="auto"/>
        <w:ind w:left="720" w:hanging="720"/>
      </w:pPr>
      <w:bookmarkStart w:id="12" w:name="_ENREF_12"/>
      <w:r w:rsidRPr="0053170F">
        <w:t>Holford TR, Levy DT, McKay LA, et al. Patterns of birth cohort-specific smoking histories, 1965-2009. Am J Prev Med 2014b;46(2):e31-37.</w:t>
      </w:r>
      <w:bookmarkEnd w:id="12"/>
    </w:p>
    <w:p w:rsidR="0053170F" w:rsidRPr="0053170F" w:rsidRDefault="0053170F" w:rsidP="00777D71">
      <w:pPr>
        <w:pStyle w:val="EndNoteBibliography"/>
        <w:spacing w:after="0" w:line="360" w:lineRule="auto"/>
        <w:ind w:left="720" w:hanging="720"/>
      </w:pPr>
      <w:bookmarkStart w:id="13" w:name="_ENREF_13"/>
      <w:r w:rsidRPr="0053170F">
        <w:t>Holford TR, Meza R, Warner KE, et al. Tobacco control and the reduction in smoking-related premature deaths in the United States, 1964-2012. JAMA 2014a;311(2):164-171.</w:t>
      </w:r>
      <w:bookmarkEnd w:id="13"/>
    </w:p>
    <w:p w:rsidR="0053170F" w:rsidRPr="0053170F" w:rsidRDefault="0053170F" w:rsidP="00777D71">
      <w:pPr>
        <w:pStyle w:val="EndNoteBibliography"/>
        <w:spacing w:after="0" w:line="360" w:lineRule="auto"/>
        <w:ind w:left="720" w:hanging="720"/>
      </w:pPr>
      <w:bookmarkStart w:id="14" w:name="_ENREF_14"/>
      <w:r w:rsidRPr="0053170F">
        <w:t>IARC. IARC Monographs on the Evaluation of Carcinogenic Risks to Humans. Volume 109: Outdoor Air Pollution. International Agency for Research on Cancer (IARC), Lyon, France, 2016.</w:t>
      </w:r>
      <w:bookmarkEnd w:id="14"/>
    </w:p>
    <w:p w:rsidR="0053170F" w:rsidRPr="0053170F" w:rsidRDefault="0053170F" w:rsidP="00777D71">
      <w:pPr>
        <w:pStyle w:val="EndNoteBibliography"/>
        <w:spacing w:after="0" w:line="360" w:lineRule="auto"/>
        <w:ind w:left="720" w:hanging="720"/>
      </w:pPr>
      <w:bookmarkStart w:id="15" w:name="_ENREF_15"/>
      <w:r w:rsidRPr="0053170F">
        <w:t xml:space="preserve">IMPROVE. Interagency Monitoring of Protected Visual Environments. Available: </w:t>
      </w:r>
      <w:hyperlink r:id="rId13" w:history="1">
        <w:r w:rsidRPr="0053170F">
          <w:rPr>
            <w:rStyle w:val="Hyperlink"/>
          </w:rPr>
          <w:t>http://vista.cira.colostate.edu/Improve/</w:t>
        </w:r>
      </w:hyperlink>
      <w:r w:rsidRPr="0053170F">
        <w:t>. Accessed: 29 January 2020.  2019.</w:t>
      </w:r>
      <w:bookmarkEnd w:id="15"/>
    </w:p>
    <w:p w:rsidR="0053170F" w:rsidRPr="0053170F" w:rsidRDefault="0053170F" w:rsidP="00777D71">
      <w:pPr>
        <w:pStyle w:val="EndNoteBibliography"/>
        <w:spacing w:after="0" w:line="360" w:lineRule="auto"/>
        <w:ind w:left="720" w:hanging="720"/>
      </w:pPr>
      <w:bookmarkStart w:id="16" w:name="_ENREF_16"/>
      <w:r w:rsidRPr="0053170F">
        <w:t>Kalbfleisch JD, Prentice RL. The Statistical Analysis of Failure Time Data. 2nd Edition, in: Shewhart WA, Wilks SS (Eds.), Wiley Series in Probability and Statistics. John Wiley &amp; Sons, Inc., Hoboken, New Jersey, 2002.</w:t>
      </w:r>
      <w:bookmarkEnd w:id="16"/>
    </w:p>
    <w:p w:rsidR="0053170F" w:rsidRPr="0053170F" w:rsidRDefault="0053170F" w:rsidP="00777D71">
      <w:pPr>
        <w:pStyle w:val="EndNoteBibliography"/>
        <w:spacing w:after="0" w:line="360" w:lineRule="auto"/>
        <w:ind w:left="720" w:hanging="720"/>
      </w:pPr>
      <w:bookmarkStart w:id="17" w:name="_ENREF_17"/>
      <w:r w:rsidRPr="0053170F">
        <w:lastRenderedPageBreak/>
        <w:t>Knoke JD, Shanks TG, Vaughn JW, Thun MJ, Burns DM. Lung cancer mortality is related to age in addition to duration and intensity of cigarette smoking: an analysis of CPS-I data. Cancer Epidemiol Biomarkers Prev 2004;13(6):949-957.</w:t>
      </w:r>
      <w:bookmarkEnd w:id="17"/>
    </w:p>
    <w:p w:rsidR="0053170F" w:rsidRPr="0053170F" w:rsidRDefault="0053170F" w:rsidP="00777D71">
      <w:pPr>
        <w:pStyle w:val="EndNoteBibliography"/>
        <w:spacing w:after="0" w:line="360" w:lineRule="auto"/>
        <w:ind w:left="720" w:hanging="720"/>
      </w:pPr>
      <w:bookmarkStart w:id="18" w:name="_ENREF_18"/>
      <w:r w:rsidRPr="0053170F">
        <w:t>Laden F, Schwartz J, Speizer FE, Dockery DW. Reduction in fine particulate air pollution and mortality: Extended follow-up of the Harvard Six Cities study. Am J Respir Crit Care Med 2006;173(6):667-672.</w:t>
      </w:r>
      <w:bookmarkEnd w:id="18"/>
    </w:p>
    <w:p w:rsidR="0053170F" w:rsidRPr="0053170F" w:rsidRDefault="0053170F" w:rsidP="00777D71">
      <w:pPr>
        <w:pStyle w:val="EndNoteBibliography"/>
        <w:spacing w:after="0" w:line="360" w:lineRule="auto"/>
        <w:ind w:left="720" w:hanging="720"/>
      </w:pPr>
      <w:bookmarkStart w:id="19" w:name="_ENREF_19"/>
      <w:r w:rsidRPr="0053170F">
        <w:t>Lubin JH, Caporaso N, Wichmann HE, Schaffrath-Rosario A, Alavanja MC. Cigarette smoking and lung cancer: modeling effect modification of total exposure and intensity. Epidemiology 2007;18(5):639-648.</w:t>
      </w:r>
      <w:bookmarkEnd w:id="19"/>
    </w:p>
    <w:p w:rsidR="0053170F" w:rsidRPr="0053170F" w:rsidRDefault="0053170F" w:rsidP="00777D71">
      <w:pPr>
        <w:pStyle w:val="EndNoteBibliography"/>
        <w:spacing w:after="0" w:line="360" w:lineRule="auto"/>
        <w:ind w:left="720" w:hanging="720"/>
      </w:pPr>
      <w:bookmarkStart w:id="20" w:name="_ENREF_20"/>
      <w:r w:rsidRPr="0053170F">
        <w:t>Lumley T, Sheppard L. Assessing seasonal confounding and model selection bias in air pollution epidemiology using positive and negative control analyses. Environmetrics 2000;11(6):705-717.</w:t>
      </w:r>
      <w:bookmarkEnd w:id="20"/>
    </w:p>
    <w:p w:rsidR="0053170F" w:rsidRPr="0053170F" w:rsidRDefault="0053170F" w:rsidP="00777D71">
      <w:pPr>
        <w:pStyle w:val="EndNoteBibliography"/>
        <w:spacing w:after="0" w:line="360" w:lineRule="auto"/>
        <w:ind w:left="720" w:hanging="720"/>
      </w:pPr>
      <w:bookmarkStart w:id="21" w:name="_ENREF_21"/>
      <w:r w:rsidRPr="0053170F">
        <w:t>Meza R, Hazelton WD, Colditz GA, Moolgavkar SH. Analysis of lung cancer incidence in the Nurses' Health and the Health Professionals' Follow-Up Studies using a multistage carcinogenesis model. Cancer Causes Control 2008;19(3):317-328.</w:t>
      </w:r>
      <w:bookmarkEnd w:id="21"/>
    </w:p>
    <w:p w:rsidR="0053170F" w:rsidRPr="0053170F" w:rsidRDefault="0053170F" w:rsidP="00777D71">
      <w:pPr>
        <w:pStyle w:val="EndNoteBibliography"/>
        <w:spacing w:after="0" w:line="360" w:lineRule="auto"/>
        <w:ind w:left="720" w:hanging="720"/>
      </w:pPr>
      <w:bookmarkStart w:id="22" w:name="_ENREF_22"/>
      <w:r w:rsidRPr="0053170F">
        <w:t>Moolgavkar SH, 2014. Multistage carcinogenesis and epidemiologic studies of cancer, in: Almudevar AL, Hall WJ, Oakes D (Eds.), Modeling and Inference in Biomedical Science - In Memory of Andrei Yakovlev. Institute of Mathematical Statistics Collections Series.</w:t>
      </w:r>
      <w:bookmarkEnd w:id="22"/>
    </w:p>
    <w:p w:rsidR="0053170F" w:rsidRPr="0053170F" w:rsidRDefault="0053170F" w:rsidP="00777D71">
      <w:pPr>
        <w:pStyle w:val="EndNoteBibliography"/>
        <w:spacing w:after="0" w:line="360" w:lineRule="auto"/>
        <w:ind w:left="720" w:hanging="720"/>
      </w:pPr>
      <w:bookmarkStart w:id="23" w:name="_ENREF_23"/>
      <w:r w:rsidRPr="0053170F">
        <w:t>Moolgavkar SH, Chang ET, Luebeck G, et al. Diesel engine exhaust and lung cancer mortality: time-related factors in exposure and risk. Risk Anal 2015;35(4):663-675.</w:t>
      </w:r>
      <w:bookmarkEnd w:id="23"/>
    </w:p>
    <w:p w:rsidR="0053170F" w:rsidRPr="0053170F" w:rsidRDefault="0053170F" w:rsidP="00777D71">
      <w:pPr>
        <w:pStyle w:val="EndNoteBibliography"/>
        <w:spacing w:after="0" w:line="360" w:lineRule="auto"/>
        <w:ind w:left="720" w:hanging="720"/>
      </w:pPr>
      <w:bookmarkStart w:id="24" w:name="_ENREF_24"/>
      <w:r w:rsidRPr="0053170F">
        <w:t>Moolgavkar SH, Chang ET, Watson HN, Lau EC. An Assessment of the Cox Proportional Hazards Regression Model for Epidemiologic Studies. Risk Anal 2018;38(4):777-794.</w:t>
      </w:r>
      <w:bookmarkEnd w:id="24"/>
    </w:p>
    <w:p w:rsidR="0053170F" w:rsidRPr="0053170F" w:rsidRDefault="0053170F" w:rsidP="00777D71">
      <w:pPr>
        <w:pStyle w:val="EndNoteBibliography"/>
        <w:spacing w:after="0" w:line="360" w:lineRule="auto"/>
        <w:ind w:left="720" w:hanging="720"/>
      </w:pPr>
      <w:bookmarkStart w:id="25" w:name="_ENREF_25"/>
      <w:r w:rsidRPr="0053170F">
        <w:t>Moolgavkar SH, Holford TR, Levy DT, et al. Impact of reduced tobacco smoking on lung cancer mortality in the United States during 1975-2000. J Natl Cancer Inst 2012;104(7):541-548.</w:t>
      </w:r>
      <w:bookmarkEnd w:id="25"/>
    </w:p>
    <w:p w:rsidR="0053170F" w:rsidRPr="0053170F" w:rsidRDefault="0053170F" w:rsidP="00777D71">
      <w:pPr>
        <w:pStyle w:val="EndNoteBibliography"/>
        <w:spacing w:after="0" w:line="360" w:lineRule="auto"/>
        <w:ind w:left="720" w:hanging="720"/>
      </w:pPr>
      <w:bookmarkStart w:id="26" w:name="_ENREF_26"/>
      <w:r w:rsidRPr="0053170F">
        <w:t xml:space="preserve">National Cancer Institute. CISNET Publication Support and Modeling Resources. </w:t>
      </w:r>
      <w:hyperlink r:id="rId14" w:history="1">
        <w:r w:rsidRPr="0053170F">
          <w:rPr>
            <w:rStyle w:val="Hyperlink"/>
          </w:rPr>
          <w:t>https://resources.cisnet.cancer.gov/projects/</w:t>
        </w:r>
      </w:hyperlink>
      <w:r w:rsidRPr="0053170F">
        <w:t>. Accessed 29 January 2020.  2018.</w:t>
      </w:r>
      <w:bookmarkEnd w:id="26"/>
    </w:p>
    <w:p w:rsidR="0053170F" w:rsidRPr="0053170F" w:rsidRDefault="0053170F" w:rsidP="00777D71">
      <w:pPr>
        <w:pStyle w:val="EndNoteBibliography"/>
        <w:spacing w:after="0" w:line="360" w:lineRule="auto"/>
        <w:ind w:left="720" w:hanging="720"/>
      </w:pPr>
      <w:bookmarkStart w:id="27" w:name="_ENREF_27"/>
      <w:r w:rsidRPr="0053170F">
        <w:t>Peto J. That the effects of smoking should be measured in pack-years: misconceptions 4. Br J Cancer 2012;107(3):406-407.</w:t>
      </w:r>
      <w:bookmarkEnd w:id="27"/>
    </w:p>
    <w:p w:rsidR="0053170F" w:rsidRPr="0053170F" w:rsidRDefault="0053170F" w:rsidP="00777D71">
      <w:pPr>
        <w:pStyle w:val="EndNoteBibliography"/>
        <w:spacing w:after="0" w:line="360" w:lineRule="auto"/>
        <w:ind w:left="720" w:hanging="720"/>
      </w:pPr>
      <w:bookmarkStart w:id="28" w:name="_ENREF_28"/>
      <w:r w:rsidRPr="0053170F">
        <w:t>Peto R, 1977. Epidemiology, multistage models, and short-term mutagenicity tests, in: Hiatt HH, Watson JD, Winsten JA (Eds.), Origins of Human Cancer. Book C: Human Risk Assessment. Cold Spring Harbor Laboratory, Cold Spring Harbor, NY, pp. 1403-1428.</w:t>
      </w:r>
      <w:bookmarkEnd w:id="28"/>
    </w:p>
    <w:p w:rsidR="0053170F" w:rsidRPr="0053170F" w:rsidRDefault="0053170F" w:rsidP="00777D71">
      <w:pPr>
        <w:pStyle w:val="EndNoteBibliography"/>
        <w:spacing w:after="0" w:line="360" w:lineRule="auto"/>
        <w:ind w:left="720" w:hanging="720"/>
      </w:pPr>
      <w:bookmarkStart w:id="29" w:name="_ENREF_29"/>
      <w:r w:rsidRPr="0053170F">
        <w:lastRenderedPageBreak/>
        <w:t>Pope CA, 3rd, Burnett RT, Krewski D, et al. Cardiovascular mortality and exposure to airborne fine particulate matter and cigarette smoke: shape of the exposure-response relationship. Circulation 2009;120(11):941-948.</w:t>
      </w:r>
      <w:bookmarkEnd w:id="29"/>
    </w:p>
    <w:p w:rsidR="0053170F" w:rsidRPr="0053170F" w:rsidRDefault="0053170F" w:rsidP="00777D71">
      <w:pPr>
        <w:pStyle w:val="EndNoteBibliography"/>
        <w:spacing w:after="0" w:line="360" w:lineRule="auto"/>
        <w:ind w:left="720" w:hanging="720"/>
      </w:pPr>
      <w:bookmarkStart w:id="30" w:name="_ENREF_30"/>
      <w:r w:rsidRPr="0053170F">
        <w:t>Pope CA, 3rd, Burnett RT, Thun MJ, et al. Lung cancer, cardiopulmonary mortality, and long-term exposure to fine particulate air pollution. JAMA 2002;287(9):1132-1141.</w:t>
      </w:r>
      <w:bookmarkEnd w:id="30"/>
    </w:p>
    <w:p w:rsidR="0053170F" w:rsidRPr="0053170F" w:rsidRDefault="0053170F" w:rsidP="00777D71">
      <w:pPr>
        <w:pStyle w:val="EndNoteBibliography"/>
        <w:spacing w:after="0" w:line="360" w:lineRule="auto"/>
        <w:ind w:left="720" w:hanging="720"/>
      </w:pPr>
      <w:bookmarkStart w:id="31" w:name="_ENREF_31"/>
      <w:r w:rsidRPr="0053170F">
        <w:t>Puett RC, Hart JE, Yanosky JD, et al. Particulate matter air pollution exposure, distance to road, and incident lung cancer in the Nurses' Health Study cohort. Environ Health Perspect 2014;122(9):926-932.</w:t>
      </w:r>
      <w:bookmarkEnd w:id="31"/>
    </w:p>
    <w:p w:rsidR="0053170F" w:rsidRPr="0053170F" w:rsidRDefault="0053170F" w:rsidP="00777D71">
      <w:pPr>
        <w:pStyle w:val="EndNoteBibliography"/>
        <w:spacing w:after="0" w:line="360" w:lineRule="auto"/>
        <w:ind w:left="720" w:hanging="720"/>
      </w:pPr>
      <w:bookmarkStart w:id="32" w:name="_ENREF_32"/>
      <w:r w:rsidRPr="0053170F">
        <w:t>Richardson DB. Lung cancer in chrysotile asbestos workers: analyses based on the two-stage clonal expansion model. Cancer Causes Control 2009;20(6):917-923.</w:t>
      </w:r>
      <w:bookmarkEnd w:id="32"/>
    </w:p>
    <w:p w:rsidR="0053170F" w:rsidRPr="0053170F" w:rsidRDefault="0053170F" w:rsidP="00777D71">
      <w:pPr>
        <w:pStyle w:val="EndNoteBibliography"/>
        <w:spacing w:after="0" w:line="360" w:lineRule="auto"/>
        <w:ind w:left="720" w:hanging="720"/>
      </w:pPr>
      <w:bookmarkStart w:id="33" w:name="_ENREF_33"/>
      <w:r w:rsidRPr="0053170F">
        <w:t>Spengler JD, Koutrakis P, Dockery DW, Raizenne M, Speizer FE. Health effects of acid aerosols on North American children: air pollution exposures. Environ Health Perspect 1996;104(5):492-499.</w:t>
      </w:r>
      <w:bookmarkEnd w:id="33"/>
    </w:p>
    <w:p w:rsidR="0053170F" w:rsidRPr="0053170F" w:rsidRDefault="0053170F" w:rsidP="00777D71">
      <w:pPr>
        <w:pStyle w:val="EndNoteBibliography"/>
        <w:spacing w:after="0" w:line="360" w:lineRule="auto"/>
        <w:ind w:left="720" w:hanging="720"/>
      </w:pPr>
      <w:bookmarkStart w:id="34" w:name="_ENREF_34"/>
      <w:r w:rsidRPr="0053170F">
        <w:t>Suh HH, Nishioka Y, Allen GA, Koutrakis P, Burton RM. The metropolitan acid aerosol characterization study: results from the summer 1994 Washington, D.C. field study. Environ Health Perspect 1997;105(8):826-834.</w:t>
      </w:r>
      <w:bookmarkEnd w:id="34"/>
    </w:p>
    <w:p w:rsidR="0053170F" w:rsidRPr="0053170F" w:rsidRDefault="0053170F" w:rsidP="00777D71">
      <w:pPr>
        <w:pStyle w:val="EndNoteBibliography"/>
        <w:spacing w:after="0" w:line="360" w:lineRule="auto"/>
        <w:ind w:left="720" w:hanging="720"/>
      </w:pPr>
      <w:bookmarkStart w:id="35" w:name="_ENREF_35"/>
      <w:r w:rsidRPr="0053170F">
        <w:t>Tammemagi CM, Pinsky PF, Caporaso NE, et al. Lung cancer risk prediction: Prostate, Lung, Colorectal And Ovarian Cancer Screening Trial models and validation. J Natl Cancer Inst 2011;103(13):1058-1068.</w:t>
      </w:r>
      <w:bookmarkEnd w:id="35"/>
    </w:p>
    <w:p w:rsidR="0053170F" w:rsidRPr="0053170F" w:rsidRDefault="0053170F" w:rsidP="00777D71">
      <w:pPr>
        <w:pStyle w:val="EndNoteBibliography"/>
        <w:spacing w:after="0" w:line="360" w:lineRule="auto"/>
        <w:ind w:left="720" w:hanging="720"/>
      </w:pPr>
      <w:bookmarkStart w:id="36" w:name="_ENREF_36"/>
      <w:r w:rsidRPr="0053170F">
        <w:t>Thomas DC. Models for exposure-time-response relationships with applications to cancer epidemiology. Annu Rev Public Health 1988;9(451-482.</w:t>
      </w:r>
      <w:bookmarkEnd w:id="36"/>
    </w:p>
    <w:p w:rsidR="0053170F" w:rsidRPr="0053170F" w:rsidRDefault="0053170F" w:rsidP="00777D71">
      <w:pPr>
        <w:pStyle w:val="EndNoteBibliography"/>
        <w:spacing w:after="0" w:line="360" w:lineRule="auto"/>
        <w:ind w:left="720" w:hanging="720"/>
      </w:pPr>
      <w:bookmarkStart w:id="37" w:name="_ENREF_37"/>
      <w:r w:rsidRPr="0053170F">
        <w:t>Thomas DC, 2009. Statistical Models in Environmental Epidemiology. Oxford University Press, Oxford, UK.</w:t>
      </w:r>
      <w:bookmarkEnd w:id="37"/>
    </w:p>
    <w:p w:rsidR="0053170F" w:rsidRPr="0053170F" w:rsidRDefault="0053170F" w:rsidP="00777D71">
      <w:pPr>
        <w:pStyle w:val="EndNoteBibliography"/>
        <w:spacing w:after="0" w:line="360" w:lineRule="auto"/>
        <w:ind w:left="720" w:hanging="720"/>
      </w:pPr>
      <w:bookmarkStart w:id="38" w:name="_ENREF_38"/>
      <w:r w:rsidRPr="0053170F">
        <w:t>Thomas DC. Invited commentary: is it time to retire the "pack-years" variable? Maybe not! Am J Epidemiol 2014;179(3):299-302.</w:t>
      </w:r>
      <w:bookmarkEnd w:id="38"/>
    </w:p>
    <w:p w:rsidR="0053170F" w:rsidRPr="0053170F" w:rsidRDefault="0053170F" w:rsidP="00777D71">
      <w:pPr>
        <w:pStyle w:val="EndNoteBibliography"/>
        <w:spacing w:after="0" w:line="360" w:lineRule="auto"/>
        <w:ind w:left="720" w:hanging="720"/>
      </w:pPr>
      <w:bookmarkStart w:id="39" w:name="_ENREF_39"/>
      <w:r w:rsidRPr="0053170F">
        <w:t xml:space="preserve">U.S. EPA. Reviewing National Ambient Air Quality Standards (NAAQS): Scientific and Technical Information. Available: </w:t>
      </w:r>
      <w:hyperlink r:id="rId15" w:history="1">
        <w:r w:rsidRPr="0053170F">
          <w:rPr>
            <w:rStyle w:val="Hyperlink"/>
          </w:rPr>
          <w:t>https://www.epa.gov/naaqs</w:t>
        </w:r>
      </w:hyperlink>
      <w:r w:rsidRPr="0053170F">
        <w:t>. Last updated: 16 October 2017.  2017.</w:t>
      </w:r>
      <w:bookmarkEnd w:id="39"/>
    </w:p>
    <w:p w:rsidR="0053170F" w:rsidRPr="0053170F" w:rsidRDefault="0053170F" w:rsidP="00777D71">
      <w:pPr>
        <w:pStyle w:val="EndNoteBibliography"/>
        <w:spacing w:after="0" w:line="360" w:lineRule="auto"/>
        <w:ind w:left="720" w:hanging="720"/>
      </w:pPr>
      <w:bookmarkStart w:id="40" w:name="_ENREF_40"/>
      <w:r w:rsidRPr="0053170F">
        <w:t xml:space="preserve">U.S. EPA. Air Quality System (AQS). Available: </w:t>
      </w:r>
      <w:hyperlink r:id="rId16" w:history="1">
        <w:r w:rsidRPr="0053170F">
          <w:rPr>
            <w:rStyle w:val="Hyperlink"/>
          </w:rPr>
          <w:t>https://www.epa.gov/aqs</w:t>
        </w:r>
      </w:hyperlink>
      <w:r w:rsidRPr="0053170F">
        <w:t>. Last updated: 2018 November 2.  2018.</w:t>
      </w:r>
      <w:bookmarkEnd w:id="40"/>
    </w:p>
    <w:p w:rsidR="0053170F" w:rsidRPr="0053170F" w:rsidRDefault="0053170F" w:rsidP="00777D71">
      <w:pPr>
        <w:pStyle w:val="EndNoteBibliography"/>
        <w:spacing w:after="0" w:line="360" w:lineRule="auto"/>
        <w:ind w:left="720" w:hanging="720"/>
      </w:pPr>
      <w:bookmarkStart w:id="41" w:name="_ENREF_41"/>
      <w:r w:rsidRPr="0053170F">
        <w:lastRenderedPageBreak/>
        <w:t>Vlaanderen J, Portengen L, Schuz J, et al. Effect Modification of the Association of Cumulative Exposure and Cancer Risk by Intensity of Exposure and Time Since Exposure Cessation: A Flexible Method Applied to Cigarette Smoking and Lung Cancer in the SYNERGY Study. Am J Epidemiol 2014;179(3):290-298.</w:t>
      </w:r>
      <w:bookmarkEnd w:id="41"/>
    </w:p>
    <w:p w:rsidR="0053170F" w:rsidRPr="0053170F" w:rsidRDefault="0053170F" w:rsidP="00777D71">
      <w:pPr>
        <w:pStyle w:val="EndNoteBibliography"/>
        <w:spacing w:after="0" w:line="360" w:lineRule="auto"/>
        <w:ind w:left="720" w:hanging="720"/>
      </w:pPr>
      <w:bookmarkStart w:id="42" w:name="_ENREF_42"/>
      <w:r w:rsidRPr="0053170F">
        <w:t>Weuve J, Puett RC, Schwartz J, Yanosky JD, Laden F, Grodstein F. Exposure to particulate air pollution and cognitive decline in older women. Arch Intern Med 2012;172(3):219-227.</w:t>
      </w:r>
      <w:bookmarkEnd w:id="42"/>
    </w:p>
    <w:p w:rsidR="0053170F" w:rsidRPr="0053170F" w:rsidRDefault="0053170F" w:rsidP="00777D71">
      <w:pPr>
        <w:pStyle w:val="EndNoteBibliography"/>
        <w:spacing w:after="0" w:line="360" w:lineRule="auto"/>
        <w:ind w:left="720" w:hanging="720"/>
      </w:pPr>
      <w:bookmarkStart w:id="43" w:name="_ENREF_43"/>
      <w:r w:rsidRPr="0053170F">
        <w:t>Yanosky JD, Paciorek CJ, Laden F, et al. Spatio-temporal modeling of particulate air pollution in the conterminous United States using geographic and meteorological predictors. Environ Health 2014;13(63.</w:t>
      </w:r>
      <w:bookmarkEnd w:id="43"/>
    </w:p>
    <w:p w:rsidR="0053170F" w:rsidRPr="0053170F" w:rsidRDefault="0053170F" w:rsidP="00777D71">
      <w:pPr>
        <w:pStyle w:val="EndNoteBibliography"/>
        <w:spacing w:after="0" w:line="360" w:lineRule="auto"/>
        <w:ind w:left="720" w:hanging="720"/>
      </w:pPr>
      <w:bookmarkStart w:id="44" w:name="_ENREF_44"/>
      <w:r w:rsidRPr="0053170F">
        <w:t>Yanosky JD, Paciorek CJ, Schwartz J, Laden F, Puett R, Suh HH. Spatio-temporal modeling of chronic PM10 exposure for the Nurses' Health Study. Atmos Environ (1994) 2008;42(18):4047-4062.</w:t>
      </w:r>
      <w:bookmarkEnd w:id="44"/>
    </w:p>
    <w:p w:rsidR="0053170F" w:rsidRPr="0053170F" w:rsidRDefault="0053170F" w:rsidP="00777D71">
      <w:pPr>
        <w:pStyle w:val="EndNoteBibliography"/>
        <w:spacing w:after="0" w:line="360" w:lineRule="auto"/>
        <w:ind w:left="720" w:hanging="720"/>
      </w:pPr>
      <w:bookmarkStart w:id="45" w:name="_ENREF_45"/>
      <w:r w:rsidRPr="0053170F">
        <w:t>Yanosky JD, Paciorek CJ, Suh HH. Predicting chronic fine and coarse particulate exposures using spatiotemporal models for the Northeastern and Midwestern United States. Environ Health Perspect 2009;117(4):522-529.</w:t>
      </w:r>
      <w:bookmarkEnd w:id="45"/>
    </w:p>
    <w:p w:rsidR="0053170F" w:rsidRPr="0053170F" w:rsidRDefault="0053170F" w:rsidP="00777D71">
      <w:pPr>
        <w:pStyle w:val="EndNoteBibliography"/>
        <w:spacing w:line="360" w:lineRule="auto"/>
        <w:ind w:left="720" w:hanging="720"/>
      </w:pPr>
      <w:bookmarkStart w:id="46" w:name="_ENREF_46"/>
      <w:r w:rsidRPr="0053170F">
        <w:t>Zeger SL, Dominici F, McDermott A, Samet JM. Mortality in the Medicare population and chronic exposure to fine particulate air pollution in urban centers (2000-2005). Environ Health Perspect 2008;116(12):1614-1619.</w:t>
      </w:r>
      <w:bookmarkEnd w:id="46"/>
    </w:p>
    <w:p w:rsidR="00AB5A43" w:rsidRPr="008D000A" w:rsidRDefault="00076029" w:rsidP="00777D71">
      <w:pPr>
        <w:spacing w:line="360" w:lineRule="auto"/>
      </w:pPr>
      <w:r w:rsidRPr="005247F9">
        <w:fldChar w:fldCharType="end"/>
      </w:r>
      <w:r w:rsidR="00CF43EE" w:rsidRPr="008D000A">
        <w:t xml:space="preserve"> </w:t>
      </w:r>
    </w:p>
    <w:p w:rsidR="00AB5A43" w:rsidRPr="00AB5A43" w:rsidRDefault="00AB5A43" w:rsidP="00777D71">
      <w:pPr>
        <w:spacing w:line="360" w:lineRule="auto"/>
        <w:rPr>
          <w:b/>
        </w:rPr>
      </w:pPr>
    </w:p>
    <w:p w:rsidR="00AD06C1" w:rsidRPr="0026374F" w:rsidRDefault="00AD06C1" w:rsidP="00AD06C1">
      <w:pPr>
        <w:spacing w:line="480" w:lineRule="auto"/>
        <w:rPr>
          <w:b/>
        </w:rPr>
      </w:pPr>
      <w:r w:rsidRPr="0026374F">
        <w:rPr>
          <w:b/>
        </w:rPr>
        <w:t>Figures 1A</w:t>
      </w:r>
      <w:r w:rsidRPr="0026374F">
        <w:rPr>
          <w:rFonts w:ascii="Calibri" w:hAnsi="Calibri"/>
          <w:b/>
        </w:rPr>
        <w:t>–</w:t>
      </w:r>
      <w:r w:rsidRPr="0026374F">
        <w:rPr>
          <w:b/>
        </w:rPr>
        <w:t>C. Age-related modification of cumulative pack-years in (A) the full cohort, (B) former smokers, and (C) current smokers, using fully adjusted models. Lines illustrate the hazard ratio per 10 pack-years of smoking, and shading illustrates 95% confidence intervals around the hazard ratio. Red denotes models including PM</w:t>
      </w:r>
      <w:r w:rsidRPr="0026374F">
        <w:rPr>
          <w:b/>
          <w:vertAlign w:val="subscript"/>
        </w:rPr>
        <w:t>2.5</w:t>
      </w:r>
      <w:r w:rsidRPr="0026374F">
        <w:rPr>
          <w:b/>
        </w:rPr>
        <w:t xml:space="preserve"> and cumulative pack-years only (with age interactions), and blue denotes models including PM</w:t>
      </w:r>
      <w:r w:rsidRPr="0026374F">
        <w:rPr>
          <w:b/>
          <w:vertAlign w:val="subscript"/>
        </w:rPr>
        <w:t>2.5</w:t>
      </w:r>
      <w:r w:rsidRPr="0026374F">
        <w:rPr>
          <w:b/>
        </w:rPr>
        <w:t>, cumulative pack-years (with age interactions), years of smoking, and months since cessation.</w:t>
      </w:r>
    </w:p>
    <w:p w:rsidR="00CF43EE" w:rsidRDefault="00CF43EE" w:rsidP="00AD06C1">
      <w:pPr>
        <w:spacing w:line="360" w:lineRule="auto"/>
      </w:pPr>
      <w:r>
        <w:lastRenderedPageBreak/>
        <w:t>A.</w:t>
      </w:r>
      <w:r w:rsidRPr="009B5B3D">
        <w:rPr>
          <w:noProof/>
        </w:rPr>
        <w:t xml:space="preserve"> </w:t>
      </w:r>
      <w:r>
        <w:rPr>
          <w:noProof/>
        </w:rPr>
        <w:drawing>
          <wp:inline distT="0" distB="0" distL="0" distR="0" wp14:anchorId="10461A66" wp14:editId="6C6F74AC">
            <wp:extent cx="5857875" cy="438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7875" cy="4381500"/>
                    </a:xfrm>
                    <a:prstGeom prst="rect">
                      <a:avLst/>
                    </a:prstGeom>
                  </pic:spPr>
                </pic:pic>
              </a:graphicData>
            </a:graphic>
          </wp:inline>
        </w:drawing>
      </w:r>
    </w:p>
    <w:p w:rsidR="00CF43EE" w:rsidRDefault="00CF43EE" w:rsidP="00AD06C1">
      <w:pPr>
        <w:keepNext/>
        <w:spacing w:line="360" w:lineRule="auto"/>
      </w:pPr>
      <w:r>
        <w:lastRenderedPageBreak/>
        <w:t>B.</w:t>
      </w:r>
    </w:p>
    <w:p w:rsidR="00CF43EE" w:rsidRDefault="00CF43EE" w:rsidP="00AD06C1">
      <w:pPr>
        <w:spacing w:line="360" w:lineRule="auto"/>
      </w:pPr>
      <w:r>
        <w:rPr>
          <w:noProof/>
        </w:rPr>
        <w:drawing>
          <wp:inline distT="0" distB="0" distL="0" distR="0" wp14:anchorId="0ADBDE7A" wp14:editId="2FF2A8B1">
            <wp:extent cx="5934075" cy="4410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34075" cy="4410075"/>
                    </a:xfrm>
                    <a:prstGeom prst="rect">
                      <a:avLst/>
                    </a:prstGeom>
                  </pic:spPr>
                </pic:pic>
              </a:graphicData>
            </a:graphic>
          </wp:inline>
        </w:drawing>
      </w:r>
    </w:p>
    <w:p w:rsidR="00CF43EE" w:rsidRDefault="00CF43EE" w:rsidP="00AD06C1">
      <w:pPr>
        <w:keepNext/>
        <w:spacing w:line="360" w:lineRule="auto"/>
      </w:pPr>
      <w:r>
        <w:lastRenderedPageBreak/>
        <w:t>C.</w:t>
      </w:r>
    </w:p>
    <w:p w:rsidR="00CF43EE" w:rsidRDefault="00CF43EE" w:rsidP="00AD06C1">
      <w:pPr>
        <w:spacing w:line="360" w:lineRule="auto"/>
      </w:pPr>
      <w:r>
        <w:rPr>
          <w:noProof/>
        </w:rPr>
        <w:drawing>
          <wp:inline distT="0" distB="0" distL="0" distR="0" wp14:anchorId="0B3E54E3" wp14:editId="714B3FFC">
            <wp:extent cx="5915025" cy="441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15025" cy="4410075"/>
                    </a:xfrm>
                    <a:prstGeom prst="rect">
                      <a:avLst/>
                    </a:prstGeom>
                  </pic:spPr>
                </pic:pic>
              </a:graphicData>
            </a:graphic>
          </wp:inline>
        </w:drawing>
      </w:r>
    </w:p>
    <w:p w:rsidR="00CF43EE" w:rsidRDefault="00CF43EE" w:rsidP="00AD06C1">
      <w:pPr>
        <w:spacing w:line="360" w:lineRule="auto"/>
      </w:pPr>
    </w:p>
    <w:p w:rsidR="00AD06C1" w:rsidRDefault="00AD06C1">
      <w:pPr>
        <w:spacing w:after="200" w:line="276" w:lineRule="auto"/>
      </w:pPr>
      <w:r>
        <w:br w:type="page"/>
      </w:r>
    </w:p>
    <w:p w:rsidR="00AD06C1" w:rsidRDefault="00AD06C1" w:rsidP="00AD06C1">
      <w:pPr>
        <w:spacing w:line="360" w:lineRule="auto"/>
        <w:sectPr w:rsidR="00AD06C1" w:rsidSect="00F510D5">
          <w:footerReference w:type="default" r:id="rId20"/>
          <w:footerReference w:type="first" r:id="rId21"/>
          <w:pgSz w:w="12240" w:h="15840" w:code="1"/>
          <w:pgMar w:top="1440" w:right="1440" w:bottom="1440" w:left="1440" w:header="720" w:footer="720" w:gutter="0"/>
          <w:cols w:space="720"/>
          <w:titlePg/>
          <w:docGrid w:linePitch="326"/>
        </w:sectPr>
      </w:pPr>
    </w:p>
    <w:p w:rsidR="00AD06C1" w:rsidRPr="0026374F" w:rsidRDefault="00AD06C1" w:rsidP="00AD06C1">
      <w:r w:rsidRPr="0026374F">
        <w:lastRenderedPageBreak/>
        <w:t>Table 1. Smoking and air pollution characteristics of the Nurses’ Health Study cohort at study baseline (1994) and during follow-up (1994–2010), stratified by smoking status at study baseline.</w:t>
      </w:r>
    </w:p>
    <w:tbl>
      <w:tblPr>
        <w:tblW w:w="12560" w:type="dxa"/>
        <w:tblInd w:w="93" w:type="dxa"/>
        <w:tblLook w:val="04A0" w:firstRow="1" w:lastRow="0" w:firstColumn="1" w:lastColumn="0" w:noHBand="0" w:noVBand="1"/>
      </w:tblPr>
      <w:tblGrid>
        <w:gridCol w:w="1120"/>
        <w:gridCol w:w="3760"/>
        <w:gridCol w:w="1173"/>
        <w:gridCol w:w="747"/>
        <w:gridCol w:w="1052"/>
        <w:gridCol w:w="868"/>
        <w:gridCol w:w="1084"/>
        <w:gridCol w:w="836"/>
        <w:gridCol w:w="1173"/>
        <w:gridCol w:w="747"/>
      </w:tblGrid>
      <w:tr w:rsidR="00AD06C1" w:rsidRPr="0026374F" w:rsidTr="009C363B">
        <w:trPr>
          <w:trHeight w:val="300"/>
        </w:trPr>
        <w:tc>
          <w:tcPr>
            <w:tcW w:w="112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rPr>
                <w:color w:val="000000"/>
                <w:sz w:val="22"/>
                <w:szCs w:val="22"/>
              </w:rPr>
            </w:pPr>
            <w:r w:rsidRPr="0026374F">
              <w:rPr>
                <w:color w:val="000000"/>
                <w:sz w:val="22"/>
                <w:szCs w:val="22"/>
              </w:rPr>
              <w:t> </w:t>
            </w:r>
          </w:p>
        </w:tc>
        <w:tc>
          <w:tcPr>
            <w:tcW w:w="376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rPr>
                <w:color w:val="000000"/>
                <w:sz w:val="22"/>
                <w:szCs w:val="22"/>
              </w:rPr>
            </w:pPr>
            <w:r w:rsidRPr="0026374F">
              <w:rPr>
                <w:color w:val="000000"/>
                <w:sz w:val="22"/>
                <w:szCs w:val="22"/>
              </w:rPr>
              <w:t> </w:t>
            </w:r>
          </w:p>
        </w:tc>
        <w:tc>
          <w:tcPr>
            <w:tcW w:w="1920" w:type="dxa"/>
            <w:gridSpan w:val="2"/>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Never smokers</w:t>
            </w:r>
          </w:p>
        </w:tc>
        <w:tc>
          <w:tcPr>
            <w:tcW w:w="1920" w:type="dxa"/>
            <w:gridSpan w:val="2"/>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Former smokers</w:t>
            </w:r>
          </w:p>
        </w:tc>
        <w:tc>
          <w:tcPr>
            <w:tcW w:w="1920" w:type="dxa"/>
            <w:gridSpan w:val="2"/>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Current smokers</w:t>
            </w:r>
          </w:p>
        </w:tc>
        <w:tc>
          <w:tcPr>
            <w:tcW w:w="1920" w:type="dxa"/>
            <w:gridSpan w:val="2"/>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Total cohort*</w:t>
            </w:r>
          </w:p>
        </w:tc>
      </w:tr>
      <w:tr w:rsidR="00AD06C1" w:rsidRPr="0026374F" w:rsidTr="009C363B">
        <w:trPr>
          <w:trHeight w:val="300"/>
        </w:trPr>
        <w:tc>
          <w:tcPr>
            <w:tcW w:w="1120"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rPr>
                <w:color w:val="000000"/>
                <w:sz w:val="22"/>
                <w:szCs w:val="22"/>
              </w:rPr>
            </w:pPr>
            <w:r w:rsidRPr="0026374F">
              <w:rPr>
                <w:color w:val="000000"/>
                <w:sz w:val="22"/>
                <w:szCs w:val="22"/>
              </w:rPr>
              <w:t> </w:t>
            </w:r>
          </w:p>
        </w:tc>
        <w:tc>
          <w:tcPr>
            <w:tcW w:w="3760"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rPr>
                <w:color w:val="000000"/>
                <w:sz w:val="22"/>
                <w:szCs w:val="22"/>
              </w:rPr>
            </w:pPr>
            <w:r w:rsidRPr="0026374F">
              <w:rPr>
                <w:color w:val="000000"/>
                <w:sz w:val="22"/>
                <w:szCs w:val="22"/>
              </w:rPr>
              <w:t> </w:t>
            </w:r>
          </w:p>
        </w:tc>
        <w:tc>
          <w:tcPr>
            <w:tcW w:w="1920" w:type="dxa"/>
            <w:gridSpan w:val="2"/>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n = 44,245</w:t>
            </w:r>
          </w:p>
        </w:tc>
        <w:tc>
          <w:tcPr>
            <w:tcW w:w="1920" w:type="dxa"/>
            <w:gridSpan w:val="2"/>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n = 39,061</w:t>
            </w:r>
          </w:p>
        </w:tc>
        <w:tc>
          <w:tcPr>
            <w:tcW w:w="1920" w:type="dxa"/>
            <w:gridSpan w:val="2"/>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n = 12,784</w:t>
            </w:r>
          </w:p>
        </w:tc>
        <w:tc>
          <w:tcPr>
            <w:tcW w:w="1920" w:type="dxa"/>
            <w:gridSpan w:val="2"/>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n = 96,090</w:t>
            </w:r>
          </w:p>
        </w:tc>
      </w:tr>
      <w:tr w:rsidR="00AD06C1" w:rsidRPr="0026374F" w:rsidTr="009C363B">
        <w:trPr>
          <w:trHeight w:val="300"/>
        </w:trPr>
        <w:tc>
          <w:tcPr>
            <w:tcW w:w="1120"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rPr>
                <w:color w:val="000000"/>
                <w:sz w:val="22"/>
                <w:szCs w:val="22"/>
              </w:rPr>
            </w:pPr>
            <w:r w:rsidRPr="0026374F">
              <w:rPr>
                <w:color w:val="000000"/>
                <w:sz w:val="22"/>
                <w:szCs w:val="22"/>
              </w:rPr>
              <w:t> </w:t>
            </w:r>
          </w:p>
        </w:tc>
        <w:tc>
          <w:tcPr>
            <w:tcW w:w="3760"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rPr>
                <w:color w:val="000000"/>
                <w:sz w:val="22"/>
                <w:szCs w:val="22"/>
              </w:rPr>
            </w:pPr>
            <w:r w:rsidRPr="0026374F">
              <w:rPr>
                <w:color w:val="000000"/>
                <w:sz w:val="22"/>
                <w:szCs w:val="22"/>
              </w:rPr>
              <w:t> </w:t>
            </w:r>
          </w:p>
        </w:tc>
        <w:tc>
          <w:tcPr>
            <w:tcW w:w="1173"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Mean</w:t>
            </w:r>
          </w:p>
        </w:tc>
        <w:tc>
          <w:tcPr>
            <w:tcW w:w="747"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SD</w:t>
            </w:r>
          </w:p>
        </w:tc>
        <w:tc>
          <w:tcPr>
            <w:tcW w:w="1052"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Mean</w:t>
            </w:r>
          </w:p>
        </w:tc>
        <w:tc>
          <w:tcPr>
            <w:tcW w:w="868"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SD</w:t>
            </w:r>
          </w:p>
        </w:tc>
        <w:tc>
          <w:tcPr>
            <w:tcW w:w="1084"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Mean</w:t>
            </w:r>
          </w:p>
        </w:tc>
        <w:tc>
          <w:tcPr>
            <w:tcW w:w="83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SD</w:t>
            </w:r>
          </w:p>
        </w:tc>
        <w:tc>
          <w:tcPr>
            <w:tcW w:w="1173"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Mean</w:t>
            </w:r>
          </w:p>
        </w:tc>
        <w:tc>
          <w:tcPr>
            <w:tcW w:w="747"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SD</w:t>
            </w:r>
          </w:p>
        </w:tc>
      </w:tr>
      <w:tr w:rsidR="00AD06C1" w:rsidRPr="0026374F" w:rsidTr="009C363B">
        <w:trPr>
          <w:trHeight w:val="300"/>
        </w:trPr>
        <w:tc>
          <w:tcPr>
            <w:tcW w:w="4880" w:type="dxa"/>
            <w:gridSpan w:val="2"/>
            <w:tcBorders>
              <w:top w:val="single" w:sz="4" w:space="0" w:color="auto"/>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Age at baseline (years)</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60.5</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7.3</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60.7</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7.0</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59.7</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6.9</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60.5</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7.1</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xml:space="preserve"> … during follow-up</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67.1</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7.2</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67.2</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6.8</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65.6</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6.6</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67.0</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7.0</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Smoking duration at baseline (years)</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21.0</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12.8</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39.0</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8.5</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during follow-up</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0.0</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0.1</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21.4</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13.0</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43.5</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8.7</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Cumulative smoking at baseline (pack-years)</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18.8</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17.6</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42.2</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20.6</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during follow-up</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0.0</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0.0</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19.1</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17.8</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46.0</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21.9</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Average packs at baseline (pack-years / duration)</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0.3</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0.3</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0.1</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0.1</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xml:space="preserve">… during follow-up </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0.0</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0.0</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0.3</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0.3</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0.1</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0.1</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Age at smoking initiation (years)</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19.3</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4.2</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19.1</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4.0</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Age at smoking cessation (years)</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41.7</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13.1</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Time since smoking cessation at baseline (months)</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228.7</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143.2</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xml:space="preserve"> -</w:t>
            </w:r>
          </w:p>
        </w:tc>
      </w:tr>
      <w:tr w:rsidR="00AD06C1" w:rsidRPr="0026374F" w:rsidTr="009C363B">
        <w:trPr>
          <w:trHeight w:val="342"/>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PM</w:t>
            </w:r>
            <w:r w:rsidRPr="0026374F">
              <w:rPr>
                <w:color w:val="000000"/>
                <w:sz w:val="22"/>
                <w:szCs w:val="22"/>
                <w:vertAlign w:val="subscript"/>
              </w:rPr>
              <w:t>2.5</w:t>
            </w:r>
            <w:r w:rsidRPr="0026374F">
              <w:rPr>
                <w:color w:val="000000"/>
                <w:sz w:val="22"/>
                <w:szCs w:val="22"/>
              </w:rPr>
              <w:t xml:space="preserve"> at baseline (µg/m</w:t>
            </w:r>
            <w:r w:rsidRPr="0026374F">
              <w:rPr>
                <w:color w:val="000000"/>
                <w:sz w:val="22"/>
                <w:szCs w:val="22"/>
                <w:vertAlign w:val="superscript"/>
              </w:rPr>
              <w:t>3</w:t>
            </w:r>
            <w:r w:rsidRPr="0026374F">
              <w:rPr>
                <w:color w:val="000000"/>
                <w:sz w:val="22"/>
                <w:szCs w:val="22"/>
              </w:rPr>
              <w:t>)</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15.2</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3.3</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15.0</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3.2</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15.2</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3.1</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15.1</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3.2</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xml:space="preserve"> … during follow-up</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13.2</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2.8</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13.0</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2.7</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13.4</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2.7</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13.2</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2.7</w:t>
            </w:r>
          </w:p>
        </w:tc>
      </w:tr>
      <w:tr w:rsidR="00AD06C1" w:rsidRPr="0026374F" w:rsidTr="009C363B">
        <w:trPr>
          <w:trHeight w:val="342"/>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PM</w:t>
            </w:r>
            <w:r w:rsidRPr="0026374F">
              <w:rPr>
                <w:color w:val="000000"/>
                <w:sz w:val="22"/>
                <w:szCs w:val="22"/>
                <w:vertAlign w:val="subscript"/>
              </w:rPr>
              <w:t>10</w:t>
            </w:r>
            <w:r w:rsidRPr="0026374F">
              <w:rPr>
                <w:color w:val="000000"/>
                <w:sz w:val="22"/>
                <w:szCs w:val="22"/>
              </w:rPr>
              <w:t xml:space="preserve"> at baseline (µg/m</w:t>
            </w:r>
            <w:r w:rsidRPr="0026374F">
              <w:rPr>
                <w:color w:val="000000"/>
                <w:sz w:val="22"/>
                <w:szCs w:val="22"/>
                <w:vertAlign w:val="superscript"/>
              </w:rPr>
              <w:t>3</w:t>
            </w:r>
            <w:r w:rsidRPr="0026374F">
              <w:rPr>
                <w:color w:val="000000"/>
                <w:sz w:val="22"/>
                <w:szCs w:val="22"/>
              </w:rPr>
              <w:t>)</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25.8</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6.8</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25.3</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6.3</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25.3</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6.2</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25.5</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6.5</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xml:space="preserve"> … during follow-up</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21.9</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5.6</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21.5</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5.3</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21.8</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5.3</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21.7</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5.4</w:t>
            </w:r>
          </w:p>
        </w:tc>
      </w:tr>
      <w:tr w:rsidR="00AD06C1" w:rsidRPr="0026374F" w:rsidTr="009C363B">
        <w:trPr>
          <w:trHeight w:val="342"/>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PM</w:t>
            </w:r>
            <w:r w:rsidRPr="0026374F">
              <w:rPr>
                <w:color w:val="000000"/>
                <w:sz w:val="22"/>
                <w:szCs w:val="22"/>
                <w:vertAlign w:val="subscript"/>
              </w:rPr>
              <w:t>2.5–10</w:t>
            </w:r>
            <w:r w:rsidRPr="0026374F">
              <w:rPr>
                <w:color w:val="000000"/>
                <w:sz w:val="22"/>
                <w:szCs w:val="22"/>
              </w:rPr>
              <w:t xml:space="preserve"> at baseline (µg/m</w:t>
            </w:r>
            <w:r w:rsidRPr="0026374F">
              <w:rPr>
                <w:color w:val="000000"/>
                <w:sz w:val="22"/>
                <w:szCs w:val="22"/>
                <w:vertAlign w:val="superscript"/>
              </w:rPr>
              <w:t>3</w:t>
            </w:r>
            <w:r w:rsidRPr="0026374F">
              <w:rPr>
                <w:color w:val="000000"/>
                <w:sz w:val="22"/>
                <w:szCs w:val="22"/>
              </w:rPr>
              <w:t>)</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5.0</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4.6</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4.5</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4.7</w:t>
            </w:r>
          </w:p>
        </w:tc>
      </w:tr>
      <w:tr w:rsidR="00AD06C1" w:rsidRPr="0026374F" w:rsidTr="009C363B">
        <w:trPr>
          <w:trHeight w:val="300"/>
        </w:trPr>
        <w:tc>
          <w:tcPr>
            <w:tcW w:w="4880" w:type="dxa"/>
            <w:gridSpan w:val="2"/>
            <w:tcBorders>
              <w:top w:val="nil"/>
              <w:left w:val="nil"/>
              <w:bottom w:val="single" w:sz="4" w:space="0" w:color="auto"/>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xml:space="preserve"> … during follow-up</w:t>
            </w:r>
          </w:p>
        </w:tc>
        <w:tc>
          <w:tcPr>
            <w:tcW w:w="1173"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8.6</w:t>
            </w:r>
          </w:p>
        </w:tc>
        <w:tc>
          <w:tcPr>
            <w:tcW w:w="747"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4.1</w:t>
            </w:r>
          </w:p>
        </w:tc>
        <w:tc>
          <w:tcPr>
            <w:tcW w:w="1052"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8.5</w:t>
            </w:r>
          </w:p>
        </w:tc>
        <w:tc>
          <w:tcPr>
            <w:tcW w:w="868"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3.8</w:t>
            </w:r>
          </w:p>
        </w:tc>
        <w:tc>
          <w:tcPr>
            <w:tcW w:w="1084"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8.5</w:t>
            </w:r>
          </w:p>
        </w:tc>
        <w:tc>
          <w:tcPr>
            <w:tcW w:w="83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3.8</w:t>
            </w:r>
          </w:p>
        </w:tc>
        <w:tc>
          <w:tcPr>
            <w:tcW w:w="1173"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8.5</w:t>
            </w:r>
          </w:p>
        </w:tc>
        <w:tc>
          <w:tcPr>
            <w:tcW w:w="747"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4.0</w:t>
            </w:r>
          </w:p>
        </w:tc>
      </w:tr>
      <w:tr w:rsidR="00AD06C1" w:rsidRPr="0026374F" w:rsidTr="009C363B">
        <w:trPr>
          <w:trHeight w:val="300"/>
        </w:trPr>
        <w:tc>
          <w:tcPr>
            <w:tcW w:w="1120" w:type="dxa"/>
            <w:tcBorders>
              <w:top w:val="nil"/>
              <w:left w:val="nil"/>
              <w:bottom w:val="single" w:sz="4" w:space="0" w:color="auto"/>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w:t>
            </w:r>
          </w:p>
        </w:tc>
        <w:tc>
          <w:tcPr>
            <w:tcW w:w="3760" w:type="dxa"/>
            <w:tcBorders>
              <w:top w:val="nil"/>
              <w:left w:val="nil"/>
              <w:bottom w:val="single" w:sz="4" w:space="0" w:color="auto"/>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w:t>
            </w:r>
          </w:p>
        </w:tc>
        <w:tc>
          <w:tcPr>
            <w:tcW w:w="1173"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n</w:t>
            </w:r>
          </w:p>
        </w:tc>
        <w:tc>
          <w:tcPr>
            <w:tcW w:w="747"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1052"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n</w:t>
            </w:r>
          </w:p>
        </w:tc>
        <w:tc>
          <w:tcPr>
            <w:tcW w:w="868"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1084"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n</w:t>
            </w:r>
          </w:p>
        </w:tc>
        <w:tc>
          <w:tcPr>
            <w:tcW w:w="83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1173"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n</w:t>
            </w:r>
          </w:p>
        </w:tc>
        <w:tc>
          <w:tcPr>
            <w:tcW w:w="747"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Geographic region at baseline</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r>
      <w:tr w:rsidR="00AD06C1" w:rsidRPr="0026374F" w:rsidTr="009C363B">
        <w:trPr>
          <w:trHeight w:val="300"/>
        </w:trPr>
        <w:tc>
          <w:tcPr>
            <w:tcW w:w="1120" w:type="dxa"/>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p>
        </w:tc>
        <w:tc>
          <w:tcPr>
            <w:tcW w:w="3760" w:type="dxa"/>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Northeast</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21,695</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49%</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21,204</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54%</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7,224</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57%</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50,123</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52%</w:t>
            </w:r>
          </w:p>
        </w:tc>
      </w:tr>
      <w:tr w:rsidR="00AD06C1" w:rsidRPr="0026374F" w:rsidTr="009C363B">
        <w:trPr>
          <w:trHeight w:val="300"/>
        </w:trPr>
        <w:tc>
          <w:tcPr>
            <w:tcW w:w="1120" w:type="dxa"/>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p>
        </w:tc>
        <w:tc>
          <w:tcPr>
            <w:tcW w:w="3760" w:type="dxa"/>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Midwest</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8,779</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20%</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6,257</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16%</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2,178</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17,214</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18%</w:t>
            </w:r>
          </w:p>
        </w:tc>
      </w:tr>
      <w:tr w:rsidR="00AD06C1" w:rsidRPr="0026374F" w:rsidTr="009C363B">
        <w:trPr>
          <w:trHeight w:val="300"/>
        </w:trPr>
        <w:tc>
          <w:tcPr>
            <w:tcW w:w="1120" w:type="dxa"/>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p>
        </w:tc>
        <w:tc>
          <w:tcPr>
            <w:tcW w:w="3760" w:type="dxa"/>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West</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6,254</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14%</w:t>
            </w: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5,110</w:t>
            </w: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w:t>
            </w: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1,288</w:t>
            </w: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10%</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12,652</w:t>
            </w: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13%</w:t>
            </w:r>
          </w:p>
        </w:tc>
      </w:tr>
      <w:tr w:rsidR="00AD06C1" w:rsidRPr="0026374F" w:rsidTr="009C363B">
        <w:trPr>
          <w:trHeight w:val="300"/>
        </w:trPr>
        <w:tc>
          <w:tcPr>
            <w:tcW w:w="1120" w:type="dxa"/>
            <w:tcBorders>
              <w:top w:val="nil"/>
              <w:left w:val="nil"/>
              <w:bottom w:val="single" w:sz="4" w:space="0" w:color="auto"/>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 </w:t>
            </w:r>
          </w:p>
        </w:tc>
        <w:tc>
          <w:tcPr>
            <w:tcW w:w="3760" w:type="dxa"/>
            <w:tcBorders>
              <w:top w:val="nil"/>
              <w:left w:val="nil"/>
              <w:bottom w:val="single" w:sz="4" w:space="0" w:color="auto"/>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South</w:t>
            </w:r>
          </w:p>
        </w:tc>
        <w:tc>
          <w:tcPr>
            <w:tcW w:w="1173"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7,517</w:t>
            </w:r>
          </w:p>
        </w:tc>
        <w:tc>
          <w:tcPr>
            <w:tcW w:w="747"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w:t>
            </w:r>
          </w:p>
        </w:tc>
        <w:tc>
          <w:tcPr>
            <w:tcW w:w="1052"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6,490</w:t>
            </w:r>
          </w:p>
        </w:tc>
        <w:tc>
          <w:tcPr>
            <w:tcW w:w="868"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w:t>
            </w:r>
          </w:p>
        </w:tc>
        <w:tc>
          <w:tcPr>
            <w:tcW w:w="1084"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2,094</w:t>
            </w:r>
          </w:p>
        </w:tc>
        <w:tc>
          <w:tcPr>
            <w:tcW w:w="83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16%</w:t>
            </w:r>
          </w:p>
        </w:tc>
        <w:tc>
          <w:tcPr>
            <w:tcW w:w="1173"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16,101</w:t>
            </w:r>
          </w:p>
        </w:tc>
        <w:tc>
          <w:tcPr>
            <w:tcW w:w="747"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17%</w:t>
            </w:r>
          </w:p>
        </w:tc>
      </w:tr>
      <w:tr w:rsidR="00AD06C1" w:rsidRPr="0026374F" w:rsidTr="009C363B">
        <w:trPr>
          <w:trHeight w:val="642"/>
        </w:trPr>
        <w:tc>
          <w:tcPr>
            <w:tcW w:w="12560" w:type="dxa"/>
            <w:gridSpan w:val="10"/>
            <w:tcBorders>
              <w:top w:val="single" w:sz="4" w:space="0" w:color="auto"/>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lastRenderedPageBreak/>
              <w:t>*The total eligible cohort of 97,303 women is larger than the cohort of 96,090 with known smoking status at baseline in 1994, due to the availability of smoking data from an additional 1,213 women during follow-up.</w:t>
            </w: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PM: particulate matter</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r>
      <w:tr w:rsidR="00AD06C1" w:rsidRPr="0026374F" w:rsidTr="009C363B">
        <w:trPr>
          <w:trHeight w:val="300"/>
        </w:trPr>
        <w:tc>
          <w:tcPr>
            <w:tcW w:w="4880" w:type="dxa"/>
            <w:gridSpan w:val="2"/>
            <w:tcBorders>
              <w:top w:val="nil"/>
              <w:left w:val="nil"/>
              <w:bottom w:val="nil"/>
              <w:right w:val="nil"/>
            </w:tcBorders>
            <w:shd w:val="clear" w:color="auto" w:fill="auto"/>
            <w:noWrap/>
            <w:hideMark/>
          </w:tcPr>
          <w:p w:rsidR="00AD06C1" w:rsidRPr="0026374F" w:rsidRDefault="00AD06C1" w:rsidP="009C363B">
            <w:pPr>
              <w:spacing w:after="0"/>
              <w:rPr>
                <w:color w:val="000000"/>
                <w:sz w:val="22"/>
                <w:szCs w:val="22"/>
              </w:rPr>
            </w:pPr>
            <w:r w:rsidRPr="0026374F">
              <w:rPr>
                <w:color w:val="000000"/>
                <w:sz w:val="22"/>
                <w:szCs w:val="22"/>
              </w:rPr>
              <w:t>SD: standard deviation</w:t>
            </w: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052"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868"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084"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83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1173"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747"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r>
    </w:tbl>
    <w:p w:rsidR="00AD06C1" w:rsidRDefault="00AD06C1" w:rsidP="00AD06C1"/>
    <w:p w:rsidR="00AD06C1" w:rsidRDefault="00AD06C1" w:rsidP="00AD06C1">
      <w:pPr>
        <w:spacing w:after="160" w:line="259" w:lineRule="auto"/>
      </w:pPr>
      <w:r>
        <w:br w:type="page"/>
      </w:r>
    </w:p>
    <w:p w:rsidR="00AD06C1" w:rsidRPr="0026374F" w:rsidRDefault="00AD06C1" w:rsidP="00AD06C1">
      <w:r w:rsidRPr="0026374F">
        <w:lastRenderedPageBreak/>
        <w:t xml:space="preserve">Table 2. Model fit and associations between fine particulate matter and smoking characteristics with lung cancer incidence in the Nurses’ Health Study, adjusted for age, time period, and geographic region only (minimally adjusted models) or additional covariates (fully adjusted models), with various classifications of smoking based on cumulative pack-years. </w:t>
      </w:r>
    </w:p>
    <w:tbl>
      <w:tblPr>
        <w:tblW w:w="11666" w:type="dxa"/>
        <w:tblInd w:w="93" w:type="dxa"/>
        <w:tblLook w:val="04A0" w:firstRow="1" w:lastRow="0" w:firstColumn="1" w:lastColumn="0" w:noHBand="0" w:noVBand="1"/>
      </w:tblPr>
      <w:tblGrid>
        <w:gridCol w:w="2100"/>
        <w:gridCol w:w="1540"/>
        <w:gridCol w:w="3107"/>
        <w:gridCol w:w="711"/>
        <w:gridCol w:w="711"/>
        <w:gridCol w:w="326"/>
        <w:gridCol w:w="711"/>
        <w:gridCol w:w="711"/>
        <w:gridCol w:w="711"/>
        <w:gridCol w:w="326"/>
        <w:gridCol w:w="712"/>
      </w:tblGrid>
      <w:tr w:rsidR="00AD06C1" w:rsidRPr="0026374F" w:rsidTr="00DA6BCD">
        <w:trPr>
          <w:trHeight w:val="345"/>
        </w:trPr>
        <w:tc>
          <w:tcPr>
            <w:tcW w:w="210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2459" w:type="dxa"/>
            <w:gridSpan w:val="4"/>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 xml:space="preserve">Minimally </w:t>
            </w:r>
            <w:proofErr w:type="spellStart"/>
            <w:r w:rsidRPr="0026374F">
              <w:rPr>
                <w:b/>
                <w:bCs/>
                <w:color w:val="000000"/>
                <w:sz w:val="22"/>
                <w:szCs w:val="22"/>
              </w:rPr>
              <w:t>adjusted</w:t>
            </w:r>
            <w:r w:rsidRPr="0026374F">
              <w:rPr>
                <w:b/>
                <w:bCs/>
                <w:color w:val="000000"/>
                <w:sz w:val="22"/>
                <w:szCs w:val="22"/>
                <w:vertAlign w:val="superscript"/>
              </w:rPr>
              <w:t>a</w:t>
            </w:r>
            <w:proofErr w:type="spellEnd"/>
          </w:p>
        </w:tc>
        <w:tc>
          <w:tcPr>
            <w:tcW w:w="2459" w:type="dxa"/>
            <w:gridSpan w:val="4"/>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 xml:space="preserve">Fully </w:t>
            </w:r>
            <w:proofErr w:type="spellStart"/>
            <w:r w:rsidRPr="0026374F">
              <w:rPr>
                <w:b/>
                <w:bCs/>
                <w:color w:val="000000"/>
                <w:sz w:val="22"/>
                <w:szCs w:val="22"/>
              </w:rPr>
              <w:t>adjusted</w:t>
            </w:r>
            <w:r w:rsidRPr="0026374F">
              <w:rPr>
                <w:b/>
                <w:bCs/>
                <w:color w:val="000000"/>
                <w:sz w:val="22"/>
                <w:szCs w:val="22"/>
                <w:vertAlign w:val="superscript"/>
              </w:rPr>
              <w:t>b</w:t>
            </w:r>
            <w:proofErr w:type="spellEnd"/>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AIC, minimally adj.</w:t>
            </w:r>
          </w:p>
        </w:tc>
        <w:tc>
          <w:tcPr>
            <w:tcW w:w="154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AIC, fully adj.</w:t>
            </w:r>
          </w:p>
        </w:tc>
        <w:tc>
          <w:tcPr>
            <w:tcW w:w="310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Covariate</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HR</w:t>
            </w:r>
          </w:p>
        </w:tc>
        <w:tc>
          <w:tcPr>
            <w:tcW w:w="1748" w:type="dxa"/>
            <w:gridSpan w:val="3"/>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95% CI</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HR</w:t>
            </w:r>
          </w:p>
        </w:tc>
        <w:tc>
          <w:tcPr>
            <w:tcW w:w="1748" w:type="dxa"/>
            <w:gridSpan w:val="3"/>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95% CI</w:t>
            </w:r>
          </w:p>
        </w:tc>
      </w:tr>
      <w:tr w:rsidR="00AD06C1" w:rsidRPr="0026374F" w:rsidTr="00DA6BCD">
        <w:trPr>
          <w:trHeight w:val="375"/>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21,796.11</w:t>
            </w:r>
          </w:p>
        </w:tc>
        <w:tc>
          <w:tcPr>
            <w:tcW w:w="1540"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21,096.64</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0.87</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1.21</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1.26</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19,734.78</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19,610.10</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25.85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21.91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30.51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19.25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16.18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22.91</w:t>
            </w:r>
          </w:p>
        </w:tc>
      </w:tr>
      <w:tr w:rsidR="00AD06C1" w:rsidRPr="0026374F" w:rsidTr="00DA6BCD">
        <w:trPr>
          <w:trHeight w:val="300"/>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6.45</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5.50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7.55</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5.80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4.93</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6.82</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18,721.24</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18,705.14</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1.09</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1.28</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4.08</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3.32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5.01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3.65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2.96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4.50</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2.62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2.21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3.11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2.52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2.11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3.00</w:t>
            </w:r>
          </w:p>
        </w:tc>
      </w:tr>
      <w:tr w:rsidR="00AD06C1" w:rsidRPr="0026374F" w:rsidTr="00DA6BCD">
        <w:trPr>
          <w:trHeight w:val="300"/>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1.03</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1.03</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18,550.32</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18,549.61</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1.59</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1.14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1.51</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1.14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1.43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1.12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1.41</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1.02</w:t>
            </w:r>
          </w:p>
        </w:tc>
      </w:tr>
      <w:tr w:rsidR="00AD06C1" w:rsidRPr="0026374F" w:rsidTr="00DA6BCD">
        <w:trPr>
          <w:trHeight w:val="300"/>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18,545.49</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18,545.16</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1.27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3.33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1.92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1.18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3.12</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2.03</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1.26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3.28</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1.97</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1.22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3.19</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1.02</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1.03</w:t>
            </w:r>
          </w:p>
        </w:tc>
      </w:tr>
      <w:tr w:rsidR="00AD06C1" w:rsidRPr="0026374F" w:rsidTr="00DA6BCD">
        <w:trPr>
          <w:trHeight w:val="300"/>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18,549.88</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18,548.57</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1.02</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r>
      <w:tr w:rsidR="00AD06C1" w:rsidRPr="0026374F" w:rsidTr="00DA6BCD">
        <w:trPr>
          <w:trHeight w:val="300"/>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lastRenderedPageBreak/>
              <w:t>18,509.50</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18,491.76</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1.10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1.09</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18,511.49</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18,493.76</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0.95</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1.23</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45"/>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r w:rsidR="009A2914" w:rsidRPr="00E829A1">
              <w:rPr>
                <w:color w:val="C00000"/>
                <w:sz w:val="22"/>
                <w:szCs w:val="22"/>
              </w:rPr>
              <w:t xml:space="preserve"> squared</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18,512.86</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18,495.19</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0.89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0.29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1.90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0.29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1.92</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1.04</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1.06</w:t>
            </w:r>
          </w:p>
        </w:tc>
      </w:tr>
      <w:tr w:rsidR="00AD06C1" w:rsidRPr="0026374F" w:rsidTr="00DA6BCD">
        <w:trPr>
          <w:trHeight w:val="34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r w:rsidR="009A2914" w:rsidRPr="00E829A1">
              <w:rPr>
                <w:color w:val="C00000"/>
                <w:sz w:val="22"/>
                <w:szCs w:val="22"/>
              </w:rPr>
              <w:t xml:space="preserve"> squared</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45"/>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r w:rsidR="009A2914" w:rsidRPr="00E829A1">
              <w:rPr>
                <w:color w:val="C00000"/>
                <w:sz w:val="22"/>
                <w:szCs w:val="22"/>
              </w:rPr>
              <w:t xml:space="preserve"> cubed</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18,878.51</w:t>
            </w: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18,810.61</w:t>
            </w: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1.27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1.10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1.30</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0.75</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0.32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1.74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0.77</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0.33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1.80</w:t>
            </w:r>
          </w:p>
        </w:tc>
      </w:tr>
      <w:tr w:rsidR="00AD06C1" w:rsidRPr="0026374F" w:rsidTr="00DA6BCD">
        <w:trPr>
          <w:trHeight w:val="300"/>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0.98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1.05</w:t>
            </w:r>
          </w:p>
        </w:tc>
      </w:tr>
      <w:tr w:rsidR="00AD06C1" w:rsidRPr="0026374F" w:rsidTr="00DA6BCD">
        <w:trPr>
          <w:trHeight w:val="345"/>
        </w:trPr>
        <w:tc>
          <w:tcPr>
            <w:tcW w:w="210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p>
        </w:tc>
        <w:tc>
          <w:tcPr>
            <w:tcW w:w="310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r w:rsidR="009A2914" w:rsidRPr="00E829A1">
              <w:rPr>
                <w:color w:val="C00000"/>
                <w:sz w:val="22"/>
                <w:szCs w:val="22"/>
              </w:rPr>
              <w:t xml:space="preserve"> squared</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45"/>
        </w:trPr>
        <w:tc>
          <w:tcPr>
            <w:tcW w:w="210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10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Pack-years*age</w:t>
            </w:r>
            <w:r w:rsidR="009A2914" w:rsidRPr="00E829A1">
              <w:rPr>
                <w:color w:val="C00000"/>
                <w:sz w:val="22"/>
                <w:szCs w:val="22"/>
              </w:rPr>
              <w:t xml:space="preserve"> cubed</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642"/>
        </w:trPr>
        <w:tc>
          <w:tcPr>
            <w:tcW w:w="11666" w:type="dxa"/>
            <w:gridSpan w:val="11"/>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proofErr w:type="spellStart"/>
            <w:r w:rsidRPr="0026374F">
              <w:rPr>
                <w:color w:val="000000"/>
                <w:sz w:val="22"/>
                <w:szCs w:val="22"/>
                <w:vertAlign w:val="superscript"/>
              </w:rPr>
              <w:t>a</w:t>
            </w:r>
            <w:r w:rsidRPr="0026374F">
              <w:rPr>
                <w:color w:val="000000"/>
                <w:sz w:val="22"/>
                <w:szCs w:val="22"/>
              </w:rPr>
              <w:t>Stratified</w:t>
            </w:r>
            <w:proofErr w:type="spellEnd"/>
            <w:r w:rsidRPr="0026374F">
              <w:rPr>
                <w:color w:val="000000"/>
                <w:sz w:val="22"/>
                <w:szCs w:val="22"/>
              </w:rPr>
              <w:t xml:space="preserve"> by time period and age in months (in absence of age interaction), and adjusted for geographic region; also adjusted for age in months (in presence of age interaction)</w:t>
            </w:r>
          </w:p>
        </w:tc>
      </w:tr>
      <w:tr w:rsidR="00AD06C1" w:rsidRPr="0026374F" w:rsidTr="00DA6BCD">
        <w:trPr>
          <w:trHeight w:val="1279"/>
        </w:trPr>
        <w:tc>
          <w:tcPr>
            <w:tcW w:w="11666" w:type="dxa"/>
            <w:gridSpan w:val="11"/>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proofErr w:type="spellStart"/>
            <w:r w:rsidRPr="0026374F">
              <w:rPr>
                <w:color w:val="000000"/>
                <w:sz w:val="22"/>
                <w:szCs w:val="22"/>
                <w:vertAlign w:val="superscript"/>
              </w:rPr>
              <w:lastRenderedPageBreak/>
              <w:t>b</w:t>
            </w:r>
            <w:r w:rsidRPr="0026374F">
              <w:rPr>
                <w:color w:val="000000"/>
                <w:sz w:val="22"/>
                <w:szCs w:val="22"/>
              </w:rPr>
              <w:t>Stratified</w:t>
            </w:r>
            <w:proofErr w:type="spellEnd"/>
            <w:r w:rsidRPr="0026374F">
              <w:rPr>
                <w:color w:val="000000"/>
                <w:sz w:val="22"/>
                <w:szCs w:val="22"/>
              </w:rPr>
              <w:t xml:space="preserve"> by time period and age in months (in absence of age interaction), and adjusted for geographic region, body mass index, alcohol consumption, physical activity, overall diet quality, census tract median house value, census tract median income, and secondhand smoke exposure at home, at work, and during childhood; also adjusted for age in months (in presence of age interaction)</w:t>
            </w:r>
          </w:p>
        </w:tc>
      </w:tr>
      <w:tr w:rsidR="00AD06C1" w:rsidRPr="0026374F" w:rsidTr="00DA6BCD">
        <w:trPr>
          <w:trHeight w:val="642"/>
        </w:trPr>
        <w:tc>
          <w:tcPr>
            <w:tcW w:w="11666" w:type="dxa"/>
            <w:gridSpan w:val="11"/>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AIC: Akaike information criterion; CI: confidence interval; HR: hazard ratio; PM</w:t>
            </w:r>
            <w:r w:rsidRPr="0026374F">
              <w:rPr>
                <w:color w:val="000000"/>
                <w:sz w:val="22"/>
                <w:szCs w:val="22"/>
                <w:vertAlign w:val="subscript"/>
              </w:rPr>
              <w:t>2.5</w:t>
            </w:r>
            <w:r w:rsidRPr="0026374F">
              <w:rPr>
                <w:color w:val="000000"/>
                <w:sz w:val="22"/>
                <w:szCs w:val="22"/>
              </w:rPr>
              <w:t>: particulate matter &lt; 2.5 µm in aerodynamic diameter</w:t>
            </w:r>
          </w:p>
        </w:tc>
      </w:tr>
    </w:tbl>
    <w:p w:rsidR="00AD06C1" w:rsidRPr="0026374F" w:rsidRDefault="00AD06C1" w:rsidP="00AD06C1"/>
    <w:p w:rsidR="00AD06C1" w:rsidRPr="0026374F" w:rsidRDefault="00AD06C1" w:rsidP="00AD06C1">
      <w:pPr>
        <w:spacing w:after="200" w:line="276" w:lineRule="auto"/>
      </w:pPr>
      <w:r w:rsidRPr="0026374F">
        <w:br w:type="page"/>
      </w:r>
    </w:p>
    <w:p w:rsidR="00AD06C1" w:rsidRPr="0026374F" w:rsidRDefault="00AD06C1" w:rsidP="00AD06C1">
      <w:r w:rsidRPr="0026374F">
        <w:lastRenderedPageBreak/>
        <w:t xml:space="preserve">Table 3. Model fit and associations between fine particulate matter and smoking characteristics with lung cancer incidence in the Nurses’ Health Study, adjusted for age, time period, and geographic region only (minimally adjusted models) or additional covariates (fully adjusted models), with various classifications of smoking based on average packs. </w:t>
      </w:r>
    </w:p>
    <w:tbl>
      <w:tblPr>
        <w:tblW w:w="11576" w:type="dxa"/>
        <w:tblInd w:w="93" w:type="dxa"/>
        <w:tblLook w:val="04A0" w:firstRow="1" w:lastRow="0" w:firstColumn="1" w:lastColumn="0" w:noHBand="0" w:noVBand="1"/>
      </w:tblPr>
      <w:tblGrid>
        <w:gridCol w:w="2100"/>
        <w:gridCol w:w="1540"/>
        <w:gridCol w:w="3017"/>
        <w:gridCol w:w="711"/>
        <w:gridCol w:w="711"/>
        <w:gridCol w:w="326"/>
        <w:gridCol w:w="711"/>
        <w:gridCol w:w="711"/>
        <w:gridCol w:w="711"/>
        <w:gridCol w:w="326"/>
        <w:gridCol w:w="712"/>
      </w:tblGrid>
      <w:tr w:rsidR="00AD06C1" w:rsidRPr="0026374F" w:rsidTr="00DA6BCD">
        <w:trPr>
          <w:trHeight w:val="345"/>
        </w:trPr>
        <w:tc>
          <w:tcPr>
            <w:tcW w:w="210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2459" w:type="dxa"/>
            <w:gridSpan w:val="4"/>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 xml:space="preserve">Minimally </w:t>
            </w:r>
            <w:proofErr w:type="spellStart"/>
            <w:r w:rsidRPr="0026374F">
              <w:rPr>
                <w:b/>
                <w:bCs/>
                <w:color w:val="000000"/>
                <w:sz w:val="22"/>
                <w:szCs w:val="22"/>
              </w:rPr>
              <w:t>adjusted</w:t>
            </w:r>
            <w:r w:rsidRPr="0026374F">
              <w:rPr>
                <w:b/>
                <w:bCs/>
                <w:color w:val="000000"/>
                <w:sz w:val="22"/>
                <w:szCs w:val="22"/>
                <w:vertAlign w:val="superscript"/>
              </w:rPr>
              <w:t>a</w:t>
            </w:r>
            <w:proofErr w:type="spellEnd"/>
          </w:p>
        </w:tc>
        <w:tc>
          <w:tcPr>
            <w:tcW w:w="2459" w:type="dxa"/>
            <w:gridSpan w:val="4"/>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 xml:space="preserve">Fully </w:t>
            </w:r>
            <w:proofErr w:type="spellStart"/>
            <w:r w:rsidRPr="0026374F">
              <w:rPr>
                <w:b/>
                <w:bCs/>
                <w:color w:val="000000"/>
                <w:sz w:val="22"/>
                <w:szCs w:val="22"/>
              </w:rPr>
              <w:t>adjusted</w:t>
            </w:r>
            <w:r w:rsidRPr="0026374F">
              <w:rPr>
                <w:b/>
                <w:bCs/>
                <w:color w:val="000000"/>
                <w:sz w:val="22"/>
                <w:szCs w:val="22"/>
                <w:vertAlign w:val="superscript"/>
              </w:rPr>
              <w:t>b</w:t>
            </w:r>
            <w:proofErr w:type="spellEnd"/>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AIC, minimally adj.</w:t>
            </w:r>
          </w:p>
        </w:tc>
        <w:tc>
          <w:tcPr>
            <w:tcW w:w="154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AIC, fully adj.</w:t>
            </w:r>
          </w:p>
        </w:tc>
        <w:tc>
          <w:tcPr>
            <w:tcW w:w="301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Covariate</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HR</w:t>
            </w:r>
          </w:p>
        </w:tc>
        <w:tc>
          <w:tcPr>
            <w:tcW w:w="1748" w:type="dxa"/>
            <w:gridSpan w:val="3"/>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95% CI</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HR</w:t>
            </w:r>
          </w:p>
        </w:tc>
        <w:tc>
          <w:tcPr>
            <w:tcW w:w="1748" w:type="dxa"/>
            <w:gridSpan w:val="3"/>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95% CI</w:t>
            </w:r>
          </w:p>
        </w:tc>
      </w:tr>
      <w:tr w:rsidR="00AD06C1" w:rsidRPr="0026374F" w:rsidTr="00DA6BCD">
        <w:trPr>
          <w:trHeight w:val="375"/>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21,796.11</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21,096.64</w:t>
            </w:r>
          </w:p>
        </w:tc>
        <w:tc>
          <w:tcPr>
            <w:tcW w:w="301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1.21</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1.26</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19,734.78</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19,610.10</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1.25</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25.91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21.96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30.57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19.25</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16.18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22.91</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6.45</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5.50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7.55</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5.80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4.93</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6.82</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18,872.12</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18,859.40</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1.21</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0.54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0.51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0.97</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0.68</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0.53</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0.88</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0.68</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0.52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2.74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2.08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3.60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2.75</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2.08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3.63</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18,870.31</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18,858.02</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1.19</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Current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1.09</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0.66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1.77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0.62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1.66</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Former v. never smoker</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0.64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1.67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0.61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1.62</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2.81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2.14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3.70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2.82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2.14</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3.73</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18,866.94</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18,854.06</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2.89</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2.22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3.76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2.84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2.17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3.71</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18,868.59</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18,855.84</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1.57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0.21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11.83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1.74</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0.22</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13.53</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lastRenderedPageBreak/>
              <w:t> </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Ave. packs*age</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0.98</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0.98</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1.04</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18,869.28</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18,856.40</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1.21</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25.51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0.15</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4427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32.35</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0.18</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5710</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Ave. packs*age</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0.93</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0.79</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r>
      <w:tr w:rsidR="00AD06C1" w:rsidRPr="0026374F" w:rsidTr="00DA6BCD">
        <w:trPr>
          <w:trHeight w:val="345"/>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Ave. packs*age</w:t>
            </w:r>
            <w:r w:rsidR="009A2914" w:rsidRPr="00E829A1">
              <w:rPr>
                <w:color w:val="C00000"/>
                <w:sz w:val="22"/>
                <w:szCs w:val="22"/>
              </w:rPr>
              <w:t xml:space="preserve"> squared</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18,870.50</w:t>
            </w:r>
          </w:p>
        </w:tc>
        <w:tc>
          <w:tcPr>
            <w:tcW w:w="154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18,857.65</w:t>
            </w: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0.87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1.21</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4.99</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0.01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3670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6.21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0.01</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4969</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Ave. packs*age</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0.77</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0.90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0.76</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1.05</w:t>
            </w:r>
          </w:p>
        </w:tc>
      </w:tr>
      <w:tr w:rsidR="00AD06C1" w:rsidRPr="0026374F" w:rsidTr="00DA6BCD">
        <w:trPr>
          <w:trHeight w:val="345"/>
        </w:trPr>
        <w:tc>
          <w:tcPr>
            <w:tcW w:w="2100"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p>
        </w:tc>
        <w:tc>
          <w:tcPr>
            <w:tcW w:w="1540"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p>
        </w:tc>
        <w:tc>
          <w:tcPr>
            <w:tcW w:w="3017" w:type="dxa"/>
            <w:tcBorders>
              <w:top w:val="nil"/>
              <w:left w:val="nil"/>
              <w:bottom w:val="nil"/>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Ave. packs*age</w:t>
            </w:r>
            <w:r w:rsidR="009A2914" w:rsidRPr="00E829A1">
              <w:rPr>
                <w:color w:val="C00000"/>
                <w:sz w:val="22"/>
                <w:szCs w:val="22"/>
              </w:rPr>
              <w:t xml:space="preserve"> squared</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1.01</w:t>
            </w:r>
          </w:p>
        </w:tc>
      </w:tr>
      <w:tr w:rsidR="00AD06C1" w:rsidRPr="0026374F" w:rsidTr="00DA6BCD">
        <w:trPr>
          <w:trHeight w:val="345"/>
        </w:trPr>
        <w:tc>
          <w:tcPr>
            <w:tcW w:w="2100"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1540"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017" w:type="dxa"/>
            <w:tcBorders>
              <w:top w:val="nil"/>
              <w:left w:val="nil"/>
              <w:bottom w:val="single" w:sz="4" w:space="0" w:color="auto"/>
              <w:right w:val="nil"/>
            </w:tcBorders>
            <w:shd w:val="clear" w:color="auto" w:fill="auto"/>
            <w:vAlign w:val="center"/>
            <w:hideMark/>
          </w:tcPr>
          <w:p w:rsidR="00AD06C1" w:rsidRPr="0026374F" w:rsidRDefault="00AD06C1" w:rsidP="009C363B">
            <w:pPr>
              <w:spacing w:after="0"/>
              <w:jc w:val="center"/>
              <w:rPr>
                <w:color w:val="000000"/>
                <w:sz w:val="22"/>
                <w:szCs w:val="22"/>
              </w:rPr>
            </w:pPr>
            <w:r w:rsidRPr="0026374F">
              <w:rPr>
                <w:color w:val="000000"/>
                <w:sz w:val="22"/>
                <w:szCs w:val="22"/>
              </w:rPr>
              <w:t>Ave. packs*age</w:t>
            </w:r>
            <w:r w:rsidR="009A2914" w:rsidRPr="00E829A1">
              <w:rPr>
                <w:color w:val="C00000"/>
                <w:sz w:val="22"/>
                <w:szCs w:val="22"/>
              </w:rPr>
              <w:t xml:space="preserve"> cubed</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hideMark/>
          </w:tcPr>
          <w:p w:rsidR="00AD06C1" w:rsidRPr="0026374F" w:rsidRDefault="00AD06C1" w:rsidP="009C363B">
            <w:pPr>
              <w:spacing w:after="0"/>
              <w:jc w:val="center"/>
              <w:rPr>
                <w:color w:val="000000"/>
                <w:sz w:val="22"/>
                <w:szCs w:val="22"/>
              </w:rPr>
            </w:pPr>
            <w:r w:rsidRPr="0026374F">
              <w:rPr>
                <w:color w:val="000000"/>
                <w:sz w:val="22"/>
                <w:szCs w:val="22"/>
              </w:rPr>
              <w:t>1.00</w:t>
            </w:r>
          </w:p>
        </w:tc>
      </w:tr>
      <w:tr w:rsidR="00AD06C1" w:rsidRPr="0026374F" w:rsidTr="00DA6BCD">
        <w:trPr>
          <w:trHeight w:val="642"/>
        </w:trPr>
        <w:tc>
          <w:tcPr>
            <w:tcW w:w="11576" w:type="dxa"/>
            <w:gridSpan w:val="11"/>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proofErr w:type="spellStart"/>
            <w:r w:rsidRPr="0026374F">
              <w:rPr>
                <w:color w:val="000000"/>
                <w:sz w:val="22"/>
                <w:szCs w:val="22"/>
                <w:vertAlign w:val="superscript"/>
              </w:rPr>
              <w:t>a</w:t>
            </w:r>
            <w:r w:rsidRPr="0026374F">
              <w:rPr>
                <w:color w:val="000000"/>
                <w:sz w:val="22"/>
                <w:szCs w:val="22"/>
              </w:rPr>
              <w:t>Stratified</w:t>
            </w:r>
            <w:proofErr w:type="spellEnd"/>
            <w:r w:rsidRPr="0026374F">
              <w:rPr>
                <w:color w:val="000000"/>
                <w:sz w:val="22"/>
                <w:szCs w:val="22"/>
              </w:rPr>
              <w:t xml:space="preserve"> by time period and age in months (in absence of age interaction), and adjusted for geographic region; also adjusted for age in months (in presence of age interaction)</w:t>
            </w:r>
          </w:p>
        </w:tc>
      </w:tr>
      <w:tr w:rsidR="00AD06C1" w:rsidRPr="0026374F" w:rsidTr="00DA6BCD">
        <w:trPr>
          <w:trHeight w:val="1279"/>
        </w:trPr>
        <w:tc>
          <w:tcPr>
            <w:tcW w:w="11576" w:type="dxa"/>
            <w:gridSpan w:val="11"/>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proofErr w:type="spellStart"/>
            <w:r w:rsidRPr="0026374F">
              <w:rPr>
                <w:color w:val="000000"/>
                <w:sz w:val="22"/>
                <w:szCs w:val="22"/>
                <w:vertAlign w:val="superscript"/>
              </w:rPr>
              <w:t>b</w:t>
            </w:r>
            <w:r w:rsidRPr="0026374F">
              <w:rPr>
                <w:color w:val="000000"/>
                <w:sz w:val="22"/>
                <w:szCs w:val="22"/>
              </w:rPr>
              <w:t>Stratified</w:t>
            </w:r>
            <w:proofErr w:type="spellEnd"/>
            <w:r w:rsidRPr="0026374F">
              <w:rPr>
                <w:color w:val="000000"/>
                <w:sz w:val="22"/>
                <w:szCs w:val="22"/>
              </w:rPr>
              <w:t xml:space="preserve"> by time period and age in months (in absence of age interaction), and adjusted for geographic region, body mass index, alcohol consumption, physical activity, overall diet quality, census tract median house value, census tract median income, and secondhand smoke exposure at home, at work, and during childhood; also adjusted for age in months (in presence of age interaction)</w:t>
            </w:r>
          </w:p>
        </w:tc>
      </w:tr>
      <w:tr w:rsidR="00AD06C1" w:rsidRPr="0026374F" w:rsidTr="00DA6BCD">
        <w:trPr>
          <w:trHeight w:val="642"/>
        </w:trPr>
        <w:tc>
          <w:tcPr>
            <w:tcW w:w="11576" w:type="dxa"/>
            <w:gridSpan w:val="11"/>
            <w:tcBorders>
              <w:top w:val="nil"/>
              <w:left w:val="nil"/>
              <w:bottom w:val="nil"/>
              <w:right w:val="nil"/>
            </w:tcBorders>
            <w:shd w:val="clear" w:color="auto" w:fill="auto"/>
            <w:hideMark/>
          </w:tcPr>
          <w:p w:rsidR="00AD06C1" w:rsidRPr="0026374F" w:rsidRDefault="00AD06C1" w:rsidP="009C363B">
            <w:pPr>
              <w:spacing w:after="0"/>
              <w:rPr>
                <w:color w:val="000000"/>
                <w:sz w:val="22"/>
                <w:szCs w:val="22"/>
              </w:rPr>
            </w:pPr>
            <w:r w:rsidRPr="0026374F">
              <w:rPr>
                <w:color w:val="000000"/>
                <w:sz w:val="22"/>
                <w:szCs w:val="22"/>
              </w:rPr>
              <w:t>AIC: Akaike information criterion; CI: confidence interval; HR: hazard ratio; PM</w:t>
            </w:r>
            <w:r w:rsidRPr="0026374F">
              <w:rPr>
                <w:color w:val="000000"/>
                <w:sz w:val="22"/>
                <w:szCs w:val="22"/>
                <w:vertAlign w:val="subscript"/>
              </w:rPr>
              <w:t>2.5</w:t>
            </w:r>
            <w:r w:rsidRPr="0026374F">
              <w:rPr>
                <w:color w:val="000000"/>
                <w:sz w:val="22"/>
                <w:szCs w:val="22"/>
              </w:rPr>
              <w:t>: particulate matter &lt; 2.5 µm in aerodynamic diameter</w:t>
            </w:r>
          </w:p>
        </w:tc>
      </w:tr>
    </w:tbl>
    <w:p w:rsidR="00AD06C1" w:rsidRPr="0026374F" w:rsidRDefault="00AD06C1" w:rsidP="00AD06C1"/>
    <w:p w:rsidR="00AD06C1" w:rsidRDefault="00AD06C1" w:rsidP="00AD06C1">
      <w:pPr>
        <w:spacing w:after="160" w:line="259" w:lineRule="auto"/>
      </w:pPr>
      <w:r>
        <w:br w:type="page"/>
      </w:r>
    </w:p>
    <w:p w:rsidR="00AD06C1" w:rsidRPr="0026374F" w:rsidRDefault="00AD06C1" w:rsidP="00AD06C1">
      <w:r w:rsidRPr="0026374F">
        <w:lastRenderedPageBreak/>
        <w:t>Table 4. Stratified associations between fine particulate matter and smoking characteristics with lung cancer incidence in the Nurses’ Health Study, adjusted for age, time period, and geographic region only (minimally adjusted models) or additional covariates (fully adjusted models), with various classifications of smoking based on cumulative pack-years or average packs, stratified by smoking status during follow-up, 1994–2010.</w:t>
      </w:r>
    </w:p>
    <w:tbl>
      <w:tblPr>
        <w:tblW w:w="10954" w:type="dxa"/>
        <w:tblInd w:w="93" w:type="dxa"/>
        <w:tblLook w:val="04A0" w:firstRow="1" w:lastRow="0" w:firstColumn="1" w:lastColumn="0" w:noHBand="0" w:noVBand="1"/>
      </w:tblPr>
      <w:tblGrid>
        <w:gridCol w:w="2100"/>
        <w:gridCol w:w="2937"/>
        <w:gridCol w:w="1710"/>
        <w:gridCol w:w="711"/>
        <w:gridCol w:w="326"/>
        <w:gridCol w:w="711"/>
        <w:gridCol w:w="711"/>
        <w:gridCol w:w="711"/>
        <w:gridCol w:w="326"/>
        <w:gridCol w:w="711"/>
      </w:tblGrid>
      <w:tr w:rsidR="00AD06C1" w:rsidRPr="0026374F" w:rsidTr="00DA6BCD">
        <w:trPr>
          <w:trHeight w:val="345"/>
        </w:trPr>
        <w:tc>
          <w:tcPr>
            <w:tcW w:w="2100"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2937" w:type="dxa"/>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3458" w:type="dxa"/>
            <w:gridSpan w:val="4"/>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 xml:space="preserve">Minimally </w:t>
            </w:r>
            <w:proofErr w:type="spellStart"/>
            <w:r w:rsidRPr="0026374F">
              <w:rPr>
                <w:b/>
                <w:bCs/>
                <w:color w:val="000000"/>
                <w:sz w:val="22"/>
                <w:szCs w:val="22"/>
              </w:rPr>
              <w:t>adjusted</w:t>
            </w:r>
            <w:r w:rsidRPr="0026374F">
              <w:rPr>
                <w:b/>
                <w:bCs/>
                <w:color w:val="000000"/>
                <w:sz w:val="22"/>
                <w:szCs w:val="22"/>
                <w:vertAlign w:val="superscript"/>
              </w:rPr>
              <w:t>a</w:t>
            </w:r>
            <w:proofErr w:type="spellEnd"/>
          </w:p>
        </w:tc>
        <w:tc>
          <w:tcPr>
            <w:tcW w:w="2459" w:type="dxa"/>
            <w:gridSpan w:val="4"/>
            <w:tcBorders>
              <w:top w:val="single" w:sz="4" w:space="0" w:color="auto"/>
              <w:left w:val="nil"/>
              <w:bottom w:val="nil"/>
              <w:right w:val="nil"/>
            </w:tcBorders>
            <w:shd w:val="clear" w:color="auto" w:fill="auto"/>
            <w:noWrap/>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 xml:space="preserve">Fully </w:t>
            </w:r>
            <w:proofErr w:type="spellStart"/>
            <w:r w:rsidRPr="0026374F">
              <w:rPr>
                <w:b/>
                <w:bCs/>
                <w:color w:val="000000"/>
                <w:sz w:val="22"/>
                <w:szCs w:val="22"/>
              </w:rPr>
              <w:t>adjusted</w:t>
            </w:r>
            <w:r w:rsidRPr="0026374F">
              <w:rPr>
                <w:b/>
                <w:bCs/>
                <w:color w:val="000000"/>
                <w:sz w:val="22"/>
                <w:szCs w:val="22"/>
                <w:vertAlign w:val="superscript"/>
              </w:rPr>
              <w:t>b</w:t>
            </w:r>
            <w:proofErr w:type="spellEnd"/>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Stratum</w:t>
            </w:r>
          </w:p>
        </w:tc>
        <w:tc>
          <w:tcPr>
            <w:tcW w:w="293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Covariate</w:t>
            </w:r>
          </w:p>
        </w:tc>
        <w:tc>
          <w:tcPr>
            <w:tcW w:w="171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HR</w:t>
            </w:r>
          </w:p>
        </w:tc>
        <w:tc>
          <w:tcPr>
            <w:tcW w:w="1748" w:type="dxa"/>
            <w:gridSpan w:val="3"/>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95% CI</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HR</w:t>
            </w:r>
          </w:p>
        </w:tc>
        <w:tc>
          <w:tcPr>
            <w:tcW w:w="1748" w:type="dxa"/>
            <w:gridSpan w:val="3"/>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b/>
                <w:bCs/>
                <w:color w:val="000000"/>
                <w:sz w:val="22"/>
                <w:szCs w:val="22"/>
              </w:rPr>
            </w:pPr>
            <w:r w:rsidRPr="0026374F">
              <w:rPr>
                <w:b/>
                <w:bCs/>
                <w:color w:val="000000"/>
                <w:sz w:val="22"/>
                <w:szCs w:val="22"/>
              </w:rPr>
              <w:t>95% CI</w:t>
            </w:r>
          </w:p>
        </w:tc>
      </w:tr>
      <w:tr w:rsidR="00AD06C1" w:rsidRPr="0026374F" w:rsidTr="00DA6BCD">
        <w:trPr>
          <w:trHeight w:val="375"/>
        </w:trPr>
        <w:tc>
          <w:tcPr>
            <w:tcW w:w="210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Never smokers</w:t>
            </w:r>
          </w:p>
        </w:tc>
        <w:tc>
          <w:tcPr>
            <w:tcW w:w="293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171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1.24</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0.74</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2.06</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1.27</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0.76</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2.12</w:t>
            </w:r>
          </w:p>
        </w:tc>
      </w:tr>
      <w:tr w:rsidR="00AD06C1" w:rsidRPr="0026374F" w:rsidTr="00DA6BCD">
        <w:trPr>
          <w:trHeight w:val="375"/>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Former smokers</w:t>
            </w: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1.35</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1.81</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1.35</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1.82</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1.13</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1.09</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1.13</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1.01</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1.04</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1.04</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Pack-years*age</w:t>
            </w:r>
          </w:p>
        </w:tc>
        <w:tc>
          <w:tcPr>
            <w:tcW w:w="171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1.27</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0.95</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1.71</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1.27</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0.95</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1.71</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1.85</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1.25</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2.74</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1.92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1.29</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2.85</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1.05</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1.08</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1.06</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1.08</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293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171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vMerge w:val="restart"/>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Current or recent former smokers</w:t>
            </w: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0.92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0.74</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1.15</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0.94</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0.75</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1.17</w:t>
            </w:r>
          </w:p>
        </w:tc>
      </w:tr>
      <w:tr w:rsidR="00AD06C1" w:rsidRPr="0026374F" w:rsidTr="00DA6BCD">
        <w:trPr>
          <w:trHeight w:val="300"/>
        </w:trPr>
        <w:tc>
          <w:tcPr>
            <w:tcW w:w="2100" w:type="dxa"/>
            <w:vMerge/>
            <w:tcBorders>
              <w:top w:val="nil"/>
              <w:left w:val="nil"/>
              <w:bottom w:val="nil"/>
              <w:right w:val="nil"/>
            </w:tcBorders>
            <w:vAlign w:val="center"/>
            <w:hideMark/>
          </w:tcPr>
          <w:p w:rsidR="00AD06C1" w:rsidRPr="0026374F" w:rsidRDefault="00AD06C1" w:rsidP="009C363B">
            <w:pPr>
              <w:spacing w:after="0"/>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pack-years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1.05</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1.07</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1.04</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1.10</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1.05</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1.03</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1.02</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1.05</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Pack-years*age</w:t>
            </w:r>
          </w:p>
        </w:tc>
        <w:tc>
          <w:tcPr>
            <w:tcW w:w="171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375"/>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PM</w:t>
            </w:r>
            <w:r w:rsidRPr="0026374F">
              <w:rPr>
                <w:color w:val="000000"/>
                <w:sz w:val="22"/>
                <w:szCs w:val="22"/>
                <w:vertAlign w:val="subscript"/>
              </w:rPr>
              <w:t xml:space="preserve">2.5 </w:t>
            </w:r>
            <w:r w:rsidRPr="0026374F">
              <w:rPr>
                <w:color w:val="000000"/>
                <w:sz w:val="22"/>
                <w:szCs w:val="22"/>
              </w:rPr>
              <w:t>(per 10 µg/m</w:t>
            </w:r>
            <w:r w:rsidRPr="0026374F">
              <w:rPr>
                <w:color w:val="000000"/>
                <w:sz w:val="22"/>
                <w:szCs w:val="22"/>
                <w:vertAlign w:val="superscript"/>
              </w:rPr>
              <w:t>3</w:t>
            </w:r>
            <w:r w:rsidRPr="0026374F">
              <w:rPr>
                <w:color w:val="000000"/>
                <w:sz w:val="22"/>
                <w:szCs w:val="22"/>
              </w:rPr>
              <w:t>)</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0.90</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0.73</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0.92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0.74</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1.14</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average packs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43.01</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24.37</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75.92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42.72</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24.01</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75.99</w:t>
            </w:r>
          </w:p>
        </w:tc>
      </w:tr>
      <w:tr w:rsidR="00AD06C1" w:rsidRPr="0026374F" w:rsidTr="00DA6BCD">
        <w:trPr>
          <w:trHeight w:val="300"/>
        </w:trPr>
        <w:tc>
          <w:tcPr>
            <w:tcW w:w="210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p>
        </w:tc>
        <w:tc>
          <w:tcPr>
            <w:tcW w:w="2937"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duration (years)</w:t>
            </w:r>
          </w:p>
        </w:tc>
        <w:tc>
          <w:tcPr>
            <w:tcW w:w="1710"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1.09</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1.08</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1.11</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1.09</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1.07</w:t>
            </w:r>
          </w:p>
        </w:tc>
        <w:tc>
          <w:tcPr>
            <w:tcW w:w="326" w:type="dxa"/>
            <w:tcBorders>
              <w:top w:val="nil"/>
              <w:left w:val="nil"/>
              <w:bottom w:val="nil"/>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1.11</w:t>
            </w:r>
          </w:p>
        </w:tc>
      </w:tr>
      <w:tr w:rsidR="00AD06C1" w:rsidRPr="0026374F" w:rsidTr="00DA6BCD">
        <w:trPr>
          <w:trHeight w:val="300"/>
        </w:trPr>
        <w:tc>
          <w:tcPr>
            <w:tcW w:w="210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 </w:t>
            </w:r>
          </w:p>
        </w:tc>
        <w:tc>
          <w:tcPr>
            <w:tcW w:w="2937"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Smoking cessation (months)</w:t>
            </w:r>
          </w:p>
        </w:tc>
        <w:tc>
          <w:tcPr>
            <w:tcW w:w="1710"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center"/>
              <w:rPr>
                <w:color w:val="000000"/>
                <w:sz w:val="22"/>
                <w:szCs w:val="22"/>
              </w:rPr>
            </w:pPr>
            <w:r w:rsidRPr="0026374F">
              <w:rPr>
                <w:color w:val="000000"/>
                <w:sz w:val="22"/>
                <w:szCs w:val="22"/>
              </w:rPr>
              <w:t>1.00</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jc w:val="right"/>
              <w:rPr>
                <w:color w:val="000000"/>
                <w:sz w:val="22"/>
                <w:szCs w:val="22"/>
              </w:rPr>
            </w:pPr>
            <w:r w:rsidRPr="0026374F">
              <w:rPr>
                <w:color w:val="000000"/>
                <w:sz w:val="22"/>
                <w:szCs w:val="22"/>
              </w:rPr>
              <w:t>1.00</w:t>
            </w:r>
          </w:p>
        </w:tc>
        <w:tc>
          <w:tcPr>
            <w:tcW w:w="326" w:type="dxa"/>
            <w:tcBorders>
              <w:top w:val="nil"/>
              <w:left w:val="nil"/>
              <w:bottom w:val="single" w:sz="4" w:space="0" w:color="auto"/>
              <w:right w:val="nil"/>
            </w:tcBorders>
            <w:shd w:val="clear" w:color="auto" w:fill="auto"/>
            <w:noWrap/>
            <w:vAlign w:val="bottom"/>
            <w:hideMark/>
          </w:tcPr>
          <w:p w:rsidR="00AD06C1" w:rsidRPr="0026374F" w:rsidRDefault="00AD06C1" w:rsidP="009C363B">
            <w:pPr>
              <w:spacing w:after="0"/>
              <w:jc w:val="center"/>
              <w:rPr>
                <w:color w:val="000000"/>
                <w:sz w:val="22"/>
                <w:szCs w:val="22"/>
              </w:rPr>
            </w:pPr>
            <w:r w:rsidRPr="0026374F">
              <w:rPr>
                <w:color w:val="000000"/>
                <w:sz w:val="22"/>
                <w:szCs w:val="22"/>
              </w:rPr>
              <w:t>–</w:t>
            </w:r>
          </w:p>
        </w:tc>
        <w:tc>
          <w:tcPr>
            <w:tcW w:w="711" w:type="dxa"/>
            <w:tcBorders>
              <w:top w:val="nil"/>
              <w:left w:val="nil"/>
              <w:bottom w:val="single" w:sz="4" w:space="0" w:color="auto"/>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1.00</w:t>
            </w:r>
          </w:p>
        </w:tc>
      </w:tr>
      <w:tr w:rsidR="00AD06C1" w:rsidRPr="0026374F" w:rsidTr="00DA6BCD">
        <w:trPr>
          <w:trHeight w:val="642"/>
        </w:trPr>
        <w:tc>
          <w:tcPr>
            <w:tcW w:w="10954" w:type="dxa"/>
            <w:gridSpan w:val="10"/>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proofErr w:type="spellStart"/>
            <w:r w:rsidRPr="0026374F">
              <w:rPr>
                <w:color w:val="000000"/>
                <w:sz w:val="22"/>
                <w:szCs w:val="22"/>
                <w:vertAlign w:val="superscript"/>
              </w:rPr>
              <w:t>a</w:t>
            </w:r>
            <w:r w:rsidRPr="0026374F">
              <w:rPr>
                <w:color w:val="000000"/>
                <w:sz w:val="22"/>
                <w:szCs w:val="22"/>
              </w:rPr>
              <w:t>Stratified</w:t>
            </w:r>
            <w:proofErr w:type="spellEnd"/>
            <w:r w:rsidRPr="0026374F">
              <w:rPr>
                <w:color w:val="000000"/>
                <w:sz w:val="22"/>
                <w:szCs w:val="22"/>
              </w:rPr>
              <w:t xml:space="preserve"> by time period and age in months (in absence of age interaction), and adjusted for geographic region; also adjusted for age in months (in presence of age interaction)</w:t>
            </w:r>
          </w:p>
        </w:tc>
      </w:tr>
      <w:tr w:rsidR="00AD06C1" w:rsidRPr="0026374F" w:rsidTr="00DA6BCD">
        <w:trPr>
          <w:trHeight w:val="1279"/>
        </w:trPr>
        <w:tc>
          <w:tcPr>
            <w:tcW w:w="10954" w:type="dxa"/>
            <w:gridSpan w:val="10"/>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proofErr w:type="spellStart"/>
            <w:r w:rsidRPr="0026374F">
              <w:rPr>
                <w:color w:val="000000"/>
                <w:sz w:val="22"/>
                <w:szCs w:val="22"/>
                <w:vertAlign w:val="superscript"/>
              </w:rPr>
              <w:lastRenderedPageBreak/>
              <w:t>b</w:t>
            </w:r>
            <w:r w:rsidRPr="0026374F">
              <w:rPr>
                <w:color w:val="000000"/>
                <w:sz w:val="22"/>
                <w:szCs w:val="22"/>
              </w:rPr>
              <w:t>Stratified</w:t>
            </w:r>
            <w:proofErr w:type="spellEnd"/>
            <w:r w:rsidRPr="0026374F">
              <w:rPr>
                <w:color w:val="000000"/>
                <w:sz w:val="22"/>
                <w:szCs w:val="22"/>
              </w:rPr>
              <w:t xml:space="preserve"> by time period and age in months (in absence of age interaction), and adjusted for geographic region, body mass index, alcohol consumption, physical activity, overall diet quality, census tract median house value, census tract median income, and secondhand smoke exposure at home, at work, and during childhood; also adjusted for age in months (in presence of age interaction)</w:t>
            </w:r>
          </w:p>
        </w:tc>
      </w:tr>
      <w:tr w:rsidR="00AD06C1" w:rsidRPr="0026374F" w:rsidTr="00DA6BCD">
        <w:trPr>
          <w:trHeight w:val="642"/>
        </w:trPr>
        <w:tc>
          <w:tcPr>
            <w:tcW w:w="10954" w:type="dxa"/>
            <w:gridSpan w:val="10"/>
            <w:tcBorders>
              <w:top w:val="nil"/>
              <w:left w:val="nil"/>
              <w:bottom w:val="nil"/>
              <w:right w:val="nil"/>
            </w:tcBorders>
            <w:shd w:val="clear" w:color="auto" w:fill="auto"/>
            <w:vAlign w:val="bottom"/>
            <w:hideMark/>
          </w:tcPr>
          <w:p w:rsidR="00AD06C1" w:rsidRPr="0026374F" w:rsidRDefault="00AD06C1" w:rsidP="009C363B">
            <w:pPr>
              <w:spacing w:after="0"/>
              <w:rPr>
                <w:color w:val="000000"/>
                <w:sz w:val="22"/>
                <w:szCs w:val="22"/>
              </w:rPr>
            </w:pPr>
            <w:r w:rsidRPr="0026374F">
              <w:rPr>
                <w:color w:val="000000"/>
                <w:sz w:val="22"/>
                <w:szCs w:val="22"/>
              </w:rPr>
              <w:t>AIC: Akaike information criterion; CI: confidence interval; HR: hazard ratio; PM</w:t>
            </w:r>
            <w:r w:rsidRPr="0026374F">
              <w:rPr>
                <w:color w:val="000000"/>
                <w:sz w:val="22"/>
                <w:szCs w:val="22"/>
                <w:vertAlign w:val="subscript"/>
              </w:rPr>
              <w:t>2.5</w:t>
            </w:r>
            <w:r w:rsidRPr="0026374F">
              <w:rPr>
                <w:color w:val="000000"/>
                <w:sz w:val="22"/>
                <w:szCs w:val="22"/>
              </w:rPr>
              <w:t>: particulate matter &lt; 2.5 µm in aerodynamic diameter</w:t>
            </w:r>
          </w:p>
        </w:tc>
      </w:tr>
    </w:tbl>
    <w:p w:rsidR="00AD06C1" w:rsidRPr="0026374F" w:rsidRDefault="00AD06C1" w:rsidP="00AD06C1"/>
    <w:p w:rsidR="009B5B3D" w:rsidRDefault="009B5B3D" w:rsidP="004A26C3">
      <w:pPr>
        <w:numPr>
          <w:ilvl w:val="0"/>
          <w:numId w:val="10"/>
        </w:numPr>
        <w:spacing w:after="0" w:line="259" w:lineRule="auto"/>
        <w:contextualSpacing/>
      </w:pPr>
    </w:p>
    <w:sectPr w:rsidR="009B5B3D" w:rsidSect="004A26C3">
      <w:footerReference w:type="default" r:id="rId2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A96" w:rsidRDefault="00273A96" w:rsidP="004D33CD">
      <w:pPr>
        <w:spacing w:after="0"/>
      </w:pPr>
      <w:r>
        <w:separator/>
      </w:r>
    </w:p>
  </w:endnote>
  <w:endnote w:type="continuationSeparator" w:id="0">
    <w:p w:rsidR="00273A96" w:rsidRDefault="00273A96" w:rsidP="004D33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1509789804"/>
      <w:docPartObj>
        <w:docPartGallery w:val="Page Numbers (Bottom of Page)"/>
        <w:docPartUnique/>
      </w:docPartObj>
    </w:sdtPr>
    <w:sdtEndPr>
      <w:rPr>
        <w:noProof/>
      </w:rPr>
    </w:sdtEndPr>
    <w:sdtContent>
      <w:p w:rsidR="00192A76" w:rsidRPr="008A26BF" w:rsidRDefault="00192A76" w:rsidP="008A26BF">
        <w:pPr>
          <w:pStyle w:val="Footer"/>
          <w:jc w:val="center"/>
          <w:rPr>
            <w:rFonts w:ascii="Times New Roman" w:hAnsi="Times New Roman"/>
            <w:sz w:val="24"/>
            <w:szCs w:val="24"/>
          </w:rPr>
        </w:pPr>
        <w:r w:rsidRPr="003269D6">
          <w:rPr>
            <w:rFonts w:ascii="Times New Roman" w:hAnsi="Times New Roman"/>
            <w:sz w:val="24"/>
            <w:szCs w:val="24"/>
          </w:rPr>
          <w:fldChar w:fldCharType="begin"/>
        </w:r>
        <w:r w:rsidRPr="003269D6">
          <w:rPr>
            <w:rFonts w:ascii="Times New Roman" w:hAnsi="Times New Roman"/>
            <w:sz w:val="24"/>
            <w:szCs w:val="24"/>
          </w:rPr>
          <w:instrText xml:space="preserve"> PAGE   \* MERGEFORMAT </w:instrText>
        </w:r>
        <w:r w:rsidRPr="003269D6">
          <w:rPr>
            <w:rFonts w:ascii="Times New Roman" w:hAnsi="Times New Roman"/>
            <w:sz w:val="24"/>
            <w:szCs w:val="24"/>
          </w:rPr>
          <w:fldChar w:fldCharType="separate"/>
        </w:r>
        <w:r w:rsidR="004A26C3">
          <w:rPr>
            <w:rFonts w:ascii="Times New Roman" w:hAnsi="Times New Roman"/>
            <w:noProof/>
            <w:sz w:val="24"/>
            <w:szCs w:val="24"/>
          </w:rPr>
          <w:t>4</w:t>
        </w:r>
        <w:r w:rsidRPr="003269D6">
          <w:rPr>
            <w:rFonts w:ascii="Times New Roman" w:hAnsi="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327928"/>
      <w:docPartObj>
        <w:docPartGallery w:val="Page Numbers (Bottom of Page)"/>
        <w:docPartUnique/>
      </w:docPartObj>
    </w:sdtPr>
    <w:sdtEndPr>
      <w:rPr>
        <w:rFonts w:ascii="Times New Roman" w:hAnsi="Times New Roman"/>
        <w:noProof/>
        <w:sz w:val="22"/>
        <w:szCs w:val="22"/>
      </w:rPr>
    </w:sdtEndPr>
    <w:sdtContent>
      <w:p w:rsidR="00192A76" w:rsidRPr="00BE2837" w:rsidRDefault="00192A76">
        <w:pPr>
          <w:pStyle w:val="Footer"/>
          <w:jc w:val="center"/>
          <w:rPr>
            <w:rFonts w:ascii="Times New Roman" w:hAnsi="Times New Roman"/>
            <w:sz w:val="22"/>
            <w:szCs w:val="22"/>
          </w:rPr>
        </w:pPr>
        <w:r w:rsidRPr="00BE2837">
          <w:rPr>
            <w:rFonts w:ascii="Times New Roman" w:hAnsi="Times New Roman"/>
            <w:sz w:val="22"/>
            <w:szCs w:val="22"/>
          </w:rPr>
          <w:fldChar w:fldCharType="begin"/>
        </w:r>
        <w:r w:rsidRPr="00BE2837">
          <w:rPr>
            <w:rFonts w:ascii="Times New Roman" w:hAnsi="Times New Roman"/>
            <w:sz w:val="22"/>
            <w:szCs w:val="22"/>
          </w:rPr>
          <w:instrText xml:space="preserve"> PAGE   \* MERGEFORMAT </w:instrText>
        </w:r>
        <w:r w:rsidRPr="00BE2837">
          <w:rPr>
            <w:rFonts w:ascii="Times New Roman" w:hAnsi="Times New Roman"/>
            <w:sz w:val="22"/>
            <w:szCs w:val="22"/>
          </w:rPr>
          <w:fldChar w:fldCharType="separate"/>
        </w:r>
        <w:r w:rsidR="004A26C3">
          <w:rPr>
            <w:rFonts w:ascii="Times New Roman" w:hAnsi="Times New Roman"/>
            <w:noProof/>
            <w:sz w:val="22"/>
            <w:szCs w:val="22"/>
          </w:rPr>
          <w:t>1</w:t>
        </w:r>
        <w:r w:rsidRPr="00BE2837">
          <w:rPr>
            <w:rFonts w:ascii="Times New Roman" w:hAnsi="Times New Roman"/>
            <w:noProof/>
            <w:sz w:val="22"/>
            <w:szCs w:val="22"/>
          </w:rPr>
          <w:fldChar w:fldCharType="end"/>
        </w:r>
      </w:p>
    </w:sdtContent>
  </w:sdt>
  <w:p w:rsidR="00192A76" w:rsidRDefault="00192A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1272011523"/>
      <w:docPartObj>
        <w:docPartGallery w:val="Page Numbers (Bottom of Page)"/>
        <w:docPartUnique/>
      </w:docPartObj>
    </w:sdtPr>
    <w:sdtEndPr>
      <w:rPr>
        <w:noProof/>
      </w:rPr>
    </w:sdtEndPr>
    <w:sdtContent>
      <w:p w:rsidR="00950620" w:rsidRPr="001D3898" w:rsidRDefault="00C67161">
        <w:pPr>
          <w:pStyle w:val="Footer"/>
          <w:jc w:val="center"/>
          <w:rPr>
            <w:rFonts w:ascii="Times New Roman" w:hAnsi="Times New Roman"/>
            <w:sz w:val="24"/>
            <w:szCs w:val="24"/>
          </w:rPr>
        </w:pPr>
        <w:r w:rsidRPr="001D3898">
          <w:rPr>
            <w:rFonts w:ascii="Times New Roman" w:hAnsi="Times New Roman"/>
            <w:sz w:val="24"/>
            <w:szCs w:val="24"/>
          </w:rPr>
          <w:fldChar w:fldCharType="begin"/>
        </w:r>
        <w:r w:rsidRPr="001D3898">
          <w:rPr>
            <w:rFonts w:ascii="Times New Roman" w:hAnsi="Times New Roman"/>
            <w:sz w:val="24"/>
            <w:szCs w:val="24"/>
          </w:rPr>
          <w:instrText xml:space="preserve"> PAGE   \* MERGEFORMAT </w:instrText>
        </w:r>
        <w:r w:rsidRPr="001D3898">
          <w:rPr>
            <w:rFonts w:ascii="Times New Roman" w:hAnsi="Times New Roman"/>
            <w:sz w:val="24"/>
            <w:szCs w:val="24"/>
          </w:rPr>
          <w:fldChar w:fldCharType="separate"/>
        </w:r>
        <w:r w:rsidR="004A26C3">
          <w:rPr>
            <w:rFonts w:ascii="Times New Roman" w:hAnsi="Times New Roman"/>
            <w:noProof/>
            <w:sz w:val="24"/>
            <w:szCs w:val="24"/>
          </w:rPr>
          <w:t>100</w:t>
        </w:r>
        <w:r w:rsidRPr="001D3898">
          <w:rPr>
            <w:rFonts w:ascii="Times New Roman" w:hAnsi="Times New Roman"/>
            <w:noProof/>
            <w:sz w:val="24"/>
            <w:szCs w:val="24"/>
          </w:rPr>
          <w:fldChar w:fldCharType="end"/>
        </w:r>
      </w:p>
    </w:sdtContent>
  </w:sdt>
  <w:p w:rsidR="00950620" w:rsidRDefault="00273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A96" w:rsidRDefault="00273A96" w:rsidP="004D33CD">
      <w:pPr>
        <w:spacing w:after="0"/>
      </w:pPr>
      <w:r>
        <w:separator/>
      </w:r>
    </w:p>
  </w:footnote>
  <w:footnote w:type="continuationSeparator" w:id="0">
    <w:p w:rsidR="00273A96" w:rsidRDefault="00273A96" w:rsidP="004D33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3042"/>
    <w:multiLevelType w:val="hybridMultilevel"/>
    <w:tmpl w:val="3C4A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A4DC3"/>
    <w:multiLevelType w:val="hybridMultilevel"/>
    <w:tmpl w:val="E3B2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87B8D"/>
    <w:multiLevelType w:val="hybridMultilevel"/>
    <w:tmpl w:val="63A8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A7227"/>
    <w:multiLevelType w:val="hybridMultilevel"/>
    <w:tmpl w:val="26C4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70AC1"/>
    <w:multiLevelType w:val="hybridMultilevel"/>
    <w:tmpl w:val="59D24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C13C7"/>
    <w:multiLevelType w:val="hybridMultilevel"/>
    <w:tmpl w:val="63A8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E05367"/>
    <w:multiLevelType w:val="hybridMultilevel"/>
    <w:tmpl w:val="AB8E1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0B6F4A"/>
    <w:multiLevelType w:val="hybridMultilevel"/>
    <w:tmpl w:val="63A8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7F2D48"/>
    <w:multiLevelType w:val="hybridMultilevel"/>
    <w:tmpl w:val="63A8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DF20FE"/>
    <w:multiLevelType w:val="hybridMultilevel"/>
    <w:tmpl w:val="63A8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3E69BA"/>
    <w:multiLevelType w:val="hybridMultilevel"/>
    <w:tmpl w:val="B420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EC3EBF"/>
    <w:multiLevelType w:val="hybridMultilevel"/>
    <w:tmpl w:val="AD0AE6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CC6A87"/>
    <w:multiLevelType w:val="hybridMultilevel"/>
    <w:tmpl w:val="FA9CD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10"/>
  </w:num>
  <w:num w:numId="5">
    <w:abstractNumId w:val="11"/>
  </w:num>
  <w:num w:numId="6">
    <w:abstractNumId w:val="6"/>
  </w:num>
  <w:num w:numId="7">
    <w:abstractNumId w:val="0"/>
  </w:num>
  <w:num w:numId="8">
    <w:abstractNumId w:val="8"/>
  </w:num>
  <w:num w:numId="9">
    <w:abstractNumId w:val="9"/>
  </w:num>
  <w:num w:numId="10">
    <w:abstractNumId w:val="12"/>
  </w:num>
  <w:num w:numId="11">
    <w:abstractNumId w:val="2"/>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lle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0wptswv4swfpwev9sox0r5qr0vdztsfstrt&quot;&gt;NHS&lt;record-ids&gt;&lt;item&gt;3&lt;/item&gt;&lt;item&gt;6&lt;/item&gt;&lt;item&gt;7&lt;/item&gt;&lt;item&gt;10&lt;/item&gt;&lt;item&gt;11&lt;/item&gt;&lt;item&gt;12&lt;/item&gt;&lt;item&gt;16&lt;/item&gt;&lt;item&gt;17&lt;/item&gt;&lt;item&gt;18&lt;/item&gt;&lt;item&gt;19&lt;/item&gt;&lt;item&gt;21&lt;/item&gt;&lt;item&gt;23&lt;/item&gt;&lt;item&gt;36&lt;/item&gt;&lt;item&gt;37&lt;/item&gt;&lt;item&gt;38&lt;/item&gt;&lt;item&gt;39&lt;/item&gt;&lt;item&gt;40&lt;/item&gt;&lt;item&gt;41&lt;/item&gt;&lt;item&gt;42&lt;/item&gt;&lt;item&gt;50&lt;/item&gt;&lt;item&gt;97&lt;/item&gt;&lt;item&gt;143&lt;/item&gt;&lt;item&gt;147&lt;/item&gt;&lt;item&gt;152&lt;/item&gt;&lt;item&gt;173&lt;/item&gt;&lt;item&gt;176&lt;/item&gt;&lt;item&gt;180&lt;/item&gt;&lt;item&gt;182&lt;/item&gt;&lt;item&gt;186&lt;/item&gt;&lt;item&gt;187&lt;/item&gt;&lt;item&gt;188&lt;/item&gt;&lt;item&gt;189&lt;/item&gt;&lt;item&gt;190&lt;/item&gt;&lt;item&gt;191&lt;/item&gt;&lt;item&gt;196&lt;/item&gt;&lt;item&gt;198&lt;/item&gt;&lt;item&gt;199&lt;/item&gt;&lt;item&gt;200&lt;/item&gt;&lt;item&gt;201&lt;/item&gt;&lt;item&gt;203&lt;/item&gt;&lt;item&gt;204&lt;/item&gt;&lt;item&gt;205&lt;/item&gt;&lt;item&gt;206&lt;/item&gt;&lt;item&gt;207&lt;/item&gt;&lt;item&gt;208&lt;/item&gt;&lt;item&gt;210&lt;/item&gt;&lt;/record-ids&gt;&lt;/item&gt;&lt;/Libraries&gt;"/>
  </w:docVars>
  <w:rsids>
    <w:rsidRoot w:val="004D33CD"/>
    <w:rsid w:val="00001FCD"/>
    <w:rsid w:val="000020E5"/>
    <w:rsid w:val="00002A82"/>
    <w:rsid w:val="000065AA"/>
    <w:rsid w:val="00012E8D"/>
    <w:rsid w:val="00014316"/>
    <w:rsid w:val="000159AC"/>
    <w:rsid w:val="00022FA9"/>
    <w:rsid w:val="00025CE8"/>
    <w:rsid w:val="000306A0"/>
    <w:rsid w:val="000311BE"/>
    <w:rsid w:val="000314B8"/>
    <w:rsid w:val="00032067"/>
    <w:rsid w:val="00034B36"/>
    <w:rsid w:val="00037595"/>
    <w:rsid w:val="00037752"/>
    <w:rsid w:val="00045601"/>
    <w:rsid w:val="0004578C"/>
    <w:rsid w:val="00045B0C"/>
    <w:rsid w:val="00046ADE"/>
    <w:rsid w:val="0004730B"/>
    <w:rsid w:val="000571A1"/>
    <w:rsid w:val="0006389B"/>
    <w:rsid w:val="000709A4"/>
    <w:rsid w:val="0007209A"/>
    <w:rsid w:val="00075A4E"/>
    <w:rsid w:val="00076029"/>
    <w:rsid w:val="000760D1"/>
    <w:rsid w:val="00080A07"/>
    <w:rsid w:val="00081D80"/>
    <w:rsid w:val="00082C8E"/>
    <w:rsid w:val="00083AE9"/>
    <w:rsid w:val="0009090B"/>
    <w:rsid w:val="000912CF"/>
    <w:rsid w:val="000919EE"/>
    <w:rsid w:val="00091BAF"/>
    <w:rsid w:val="0009529E"/>
    <w:rsid w:val="0009580A"/>
    <w:rsid w:val="00095FE6"/>
    <w:rsid w:val="000A2C4D"/>
    <w:rsid w:val="000A43EE"/>
    <w:rsid w:val="000A4884"/>
    <w:rsid w:val="000A7DD4"/>
    <w:rsid w:val="000B79BF"/>
    <w:rsid w:val="000C3562"/>
    <w:rsid w:val="000C5311"/>
    <w:rsid w:val="000D2DD8"/>
    <w:rsid w:val="000D7013"/>
    <w:rsid w:val="000E2AB4"/>
    <w:rsid w:val="000F0F57"/>
    <w:rsid w:val="000F2C53"/>
    <w:rsid w:val="000F43D9"/>
    <w:rsid w:val="000F496D"/>
    <w:rsid w:val="000F6078"/>
    <w:rsid w:val="000F699C"/>
    <w:rsid w:val="000F77A7"/>
    <w:rsid w:val="00100417"/>
    <w:rsid w:val="00100FC2"/>
    <w:rsid w:val="00105362"/>
    <w:rsid w:val="00107D50"/>
    <w:rsid w:val="00113B0E"/>
    <w:rsid w:val="00124859"/>
    <w:rsid w:val="00124C63"/>
    <w:rsid w:val="00124D2A"/>
    <w:rsid w:val="0012721F"/>
    <w:rsid w:val="001369F3"/>
    <w:rsid w:val="0013753D"/>
    <w:rsid w:val="001423F5"/>
    <w:rsid w:val="001432AF"/>
    <w:rsid w:val="00155E0F"/>
    <w:rsid w:val="001564C5"/>
    <w:rsid w:val="001576AE"/>
    <w:rsid w:val="00160ECE"/>
    <w:rsid w:val="00161A19"/>
    <w:rsid w:val="00163C2B"/>
    <w:rsid w:val="00164450"/>
    <w:rsid w:val="00166A74"/>
    <w:rsid w:val="00166F97"/>
    <w:rsid w:val="001736A4"/>
    <w:rsid w:val="00174FB0"/>
    <w:rsid w:val="001842B7"/>
    <w:rsid w:val="00186263"/>
    <w:rsid w:val="0019091B"/>
    <w:rsid w:val="00192A76"/>
    <w:rsid w:val="00194167"/>
    <w:rsid w:val="0019528A"/>
    <w:rsid w:val="00196F4E"/>
    <w:rsid w:val="001A041B"/>
    <w:rsid w:val="001A45F1"/>
    <w:rsid w:val="001A50F9"/>
    <w:rsid w:val="001B2F4D"/>
    <w:rsid w:val="001B3579"/>
    <w:rsid w:val="001B5EC9"/>
    <w:rsid w:val="001B779F"/>
    <w:rsid w:val="001C34A7"/>
    <w:rsid w:val="001C41FB"/>
    <w:rsid w:val="001C62B1"/>
    <w:rsid w:val="001D0222"/>
    <w:rsid w:val="001D1E6E"/>
    <w:rsid w:val="001D56A4"/>
    <w:rsid w:val="001D7FBE"/>
    <w:rsid w:val="001E2744"/>
    <w:rsid w:val="001E3C75"/>
    <w:rsid w:val="001F040B"/>
    <w:rsid w:val="001F11B0"/>
    <w:rsid w:val="001F13AA"/>
    <w:rsid w:val="001F29F8"/>
    <w:rsid w:val="001F2F7A"/>
    <w:rsid w:val="001F309C"/>
    <w:rsid w:val="001F3C6D"/>
    <w:rsid w:val="001F6D38"/>
    <w:rsid w:val="002053DB"/>
    <w:rsid w:val="00207B48"/>
    <w:rsid w:val="00207EAD"/>
    <w:rsid w:val="00207FA4"/>
    <w:rsid w:val="00212500"/>
    <w:rsid w:val="00212F7C"/>
    <w:rsid w:val="00214E43"/>
    <w:rsid w:val="00216186"/>
    <w:rsid w:val="00221007"/>
    <w:rsid w:val="00226154"/>
    <w:rsid w:val="0023020C"/>
    <w:rsid w:val="00233140"/>
    <w:rsid w:val="00233206"/>
    <w:rsid w:val="00236C4B"/>
    <w:rsid w:val="00237D6D"/>
    <w:rsid w:val="002405DD"/>
    <w:rsid w:val="00243AFD"/>
    <w:rsid w:val="00244A8E"/>
    <w:rsid w:val="002466DF"/>
    <w:rsid w:val="00251E77"/>
    <w:rsid w:val="002526A9"/>
    <w:rsid w:val="002542CB"/>
    <w:rsid w:val="00256214"/>
    <w:rsid w:val="00260F5B"/>
    <w:rsid w:val="002612A9"/>
    <w:rsid w:val="0026374F"/>
    <w:rsid w:val="002639AA"/>
    <w:rsid w:val="002646C9"/>
    <w:rsid w:val="0026738B"/>
    <w:rsid w:val="0027024B"/>
    <w:rsid w:val="002732B8"/>
    <w:rsid w:val="00273A96"/>
    <w:rsid w:val="00275E16"/>
    <w:rsid w:val="00277D95"/>
    <w:rsid w:val="00283C02"/>
    <w:rsid w:val="00294B04"/>
    <w:rsid w:val="00294C2A"/>
    <w:rsid w:val="002965EE"/>
    <w:rsid w:val="002A1B9B"/>
    <w:rsid w:val="002A335D"/>
    <w:rsid w:val="002A46E7"/>
    <w:rsid w:val="002A56A3"/>
    <w:rsid w:val="002A6B58"/>
    <w:rsid w:val="002A736B"/>
    <w:rsid w:val="002B0911"/>
    <w:rsid w:val="002B5E86"/>
    <w:rsid w:val="002B7685"/>
    <w:rsid w:val="002C1946"/>
    <w:rsid w:val="002C2E1E"/>
    <w:rsid w:val="002C6D5C"/>
    <w:rsid w:val="002D244D"/>
    <w:rsid w:val="002D3C8D"/>
    <w:rsid w:val="002D4199"/>
    <w:rsid w:val="002E232E"/>
    <w:rsid w:val="002E23C9"/>
    <w:rsid w:val="002E57EB"/>
    <w:rsid w:val="002E5F56"/>
    <w:rsid w:val="002E67AB"/>
    <w:rsid w:val="002F4BAC"/>
    <w:rsid w:val="003023B5"/>
    <w:rsid w:val="0030582E"/>
    <w:rsid w:val="00307BD0"/>
    <w:rsid w:val="0031029B"/>
    <w:rsid w:val="00312172"/>
    <w:rsid w:val="0031267B"/>
    <w:rsid w:val="003151E6"/>
    <w:rsid w:val="0031532A"/>
    <w:rsid w:val="00320C10"/>
    <w:rsid w:val="0032192C"/>
    <w:rsid w:val="003269D6"/>
    <w:rsid w:val="00327C76"/>
    <w:rsid w:val="003305AE"/>
    <w:rsid w:val="00331317"/>
    <w:rsid w:val="00331FC0"/>
    <w:rsid w:val="00334A38"/>
    <w:rsid w:val="00343279"/>
    <w:rsid w:val="00345213"/>
    <w:rsid w:val="00346264"/>
    <w:rsid w:val="00351FAC"/>
    <w:rsid w:val="0035278B"/>
    <w:rsid w:val="00356654"/>
    <w:rsid w:val="00364AB4"/>
    <w:rsid w:val="00370C07"/>
    <w:rsid w:val="00373806"/>
    <w:rsid w:val="003751E2"/>
    <w:rsid w:val="00381105"/>
    <w:rsid w:val="00383792"/>
    <w:rsid w:val="0038584F"/>
    <w:rsid w:val="00392307"/>
    <w:rsid w:val="00394976"/>
    <w:rsid w:val="003A485B"/>
    <w:rsid w:val="003A4988"/>
    <w:rsid w:val="003A5216"/>
    <w:rsid w:val="003A6DA0"/>
    <w:rsid w:val="003B2E11"/>
    <w:rsid w:val="003B3265"/>
    <w:rsid w:val="003B628B"/>
    <w:rsid w:val="003D4536"/>
    <w:rsid w:val="003D4F90"/>
    <w:rsid w:val="003D5579"/>
    <w:rsid w:val="003E4323"/>
    <w:rsid w:val="003E6983"/>
    <w:rsid w:val="003E737D"/>
    <w:rsid w:val="003F4795"/>
    <w:rsid w:val="00401E2C"/>
    <w:rsid w:val="00404C25"/>
    <w:rsid w:val="004066D0"/>
    <w:rsid w:val="004078CC"/>
    <w:rsid w:val="0041210D"/>
    <w:rsid w:val="00413DF8"/>
    <w:rsid w:val="0041464F"/>
    <w:rsid w:val="00414C7B"/>
    <w:rsid w:val="0041628C"/>
    <w:rsid w:val="00420911"/>
    <w:rsid w:val="00435BF1"/>
    <w:rsid w:val="004363EE"/>
    <w:rsid w:val="004424D1"/>
    <w:rsid w:val="0044281B"/>
    <w:rsid w:val="00445DB9"/>
    <w:rsid w:val="00450A6E"/>
    <w:rsid w:val="00462165"/>
    <w:rsid w:val="0046464E"/>
    <w:rsid w:val="00470A9F"/>
    <w:rsid w:val="00487B47"/>
    <w:rsid w:val="00490FD7"/>
    <w:rsid w:val="00495737"/>
    <w:rsid w:val="004A26C3"/>
    <w:rsid w:val="004A49B1"/>
    <w:rsid w:val="004A72EB"/>
    <w:rsid w:val="004A7768"/>
    <w:rsid w:val="004C0CD8"/>
    <w:rsid w:val="004C1991"/>
    <w:rsid w:val="004C2F8F"/>
    <w:rsid w:val="004C3BEC"/>
    <w:rsid w:val="004C4938"/>
    <w:rsid w:val="004C6CD0"/>
    <w:rsid w:val="004D24C5"/>
    <w:rsid w:val="004D33CD"/>
    <w:rsid w:val="004D459A"/>
    <w:rsid w:val="004E1364"/>
    <w:rsid w:val="004E482C"/>
    <w:rsid w:val="004E5334"/>
    <w:rsid w:val="004E5BC4"/>
    <w:rsid w:val="00500485"/>
    <w:rsid w:val="005035A1"/>
    <w:rsid w:val="00510069"/>
    <w:rsid w:val="005114F8"/>
    <w:rsid w:val="00511D23"/>
    <w:rsid w:val="00513ADE"/>
    <w:rsid w:val="00515A89"/>
    <w:rsid w:val="00516658"/>
    <w:rsid w:val="00521724"/>
    <w:rsid w:val="00521E2D"/>
    <w:rsid w:val="00521E72"/>
    <w:rsid w:val="005247F9"/>
    <w:rsid w:val="00530A62"/>
    <w:rsid w:val="0053170F"/>
    <w:rsid w:val="00533813"/>
    <w:rsid w:val="0054355E"/>
    <w:rsid w:val="00543BE4"/>
    <w:rsid w:val="00545A4A"/>
    <w:rsid w:val="00546FFB"/>
    <w:rsid w:val="00551AC6"/>
    <w:rsid w:val="005524EB"/>
    <w:rsid w:val="00562795"/>
    <w:rsid w:val="00571A85"/>
    <w:rsid w:val="005726E0"/>
    <w:rsid w:val="005734DC"/>
    <w:rsid w:val="00574388"/>
    <w:rsid w:val="00596A04"/>
    <w:rsid w:val="00596D0A"/>
    <w:rsid w:val="005A09D8"/>
    <w:rsid w:val="005A168C"/>
    <w:rsid w:val="005A1CB2"/>
    <w:rsid w:val="005A2663"/>
    <w:rsid w:val="005A4072"/>
    <w:rsid w:val="005A5487"/>
    <w:rsid w:val="005A68E3"/>
    <w:rsid w:val="005A7F04"/>
    <w:rsid w:val="005B1998"/>
    <w:rsid w:val="005B7C62"/>
    <w:rsid w:val="005B7CF9"/>
    <w:rsid w:val="005C04A9"/>
    <w:rsid w:val="005C3F5B"/>
    <w:rsid w:val="005C42FF"/>
    <w:rsid w:val="005C5923"/>
    <w:rsid w:val="005D2490"/>
    <w:rsid w:val="005D7684"/>
    <w:rsid w:val="005F06AD"/>
    <w:rsid w:val="005F1412"/>
    <w:rsid w:val="005F2AF8"/>
    <w:rsid w:val="005F6A1F"/>
    <w:rsid w:val="005F6C49"/>
    <w:rsid w:val="006046E3"/>
    <w:rsid w:val="00604ECC"/>
    <w:rsid w:val="00606CCA"/>
    <w:rsid w:val="00611B76"/>
    <w:rsid w:val="006120FA"/>
    <w:rsid w:val="0061458F"/>
    <w:rsid w:val="00620EB3"/>
    <w:rsid w:val="00621635"/>
    <w:rsid w:val="00622031"/>
    <w:rsid w:val="006306A6"/>
    <w:rsid w:val="00630AF4"/>
    <w:rsid w:val="00633FC4"/>
    <w:rsid w:val="006368E8"/>
    <w:rsid w:val="00642B9F"/>
    <w:rsid w:val="006438B8"/>
    <w:rsid w:val="0064430F"/>
    <w:rsid w:val="00646A33"/>
    <w:rsid w:val="00646C4E"/>
    <w:rsid w:val="00654175"/>
    <w:rsid w:val="006575B3"/>
    <w:rsid w:val="006577EB"/>
    <w:rsid w:val="00660A2B"/>
    <w:rsid w:val="00660A52"/>
    <w:rsid w:val="00661284"/>
    <w:rsid w:val="006619E4"/>
    <w:rsid w:val="00663C2B"/>
    <w:rsid w:val="00666134"/>
    <w:rsid w:val="006663A3"/>
    <w:rsid w:val="00666683"/>
    <w:rsid w:val="00672697"/>
    <w:rsid w:val="006770D2"/>
    <w:rsid w:val="0068108F"/>
    <w:rsid w:val="00681D68"/>
    <w:rsid w:val="00682ECB"/>
    <w:rsid w:val="006834EF"/>
    <w:rsid w:val="006870A7"/>
    <w:rsid w:val="00691A91"/>
    <w:rsid w:val="00692936"/>
    <w:rsid w:val="00696723"/>
    <w:rsid w:val="006A6D90"/>
    <w:rsid w:val="006B1334"/>
    <w:rsid w:val="006B7603"/>
    <w:rsid w:val="006C1193"/>
    <w:rsid w:val="006C1526"/>
    <w:rsid w:val="006C200D"/>
    <w:rsid w:val="006C7F63"/>
    <w:rsid w:val="006D3342"/>
    <w:rsid w:val="006D568F"/>
    <w:rsid w:val="006D5B87"/>
    <w:rsid w:val="006E25CD"/>
    <w:rsid w:val="006F6623"/>
    <w:rsid w:val="006F6A14"/>
    <w:rsid w:val="007022A1"/>
    <w:rsid w:val="007024A1"/>
    <w:rsid w:val="007065D1"/>
    <w:rsid w:val="0071733D"/>
    <w:rsid w:val="00721F50"/>
    <w:rsid w:val="00723F12"/>
    <w:rsid w:val="007245D8"/>
    <w:rsid w:val="007328CB"/>
    <w:rsid w:val="007356C4"/>
    <w:rsid w:val="00736E4D"/>
    <w:rsid w:val="00740714"/>
    <w:rsid w:val="00741302"/>
    <w:rsid w:val="00745B49"/>
    <w:rsid w:val="00746006"/>
    <w:rsid w:val="0074724D"/>
    <w:rsid w:val="0075367C"/>
    <w:rsid w:val="00753B9B"/>
    <w:rsid w:val="007610D4"/>
    <w:rsid w:val="00767B96"/>
    <w:rsid w:val="0077123A"/>
    <w:rsid w:val="00773AE1"/>
    <w:rsid w:val="0077643A"/>
    <w:rsid w:val="00777D71"/>
    <w:rsid w:val="00777F15"/>
    <w:rsid w:val="007805C0"/>
    <w:rsid w:val="00781ED0"/>
    <w:rsid w:val="00791055"/>
    <w:rsid w:val="00793354"/>
    <w:rsid w:val="007A20C5"/>
    <w:rsid w:val="007A62D1"/>
    <w:rsid w:val="007B0AF6"/>
    <w:rsid w:val="007B362F"/>
    <w:rsid w:val="007B589A"/>
    <w:rsid w:val="007B6700"/>
    <w:rsid w:val="007B73B0"/>
    <w:rsid w:val="007B7747"/>
    <w:rsid w:val="007C181F"/>
    <w:rsid w:val="007C24DA"/>
    <w:rsid w:val="007C2A49"/>
    <w:rsid w:val="007C3681"/>
    <w:rsid w:val="007D4429"/>
    <w:rsid w:val="007E1E74"/>
    <w:rsid w:val="007F0BF3"/>
    <w:rsid w:val="007F0EB8"/>
    <w:rsid w:val="007F1AC3"/>
    <w:rsid w:val="007F637C"/>
    <w:rsid w:val="00800CCE"/>
    <w:rsid w:val="00803082"/>
    <w:rsid w:val="008051EB"/>
    <w:rsid w:val="00816166"/>
    <w:rsid w:val="0081749C"/>
    <w:rsid w:val="00824EA0"/>
    <w:rsid w:val="00825651"/>
    <w:rsid w:val="00837040"/>
    <w:rsid w:val="0083706E"/>
    <w:rsid w:val="0085380F"/>
    <w:rsid w:val="008559C0"/>
    <w:rsid w:val="00860B0C"/>
    <w:rsid w:val="00861A20"/>
    <w:rsid w:val="00861C12"/>
    <w:rsid w:val="00864C4A"/>
    <w:rsid w:val="00871DF0"/>
    <w:rsid w:val="00872EFE"/>
    <w:rsid w:val="008753A6"/>
    <w:rsid w:val="008761AD"/>
    <w:rsid w:val="00880B8A"/>
    <w:rsid w:val="00884012"/>
    <w:rsid w:val="00885B64"/>
    <w:rsid w:val="00885D67"/>
    <w:rsid w:val="00885F0A"/>
    <w:rsid w:val="0089039D"/>
    <w:rsid w:val="00892538"/>
    <w:rsid w:val="008945B8"/>
    <w:rsid w:val="00894F74"/>
    <w:rsid w:val="008A0862"/>
    <w:rsid w:val="008A26BF"/>
    <w:rsid w:val="008A50CA"/>
    <w:rsid w:val="008B3DAA"/>
    <w:rsid w:val="008B424B"/>
    <w:rsid w:val="008B5C36"/>
    <w:rsid w:val="008C6849"/>
    <w:rsid w:val="008C6B0B"/>
    <w:rsid w:val="008D1475"/>
    <w:rsid w:val="008E2049"/>
    <w:rsid w:val="008E3C0A"/>
    <w:rsid w:val="008F12FD"/>
    <w:rsid w:val="008F1C21"/>
    <w:rsid w:val="008F25AB"/>
    <w:rsid w:val="009003DE"/>
    <w:rsid w:val="009005C3"/>
    <w:rsid w:val="009018B9"/>
    <w:rsid w:val="00903F1D"/>
    <w:rsid w:val="00916D43"/>
    <w:rsid w:val="00930847"/>
    <w:rsid w:val="00933B99"/>
    <w:rsid w:val="00935685"/>
    <w:rsid w:val="00941CD7"/>
    <w:rsid w:val="009434B2"/>
    <w:rsid w:val="00950D7B"/>
    <w:rsid w:val="00954D33"/>
    <w:rsid w:val="0096672F"/>
    <w:rsid w:val="00980207"/>
    <w:rsid w:val="00985EC5"/>
    <w:rsid w:val="00991544"/>
    <w:rsid w:val="00992180"/>
    <w:rsid w:val="009938B6"/>
    <w:rsid w:val="009A12FF"/>
    <w:rsid w:val="009A18DD"/>
    <w:rsid w:val="009A2914"/>
    <w:rsid w:val="009A32CC"/>
    <w:rsid w:val="009A4471"/>
    <w:rsid w:val="009A4864"/>
    <w:rsid w:val="009A71DD"/>
    <w:rsid w:val="009B0A4A"/>
    <w:rsid w:val="009B0CF3"/>
    <w:rsid w:val="009B131F"/>
    <w:rsid w:val="009B4AE8"/>
    <w:rsid w:val="009B5A9F"/>
    <w:rsid w:val="009B5B3D"/>
    <w:rsid w:val="009B627F"/>
    <w:rsid w:val="009B632C"/>
    <w:rsid w:val="009C163D"/>
    <w:rsid w:val="009C24CE"/>
    <w:rsid w:val="009C2682"/>
    <w:rsid w:val="009C4FF2"/>
    <w:rsid w:val="009C6F4E"/>
    <w:rsid w:val="009D1ECA"/>
    <w:rsid w:val="009D1F03"/>
    <w:rsid w:val="009D58C2"/>
    <w:rsid w:val="009E0AB7"/>
    <w:rsid w:val="009E11BA"/>
    <w:rsid w:val="009E12E8"/>
    <w:rsid w:val="009E6D38"/>
    <w:rsid w:val="009E7514"/>
    <w:rsid w:val="009F32E7"/>
    <w:rsid w:val="009F3C91"/>
    <w:rsid w:val="00A011CE"/>
    <w:rsid w:val="00A0472B"/>
    <w:rsid w:val="00A0711E"/>
    <w:rsid w:val="00A12EDA"/>
    <w:rsid w:val="00A14A6F"/>
    <w:rsid w:val="00A151D5"/>
    <w:rsid w:val="00A200AC"/>
    <w:rsid w:val="00A21A0E"/>
    <w:rsid w:val="00A2752E"/>
    <w:rsid w:val="00A3626F"/>
    <w:rsid w:val="00A41FFC"/>
    <w:rsid w:val="00A449FA"/>
    <w:rsid w:val="00A46EE8"/>
    <w:rsid w:val="00A47BFD"/>
    <w:rsid w:val="00A51C0F"/>
    <w:rsid w:val="00A56B7D"/>
    <w:rsid w:val="00A62BA8"/>
    <w:rsid w:val="00A75149"/>
    <w:rsid w:val="00A75F50"/>
    <w:rsid w:val="00A76071"/>
    <w:rsid w:val="00A913FB"/>
    <w:rsid w:val="00A93F5C"/>
    <w:rsid w:val="00AA2A4D"/>
    <w:rsid w:val="00AB1BAB"/>
    <w:rsid w:val="00AB5A43"/>
    <w:rsid w:val="00AB5E1C"/>
    <w:rsid w:val="00AB670E"/>
    <w:rsid w:val="00AC1995"/>
    <w:rsid w:val="00AC3A29"/>
    <w:rsid w:val="00AC3DE5"/>
    <w:rsid w:val="00AD0652"/>
    <w:rsid w:val="00AD06C1"/>
    <w:rsid w:val="00AD11C2"/>
    <w:rsid w:val="00AD1C8E"/>
    <w:rsid w:val="00AD7E7C"/>
    <w:rsid w:val="00AE2C4F"/>
    <w:rsid w:val="00AE63C4"/>
    <w:rsid w:val="00AE6D04"/>
    <w:rsid w:val="00AF22B6"/>
    <w:rsid w:val="00AF4A4B"/>
    <w:rsid w:val="00AF579F"/>
    <w:rsid w:val="00AF7312"/>
    <w:rsid w:val="00B02FC4"/>
    <w:rsid w:val="00B03A1A"/>
    <w:rsid w:val="00B04536"/>
    <w:rsid w:val="00B12C3F"/>
    <w:rsid w:val="00B13E19"/>
    <w:rsid w:val="00B142E6"/>
    <w:rsid w:val="00B14D7A"/>
    <w:rsid w:val="00B16094"/>
    <w:rsid w:val="00B211FE"/>
    <w:rsid w:val="00B23D51"/>
    <w:rsid w:val="00B26EF9"/>
    <w:rsid w:val="00B31B2C"/>
    <w:rsid w:val="00B379E6"/>
    <w:rsid w:val="00B422AE"/>
    <w:rsid w:val="00B428F8"/>
    <w:rsid w:val="00B43180"/>
    <w:rsid w:val="00B44E2D"/>
    <w:rsid w:val="00B45DEF"/>
    <w:rsid w:val="00B477FE"/>
    <w:rsid w:val="00B54544"/>
    <w:rsid w:val="00B57D36"/>
    <w:rsid w:val="00B65308"/>
    <w:rsid w:val="00B67D79"/>
    <w:rsid w:val="00B73CFB"/>
    <w:rsid w:val="00B873B4"/>
    <w:rsid w:val="00B90205"/>
    <w:rsid w:val="00B9394C"/>
    <w:rsid w:val="00B960E2"/>
    <w:rsid w:val="00B97299"/>
    <w:rsid w:val="00BA0B29"/>
    <w:rsid w:val="00BA58BD"/>
    <w:rsid w:val="00BB09B0"/>
    <w:rsid w:val="00BB359D"/>
    <w:rsid w:val="00BB66DA"/>
    <w:rsid w:val="00BB6742"/>
    <w:rsid w:val="00BC0735"/>
    <w:rsid w:val="00BC3680"/>
    <w:rsid w:val="00BD1146"/>
    <w:rsid w:val="00BD30F6"/>
    <w:rsid w:val="00BD5969"/>
    <w:rsid w:val="00BD743B"/>
    <w:rsid w:val="00BE2837"/>
    <w:rsid w:val="00BE300A"/>
    <w:rsid w:val="00BF0E9A"/>
    <w:rsid w:val="00BF10A5"/>
    <w:rsid w:val="00BF1402"/>
    <w:rsid w:val="00BF44E5"/>
    <w:rsid w:val="00C0058D"/>
    <w:rsid w:val="00C0255E"/>
    <w:rsid w:val="00C04360"/>
    <w:rsid w:val="00C13000"/>
    <w:rsid w:val="00C14858"/>
    <w:rsid w:val="00C14ED6"/>
    <w:rsid w:val="00C165A5"/>
    <w:rsid w:val="00C16CE1"/>
    <w:rsid w:val="00C21B74"/>
    <w:rsid w:val="00C259AD"/>
    <w:rsid w:val="00C26D36"/>
    <w:rsid w:val="00C3293B"/>
    <w:rsid w:val="00C32AAF"/>
    <w:rsid w:val="00C34E42"/>
    <w:rsid w:val="00C356BA"/>
    <w:rsid w:val="00C3639C"/>
    <w:rsid w:val="00C36DE4"/>
    <w:rsid w:val="00C37BB1"/>
    <w:rsid w:val="00C42344"/>
    <w:rsid w:val="00C4292A"/>
    <w:rsid w:val="00C4746E"/>
    <w:rsid w:val="00C52029"/>
    <w:rsid w:val="00C53965"/>
    <w:rsid w:val="00C54345"/>
    <w:rsid w:val="00C56865"/>
    <w:rsid w:val="00C61A9B"/>
    <w:rsid w:val="00C636EB"/>
    <w:rsid w:val="00C67161"/>
    <w:rsid w:val="00C70A33"/>
    <w:rsid w:val="00C73281"/>
    <w:rsid w:val="00C77594"/>
    <w:rsid w:val="00C8067B"/>
    <w:rsid w:val="00C927EE"/>
    <w:rsid w:val="00C93313"/>
    <w:rsid w:val="00C956D9"/>
    <w:rsid w:val="00C96962"/>
    <w:rsid w:val="00C96CA3"/>
    <w:rsid w:val="00CA1246"/>
    <w:rsid w:val="00CA2E00"/>
    <w:rsid w:val="00CA3901"/>
    <w:rsid w:val="00CC3F34"/>
    <w:rsid w:val="00CC5DC0"/>
    <w:rsid w:val="00CC606F"/>
    <w:rsid w:val="00CC60EE"/>
    <w:rsid w:val="00CC69A6"/>
    <w:rsid w:val="00CD1522"/>
    <w:rsid w:val="00CD326B"/>
    <w:rsid w:val="00CD623C"/>
    <w:rsid w:val="00CD76DE"/>
    <w:rsid w:val="00CD79A9"/>
    <w:rsid w:val="00CE13A9"/>
    <w:rsid w:val="00CE2D1C"/>
    <w:rsid w:val="00CE4279"/>
    <w:rsid w:val="00CE4F8E"/>
    <w:rsid w:val="00CE5551"/>
    <w:rsid w:val="00CE672D"/>
    <w:rsid w:val="00CF0900"/>
    <w:rsid w:val="00CF301E"/>
    <w:rsid w:val="00CF4142"/>
    <w:rsid w:val="00CF43EE"/>
    <w:rsid w:val="00D00406"/>
    <w:rsid w:val="00D03A58"/>
    <w:rsid w:val="00D05EFA"/>
    <w:rsid w:val="00D15C2A"/>
    <w:rsid w:val="00D17207"/>
    <w:rsid w:val="00D17DD6"/>
    <w:rsid w:val="00D21E5D"/>
    <w:rsid w:val="00D23624"/>
    <w:rsid w:val="00D2727F"/>
    <w:rsid w:val="00D30021"/>
    <w:rsid w:val="00D30EBB"/>
    <w:rsid w:val="00D31FF6"/>
    <w:rsid w:val="00D33134"/>
    <w:rsid w:val="00D36955"/>
    <w:rsid w:val="00D379F5"/>
    <w:rsid w:val="00D42B59"/>
    <w:rsid w:val="00D462FA"/>
    <w:rsid w:val="00D505A4"/>
    <w:rsid w:val="00D544B1"/>
    <w:rsid w:val="00D60BAD"/>
    <w:rsid w:val="00D621C2"/>
    <w:rsid w:val="00D6258F"/>
    <w:rsid w:val="00D63FAA"/>
    <w:rsid w:val="00D64184"/>
    <w:rsid w:val="00D64B70"/>
    <w:rsid w:val="00D654FA"/>
    <w:rsid w:val="00D66E82"/>
    <w:rsid w:val="00D747FD"/>
    <w:rsid w:val="00D74FDD"/>
    <w:rsid w:val="00D768C2"/>
    <w:rsid w:val="00D77047"/>
    <w:rsid w:val="00D851FA"/>
    <w:rsid w:val="00D87C80"/>
    <w:rsid w:val="00D93552"/>
    <w:rsid w:val="00D9567F"/>
    <w:rsid w:val="00D968CC"/>
    <w:rsid w:val="00D96940"/>
    <w:rsid w:val="00D97AC7"/>
    <w:rsid w:val="00D97E03"/>
    <w:rsid w:val="00DA133D"/>
    <w:rsid w:val="00DA3331"/>
    <w:rsid w:val="00DA6A0A"/>
    <w:rsid w:val="00DA6BCD"/>
    <w:rsid w:val="00DB260D"/>
    <w:rsid w:val="00DB3DE9"/>
    <w:rsid w:val="00DB7DC4"/>
    <w:rsid w:val="00DC0411"/>
    <w:rsid w:val="00DC1029"/>
    <w:rsid w:val="00DC78E3"/>
    <w:rsid w:val="00DD12FC"/>
    <w:rsid w:val="00DD26C5"/>
    <w:rsid w:val="00DD3A5A"/>
    <w:rsid w:val="00DD666B"/>
    <w:rsid w:val="00DE77A6"/>
    <w:rsid w:val="00DF0F2D"/>
    <w:rsid w:val="00E00BC3"/>
    <w:rsid w:val="00E029CC"/>
    <w:rsid w:val="00E02EB1"/>
    <w:rsid w:val="00E07014"/>
    <w:rsid w:val="00E12A17"/>
    <w:rsid w:val="00E132DA"/>
    <w:rsid w:val="00E1490C"/>
    <w:rsid w:val="00E14C65"/>
    <w:rsid w:val="00E211DA"/>
    <w:rsid w:val="00E2512D"/>
    <w:rsid w:val="00E25238"/>
    <w:rsid w:val="00E3062E"/>
    <w:rsid w:val="00E328EA"/>
    <w:rsid w:val="00E32E41"/>
    <w:rsid w:val="00E334E9"/>
    <w:rsid w:val="00E3454D"/>
    <w:rsid w:val="00E356DF"/>
    <w:rsid w:val="00E42556"/>
    <w:rsid w:val="00E42D07"/>
    <w:rsid w:val="00E43427"/>
    <w:rsid w:val="00E47492"/>
    <w:rsid w:val="00E54DB6"/>
    <w:rsid w:val="00E55BF6"/>
    <w:rsid w:val="00E7028B"/>
    <w:rsid w:val="00E81213"/>
    <w:rsid w:val="00E83961"/>
    <w:rsid w:val="00E9383A"/>
    <w:rsid w:val="00E938A8"/>
    <w:rsid w:val="00E97A94"/>
    <w:rsid w:val="00EA3A40"/>
    <w:rsid w:val="00EA3E63"/>
    <w:rsid w:val="00EB6A5F"/>
    <w:rsid w:val="00EC3851"/>
    <w:rsid w:val="00EC6904"/>
    <w:rsid w:val="00EC6D7C"/>
    <w:rsid w:val="00EC731E"/>
    <w:rsid w:val="00ED0E91"/>
    <w:rsid w:val="00ED2CD7"/>
    <w:rsid w:val="00ED4A0A"/>
    <w:rsid w:val="00ED5CE8"/>
    <w:rsid w:val="00EE1A09"/>
    <w:rsid w:val="00EE4EB7"/>
    <w:rsid w:val="00EE55CD"/>
    <w:rsid w:val="00EE6297"/>
    <w:rsid w:val="00EE6338"/>
    <w:rsid w:val="00EE69EE"/>
    <w:rsid w:val="00EE750F"/>
    <w:rsid w:val="00EF570F"/>
    <w:rsid w:val="00F00AF5"/>
    <w:rsid w:val="00F05E60"/>
    <w:rsid w:val="00F1042F"/>
    <w:rsid w:val="00F2005D"/>
    <w:rsid w:val="00F230BA"/>
    <w:rsid w:val="00F27023"/>
    <w:rsid w:val="00F313D7"/>
    <w:rsid w:val="00F319DB"/>
    <w:rsid w:val="00F31A11"/>
    <w:rsid w:val="00F31FB7"/>
    <w:rsid w:val="00F37EBA"/>
    <w:rsid w:val="00F45631"/>
    <w:rsid w:val="00F462CE"/>
    <w:rsid w:val="00F46E4A"/>
    <w:rsid w:val="00F50995"/>
    <w:rsid w:val="00F50D1C"/>
    <w:rsid w:val="00F510D5"/>
    <w:rsid w:val="00F56CC0"/>
    <w:rsid w:val="00F604B0"/>
    <w:rsid w:val="00F61D5E"/>
    <w:rsid w:val="00F63E76"/>
    <w:rsid w:val="00F6420F"/>
    <w:rsid w:val="00F676A3"/>
    <w:rsid w:val="00F70EA6"/>
    <w:rsid w:val="00F711B7"/>
    <w:rsid w:val="00F715DA"/>
    <w:rsid w:val="00F72736"/>
    <w:rsid w:val="00F73669"/>
    <w:rsid w:val="00F74FB4"/>
    <w:rsid w:val="00F7503E"/>
    <w:rsid w:val="00F831A3"/>
    <w:rsid w:val="00F83C99"/>
    <w:rsid w:val="00F83EB1"/>
    <w:rsid w:val="00F85D29"/>
    <w:rsid w:val="00F85EA4"/>
    <w:rsid w:val="00F91D28"/>
    <w:rsid w:val="00FA22CC"/>
    <w:rsid w:val="00FA3400"/>
    <w:rsid w:val="00FA4BA1"/>
    <w:rsid w:val="00FA4DE7"/>
    <w:rsid w:val="00FB010B"/>
    <w:rsid w:val="00FB05C9"/>
    <w:rsid w:val="00FB2788"/>
    <w:rsid w:val="00FC063E"/>
    <w:rsid w:val="00FC3BEB"/>
    <w:rsid w:val="00FD6E72"/>
    <w:rsid w:val="00FE40C0"/>
    <w:rsid w:val="00FE4CE3"/>
    <w:rsid w:val="00FE5CE3"/>
    <w:rsid w:val="00FF20DF"/>
    <w:rsid w:val="00FF49F7"/>
    <w:rsid w:val="00FF58EF"/>
    <w:rsid w:val="00FF5C01"/>
    <w:rsid w:val="00FF6D9C"/>
    <w:rsid w:val="00FF6EA2"/>
    <w:rsid w:val="00FF7321"/>
    <w:rsid w:val="00FF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CC619"/>
  <w15:docId w15:val="{C472F2AC-BBD9-4DC9-9914-C5EBE62B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33CD"/>
    <w:pPr>
      <w:spacing w:after="24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5247F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qFormat/>
    <w:rsid w:val="004D33CD"/>
    <w:pPr>
      <w:keepNext/>
      <w:spacing w:before="240" w:after="180" w:line="240" w:lineRule="auto"/>
      <w:outlineLvl w:val="1"/>
    </w:pPr>
    <w:rPr>
      <w:rFonts w:ascii="Arial" w:eastAsia="Times New Roman" w:hAnsi="Arial" w:cs="Times New Roman"/>
      <w:b/>
      <w:sz w:val="26"/>
      <w:szCs w:val="20"/>
    </w:rPr>
  </w:style>
  <w:style w:type="paragraph" w:styleId="Heading3">
    <w:name w:val="heading 3"/>
    <w:basedOn w:val="Normal"/>
    <w:next w:val="Normal"/>
    <w:link w:val="Heading3Char"/>
    <w:uiPriority w:val="9"/>
    <w:unhideWhenUsed/>
    <w:qFormat/>
    <w:rsid w:val="005247F9"/>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3CD"/>
    <w:rPr>
      <w:rFonts w:ascii="Arial" w:eastAsia="Times New Roman" w:hAnsi="Arial" w:cs="Times New Roman"/>
      <w:b/>
      <w:sz w:val="26"/>
      <w:szCs w:val="20"/>
    </w:rPr>
  </w:style>
  <w:style w:type="paragraph" w:styleId="Header">
    <w:name w:val="header"/>
    <w:link w:val="HeaderChar"/>
    <w:uiPriority w:val="99"/>
    <w:rsid w:val="004D33CD"/>
    <w:pPr>
      <w:tabs>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4D33CD"/>
    <w:rPr>
      <w:rFonts w:ascii="Times New Roman" w:eastAsia="Times New Roman" w:hAnsi="Times New Roman" w:cs="Times New Roman"/>
      <w:sz w:val="24"/>
      <w:szCs w:val="20"/>
    </w:rPr>
  </w:style>
  <w:style w:type="paragraph" w:styleId="Footer">
    <w:name w:val="footer"/>
    <w:link w:val="FooterChar"/>
    <w:uiPriority w:val="99"/>
    <w:rsid w:val="004D33CD"/>
    <w:pPr>
      <w:tabs>
        <w:tab w:val="center" w:pos="4320"/>
        <w:tab w:val="right" w:pos="8640"/>
      </w:tabs>
      <w:spacing w:after="0" w:line="240" w:lineRule="auto"/>
    </w:pPr>
    <w:rPr>
      <w:rFonts w:ascii="Arial" w:eastAsia="Times New Roman" w:hAnsi="Arial" w:cs="Times New Roman"/>
      <w:sz w:val="12"/>
      <w:szCs w:val="20"/>
    </w:rPr>
  </w:style>
  <w:style w:type="character" w:customStyle="1" w:styleId="FooterChar">
    <w:name w:val="Footer Char"/>
    <w:basedOn w:val="DefaultParagraphFont"/>
    <w:link w:val="Footer"/>
    <w:uiPriority w:val="99"/>
    <w:rsid w:val="004D33CD"/>
    <w:rPr>
      <w:rFonts w:ascii="Arial" w:eastAsia="Times New Roman" w:hAnsi="Arial" w:cs="Times New Roman"/>
      <w:sz w:val="12"/>
      <w:szCs w:val="20"/>
    </w:rPr>
  </w:style>
  <w:style w:type="character" w:styleId="PageNumber">
    <w:name w:val="page number"/>
    <w:basedOn w:val="DefaultParagraphFont"/>
    <w:semiHidden/>
    <w:rsid w:val="004D33CD"/>
  </w:style>
  <w:style w:type="character" w:styleId="FootnoteReference">
    <w:name w:val="footnote reference"/>
    <w:basedOn w:val="DefaultParagraphFont"/>
    <w:semiHidden/>
    <w:rsid w:val="004D33CD"/>
    <w:rPr>
      <w:vertAlign w:val="superscript"/>
    </w:rPr>
  </w:style>
  <w:style w:type="paragraph" w:styleId="FootnoteText">
    <w:name w:val="footnote text"/>
    <w:link w:val="FootnoteTextChar"/>
    <w:semiHidden/>
    <w:rsid w:val="004D33CD"/>
    <w:pPr>
      <w:tabs>
        <w:tab w:val="left" w:pos="288"/>
      </w:tabs>
      <w:spacing w:after="80" w:line="240" w:lineRule="auto"/>
      <w:ind w:left="288" w:hanging="288"/>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D33CD"/>
    <w:rPr>
      <w:rFonts w:ascii="Times New Roman" w:eastAsia="Times New Roman" w:hAnsi="Times New Roman" w:cs="Times New Roman"/>
      <w:sz w:val="20"/>
      <w:szCs w:val="20"/>
    </w:rPr>
  </w:style>
  <w:style w:type="paragraph" w:customStyle="1" w:styleId="Normal1">
    <w:name w:val="Normal1"/>
    <w:semiHidden/>
    <w:rsid w:val="004D33CD"/>
    <w:pPr>
      <w:tabs>
        <w:tab w:val="left" w:pos="1170"/>
      </w:tabs>
      <w:spacing w:after="0" w:line="36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4D33CD"/>
    <w:pPr>
      <w:ind w:left="720"/>
      <w:contextualSpacing/>
    </w:pPr>
  </w:style>
  <w:style w:type="character" w:styleId="Hyperlink">
    <w:name w:val="Hyperlink"/>
    <w:basedOn w:val="DefaultParagraphFont"/>
    <w:uiPriority w:val="99"/>
    <w:unhideWhenUsed/>
    <w:rsid w:val="00076029"/>
    <w:rPr>
      <w:color w:val="0000FF" w:themeColor="hyperlink"/>
      <w:u w:val="single"/>
    </w:rPr>
  </w:style>
  <w:style w:type="paragraph" w:styleId="PlainText">
    <w:name w:val="Plain Text"/>
    <w:basedOn w:val="Normal"/>
    <w:link w:val="PlainTextChar"/>
    <w:uiPriority w:val="99"/>
    <w:unhideWhenUsed/>
    <w:rsid w:val="00FA4BA1"/>
    <w:pPr>
      <w:spacing w:after="0"/>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A4BA1"/>
    <w:rPr>
      <w:rFonts w:ascii="Consolas" w:eastAsia="Calibri" w:hAnsi="Consolas" w:cs="Consolas"/>
      <w:sz w:val="21"/>
      <w:szCs w:val="21"/>
    </w:rPr>
  </w:style>
  <w:style w:type="character" w:customStyle="1" w:styleId="A4">
    <w:name w:val="A4"/>
    <w:uiPriority w:val="99"/>
    <w:rsid w:val="0064430F"/>
    <w:rPr>
      <w:rFonts w:cs="Adobe Garamond Pro"/>
      <w:color w:val="000000"/>
      <w:sz w:val="14"/>
      <w:szCs w:val="14"/>
    </w:rPr>
  </w:style>
  <w:style w:type="character" w:customStyle="1" w:styleId="A7">
    <w:name w:val="A7"/>
    <w:uiPriority w:val="99"/>
    <w:rsid w:val="0064430F"/>
    <w:rPr>
      <w:rFonts w:cs="Adobe Garamond Pro"/>
      <w:color w:val="000000"/>
      <w:sz w:val="14"/>
      <w:szCs w:val="14"/>
    </w:rPr>
  </w:style>
  <w:style w:type="paragraph" w:customStyle="1" w:styleId="Pa3">
    <w:name w:val="Pa3"/>
    <w:basedOn w:val="Normal"/>
    <w:next w:val="Normal"/>
    <w:uiPriority w:val="99"/>
    <w:rsid w:val="0013753D"/>
    <w:pPr>
      <w:autoSpaceDE w:val="0"/>
      <w:autoSpaceDN w:val="0"/>
      <w:adjustRightInd w:val="0"/>
      <w:spacing w:after="0" w:line="191" w:lineRule="atLeast"/>
    </w:pPr>
    <w:rPr>
      <w:rFonts w:ascii="Adobe Garamond Pro" w:eastAsiaTheme="minorHAnsi" w:hAnsi="Adobe Garamond Pro" w:cstheme="minorBidi"/>
      <w:szCs w:val="24"/>
    </w:rPr>
  </w:style>
  <w:style w:type="character" w:styleId="CommentReference">
    <w:name w:val="annotation reference"/>
    <w:basedOn w:val="DefaultParagraphFont"/>
    <w:uiPriority w:val="99"/>
    <w:semiHidden/>
    <w:unhideWhenUsed/>
    <w:rsid w:val="006C1193"/>
    <w:rPr>
      <w:sz w:val="16"/>
      <w:szCs w:val="16"/>
    </w:rPr>
  </w:style>
  <w:style w:type="paragraph" w:styleId="CommentText">
    <w:name w:val="annotation text"/>
    <w:basedOn w:val="Normal"/>
    <w:link w:val="CommentTextChar"/>
    <w:uiPriority w:val="99"/>
    <w:semiHidden/>
    <w:unhideWhenUsed/>
    <w:rsid w:val="006C1193"/>
    <w:rPr>
      <w:sz w:val="20"/>
    </w:rPr>
  </w:style>
  <w:style w:type="character" w:customStyle="1" w:styleId="CommentTextChar">
    <w:name w:val="Comment Text Char"/>
    <w:basedOn w:val="DefaultParagraphFont"/>
    <w:link w:val="CommentText"/>
    <w:uiPriority w:val="99"/>
    <w:semiHidden/>
    <w:rsid w:val="006C11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C1193"/>
    <w:rPr>
      <w:b/>
      <w:bCs/>
    </w:rPr>
  </w:style>
  <w:style w:type="character" w:customStyle="1" w:styleId="CommentSubjectChar">
    <w:name w:val="Comment Subject Char"/>
    <w:basedOn w:val="CommentTextChar"/>
    <w:link w:val="CommentSubject"/>
    <w:uiPriority w:val="99"/>
    <w:semiHidden/>
    <w:rsid w:val="006C119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C11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193"/>
    <w:rPr>
      <w:rFonts w:ascii="Tahoma" w:eastAsia="Times New Roman" w:hAnsi="Tahoma" w:cs="Tahoma"/>
      <w:sz w:val="16"/>
      <w:szCs w:val="16"/>
    </w:rPr>
  </w:style>
  <w:style w:type="character" w:customStyle="1" w:styleId="Heading1Char">
    <w:name w:val="Heading 1 Char"/>
    <w:basedOn w:val="DefaultParagraphFont"/>
    <w:link w:val="Heading1"/>
    <w:uiPriority w:val="9"/>
    <w:rsid w:val="005247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247F9"/>
    <w:rPr>
      <w:rFonts w:asciiTheme="majorHAnsi" w:eastAsiaTheme="majorEastAsia" w:hAnsiTheme="majorHAnsi" w:cstheme="majorBidi"/>
      <w:b/>
      <w:bCs/>
      <w:color w:val="4F81BD" w:themeColor="accent1"/>
    </w:rPr>
  </w:style>
  <w:style w:type="table" w:styleId="TableGrid">
    <w:name w:val="Table Grid"/>
    <w:basedOn w:val="TableNormal"/>
    <w:uiPriority w:val="39"/>
    <w:rsid w:val="00524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92A76"/>
    <w:pPr>
      <w:spacing w:after="0"/>
      <w:jc w:val="center"/>
    </w:pPr>
    <w:rPr>
      <w:noProof/>
    </w:rPr>
  </w:style>
  <w:style w:type="character" w:customStyle="1" w:styleId="EndNoteBibliographyTitleChar">
    <w:name w:val="EndNote Bibliography Title Char"/>
    <w:basedOn w:val="DefaultParagraphFont"/>
    <w:link w:val="EndNoteBibliographyTitle"/>
    <w:rsid w:val="00192A76"/>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192A76"/>
    <w:rPr>
      <w:noProof/>
    </w:rPr>
  </w:style>
  <w:style w:type="character" w:customStyle="1" w:styleId="EndNoteBibliographyChar">
    <w:name w:val="EndNote Bibliography Char"/>
    <w:basedOn w:val="DefaultParagraphFont"/>
    <w:link w:val="EndNoteBibliography"/>
    <w:rsid w:val="00192A76"/>
    <w:rPr>
      <w:rFonts w:ascii="Times New Roman" w:eastAsia="Times New Roman" w:hAnsi="Times New Roman" w:cs="Times New Roman"/>
      <w:noProof/>
      <w:sz w:val="24"/>
      <w:szCs w:val="20"/>
    </w:rPr>
  </w:style>
  <w:style w:type="character" w:customStyle="1" w:styleId="UnresolvedMention1">
    <w:name w:val="Unresolved Mention1"/>
    <w:basedOn w:val="DefaultParagraphFont"/>
    <w:uiPriority w:val="99"/>
    <w:semiHidden/>
    <w:unhideWhenUsed/>
    <w:rsid w:val="00192A76"/>
    <w:rPr>
      <w:color w:val="605E5C"/>
      <w:shd w:val="clear" w:color="auto" w:fill="E1DFDD"/>
    </w:rPr>
  </w:style>
  <w:style w:type="numbering" w:customStyle="1" w:styleId="NoList1">
    <w:name w:val="No List1"/>
    <w:next w:val="NoList"/>
    <w:uiPriority w:val="99"/>
    <w:semiHidden/>
    <w:unhideWhenUsed/>
    <w:rsid w:val="003151E6"/>
  </w:style>
  <w:style w:type="numbering" w:customStyle="1" w:styleId="NoList2">
    <w:name w:val="No List2"/>
    <w:next w:val="NoList"/>
    <w:uiPriority w:val="99"/>
    <w:semiHidden/>
    <w:unhideWhenUsed/>
    <w:rsid w:val="004A2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2151">
      <w:bodyDiv w:val="1"/>
      <w:marLeft w:val="0"/>
      <w:marRight w:val="0"/>
      <w:marTop w:val="0"/>
      <w:marBottom w:val="0"/>
      <w:divBdr>
        <w:top w:val="none" w:sz="0" w:space="0" w:color="auto"/>
        <w:left w:val="none" w:sz="0" w:space="0" w:color="auto"/>
        <w:bottom w:val="none" w:sz="0" w:space="0" w:color="auto"/>
        <w:right w:val="none" w:sz="0" w:space="0" w:color="auto"/>
      </w:divBdr>
    </w:div>
    <w:div w:id="566383797">
      <w:bodyDiv w:val="1"/>
      <w:marLeft w:val="0"/>
      <w:marRight w:val="0"/>
      <w:marTop w:val="0"/>
      <w:marBottom w:val="0"/>
      <w:divBdr>
        <w:top w:val="none" w:sz="0" w:space="0" w:color="auto"/>
        <w:left w:val="none" w:sz="0" w:space="0" w:color="auto"/>
        <w:bottom w:val="none" w:sz="0" w:space="0" w:color="auto"/>
        <w:right w:val="none" w:sz="0" w:space="0" w:color="auto"/>
      </w:divBdr>
    </w:div>
    <w:div w:id="603617262">
      <w:bodyDiv w:val="1"/>
      <w:marLeft w:val="0"/>
      <w:marRight w:val="0"/>
      <w:marTop w:val="0"/>
      <w:marBottom w:val="0"/>
      <w:divBdr>
        <w:top w:val="none" w:sz="0" w:space="0" w:color="auto"/>
        <w:left w:val="none" w:sz="0" w:space="0" w:color="auto"/>
        <w:bottom w:val="none" w:sz="0" w:space="0" w:color="auto"/>
        <w:right w:val="none" w:sz="0" w:space="0" w:color="auto"/>
      </w:divBdr>
    </w:div>
    <w:div w:id="639308525">
      <w:bodyDiv w:val="1"/>
      <w:marLeft w:val="0"/>
      <w:marRight w:val="0"/>
      <w:marTop w:val="0"/>
      <w:marBottom w:val="0"/>
      <w:divBdr>
        <w:top w:val="none" w:sz="0" w:space="0" w:color="auto"/>
        <w:left w:val="none" w:sz="0" w:space="0" w:color="auto"/>
        <w:bottom w:val="none" w:sz="0" w:space="0" w:color="auto"/>
        <w:right w:val="none" w:sz="0" w:space="0" w:color="auto"/>
      </w:divBdr>
    </w:div>
    <w:div w:id="734083001">
      <w:bodyDiv w:val="1"/>
      <w:marLeft w:val="0"/>
      <w:marRight w:val="0"/>
      <w:marTop w:val="0"/>
      <w:marBottom w:val="0"/>
      <w:divBdr>
        <w:top w:val="none" w:sz="0" w:space="0" w:color="auto"/>
        <w:left w:val="none" w:sz="0" w:space="0" w:color="auto"/>
        <w:bottom w:val="none" w:sz="0" w:space="0" w:color="auto"/>
        <w:right w:val="none" w:sz="0" w:space="0" w:color="auto"/>
      </w:divBdr>
    </w:div>
    <w:div w:id="830413875">
      <w:bodyDiv w:val="1"/>
      <w:marLeft w:val="0"/>
      <w:marRight w:val="0"/>
      <w:marTop w:val="0"/>
      <w:marBottom w:val="0"/>
      <w:divBdr>
        <w:top w:val="none" w:sz="0" w:space="0" w:color="auto"/>
        <w:left w:val="none" w:sz="0" w:space="0" w:color="auto"/>
        <w:bottom w:val="none" w:sz="0" w:space="0" w:color="auto"/>
        <w:right w:val="none" w:sz="0" w:space="0" w:color="auto"/>
      </w:divBdr>
    </w:div>
    <w:div w:id="1167089019">
      <w:bodyDiv w:val="1"/>
      <w:marLeft w:val="0"/>
      <w:marRight w:val="0"/>
      <w:marTop w:val="0"/>
      <w:marBottom w:val="0"/>
      <w:divBdr>
        <w:top w:val="none" w:sz="0" w:space="0" w:color="auto"/>
        <w:left w:val="none" w:sz="0" w:space="0" w:color="auto"/>
        <w:bottom w:val="none" w:sz="0" w:space="0" w:color="auto"/>
        <w:right w:val="none" w:sz="0" w:space="0" w:color="auto"/>
      </w:divBdr>
    </w:div>
    <w:div w:id="1242521655">
      <w:bodyDiv w:val="1"/>
      <w:marLeft w:val="0"/>
      <w:marRight w:val="0"/>
      <w:marTop w:val="0"/>
      <w:marBottom w:val="0"/>
      <w:divBdr>
        <w:top w:val="none" w:sz="0" w:space="0" w:color="auto"/>
        <w:left w:val="none" w:sz="0" w:space="0" w:color="auto"/>
        <w:bottom w:val="none" w:sz="0" w:space="0" w:color="auto"/>
        <w:right w:val="none" w:sz="0" w:space="0" w:color="auto"/>
      </w:divBdr>
    </w:div>
    <w:div w:id="1282303605">
      <w:bodyDiv w:val="1"/>
      <w:marLeft w:val="0"/>
      <w:marRight w:val="0"/>
      <w:marTop w:val="0"/>
      <w:marBottom w:val="0"/>
      <w:divBdr>
        <w:top w:val="none" w:sz="0" w:space="0" w:color="auto"/>
        <w:left w:val="none" w:sz="0" w:space="0" w:color="auto"/>
        <w:bottom w:val="none" w:sz="0" w:space="0" w:color="auto"/>
        <w:right w:val="none" w:sz="0" w:space="0" w:color="auto"/>
      </w:divBdr>
    </w:div>
    <w:div w:id="1402560229">
      <w:bodyDiv w:val="1"/>
      <w:marLeft w:val="0"/>
      <w:marRight w:val="0"/>
      <w:marTop w:val="0"/>
      <w:marBottom w:val="0"/>
      <w:divBdr>
        <w:top w:val="none" w:sz="0" w:space="0" w:color="auto"/>
        <w:left w:val="none" w:sz="0" w:space="0" w:color="auto"/>
        <w:bottom w:val="none" w:sz="0" w:space="0" w:color="auto"/>
        <w:right w:val="none" w:sz="0" w:space="0" w:color="auto"/>
      </w:divBdr>
    </w:div>
    <w:div w:id="1947497757">
      <w:bodyDiv w:val="1"/>
      <w:marLeft w:val="0"/>
      <w:marRight w:val="0"/>
      <w:marTop w:val="0"/>
      <w:marBottom w:val="0"/>
      <w:divBdr>
        <w:top w:val="none" w:sz="0" w:space="0" w:color="auto"/>
        <w:left w:val="none" w:sz="0" w:space="0" w:color="auto"/>
        <w:bottom w:val="none" w:sz="0" w:space="0" w:color="auto"/>
        <w:right w:val="none" w:sz="0" w:space="0" w:color="auto"/>
      </w:divBdr>
    </w:div>
    <w:div w:id="1991397355">
      <w:bodyDiv w:val="1"/>
      <w:marLeft w:val="0"/>
      <w:marRight w:val="0"/>
      <w:marTop w:val="0"/>
      <w:marBottom w:val="0"/>
      <w:divBdr>
        <w:top w:val="none" w:sz="0" w:space="0" w:color="auto"/>
        <w:left w:val="none" w:sz="0" w:space="0" w:color="auto"/>
        <w:bottom w:val="none" w:sz="0" w:space="0" w:color="auto"/>
        <w:right w:val="none" w:sz="0" w:space="0" w:color="auto"/>
      </w:divBdr>
    </w:div>
    <w:div w:id="2018382201">
      <w:bodyDiv w:val="1"/>
      <w:marLeft w:val="0"/>
      <w:marRight w:val="0"/>
      <w:marTop w:val="0"/>
      <w:marBottom w:val="0"/>
      <w:divBdr>
        <w:top w:val="none" w:sz="0" w:space="0" w:color="auto"/>
        <w:left w:val="none" w:sz="0" w:space="0" w:color="auto"/>
        <w:bottom w:val="none" w:sz="0" w:space="0" w:color="auto"/>
        <w:right w:val="none" w:sz="0" w:space="0" w:color="auto"/>
      </w:divBdr>
    </w:div>
    <w:div w:id="205287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ista.cira.colostate.edu/Improv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epa.gov/aq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pa.gov/naaq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sources.cisnet.cancer.gov/project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2FD46-4103-4B98-9B65-671DC89A9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22624</Words>
  <Characters>128962</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Exponent</Company>
  <LinksUpToDate>false</LinksUpToDate>
  <CharactersWithSpaces>151284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Chang</dc:creator>
  <cp:lastModifiedBy>Hearn, Francesca</cp:lastModifiedBy>
  <cp:revision>2</cp:revision>
  <cp:lastPrinted>2019-01-20T19:47:00Z</cp:lastPrinted>
  <dcterms:created xsi:type="dcterms:W3CDTF">2020-02-13T15:44:00Z</dcterms:created>
  <dcterms:modified xsi:type="dcterms:W3CDTF">2020-02-13T15:44:00Z</dcterms:modified>
</cp:coreProperties>
</file>