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CE" w:rsidRPr="00577CC9" w:rsidRDefault="00134D2D" w:rsidP="00CD1B21">
      <w:pPr>
        <w:jc w:val="center"/>
        <w:rPr>
          <w:rFonts w:ascii="Times New Roman" w:eastAsia="新細明體" w:hAnsi="Times New Roman" w:cs="Times New Roman"/>
          <w:kern w:val="0"/>
          <w:sz w:val="44"/>
          <w:szCs w:val="20"/>
          <w:lang w:eastAsia="en-US"/>
        </w:rPr>
      </w:pPr>
      <w:r>
        <w:rPr>
          <w:rFonts w:ascii="Times New Roman" w:eastAsia="新細明體" w:hAnsi="Times New Roman" w:cs="Times New Roman"/>
          <w:kern w:val="0"/>
          <w:sz w:val="44"/>
          <w:szCs w:val="20"/>
          <w:lang w:eastAsia="en-US"/>
        </w:rPr>
        <w:t>Supplementary Data</w:t>
      </w:r>
    </w:p>
    <w:p w:rsidR="00134D2D" w:rsidRDefault="00134D2D" w:rsidP="00134D2D">
      <w:pPr>
        <w:widowControl/>
        <w:spacing w:line="360" w:lineRule="auto"/>
        <w:rPr>
          <w:rFonts w:ascii="Times New Roman" w:eastAsia="新細明體" w:hAnsi="Times New Roman" w:cs="Times New Roman"/>
          <w:b/>
          <w:kern w:val="0"/>
          <w:sz w:val="28"/>
          <w:szCs w:val="28"/>
          <w:lang w:eastAsia="en-US"/>
        </w:rPr>
      </w:pPr>
    </w:p>
    <w:p w:rsidR="00134D2D" w:rsidRPr="00134D2D" w:rsidRDefault="00134D2D" w:rsidP="00134D2D">
      <w:pPr>
        <w:widowControl/>
        <w:spacing w:line="360" w:lineRule="auto"/>
        <w:rPr>
          <w:rFonts w:ascii="Times New Roman" w:eastAsia="新細明體" w:hAnsi="Times New Roman" w:cs="Times New Roman"/>
          <w:b/>
          <w:kern w:val="0"/>
          <w:sz w:val="28"/>
          <w:szCs w:val="28"/>
          <w:lang w:eastAsia="en-US"/>
        </w:rPr>
      </w:pPr>
      <w:r w:rsidRPr="00134D2D">
        <w:rPr>
          <w:rFonts w:ascii="Times New Roman" w:eastAsia="新細明體" w:hAnsi="Times New Roman" w:cs="Times New Roman"/>
          <w:b/>
          <w:kern w:val="0"/>
          <w:sz w:val="28"/>
          <w:szCs w:val="28"/>
          <w:lang w:eastAsia="en-US"/>
        </w:rPr>
        <w:t>Comprehending adsorption of methylethylketone and toluene and microwave regeneration effectiveness for beaded activated carbon derived from recycled waste bamboo tar</w:t>
      </w: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134D2D">
        <w:rPr>
          <w:rFonts w:ascii="Times New Roman" w:eastAsia="新細明體" w:hAnsi="Times New Roman" w:cs="Times New Roman"/>
          <w:kern w:val="0"/>
          <w:szCs w:val="24"/>
          <w:lang w:eastAsia="en-US"/>
        </w:rPr>
        <w:t>Yu-Ting Chen</w:t>
      </w: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134D2D">
        <w:rPr>
          <w:rFonts w:ascii="Times New Roman" w:eastAsia="新細明體" w:hAnsi="Times New Roman" w:cs="Times New Roman"/>
          <w:kern w:val="0"/>
          <w:szCs w:val="24"/>
          <w:lang w:eastAsia="en-US"/>
        </w:rPr>
        <w:t>Graduate Institute of Environmental Engineering, National Taiwan University, No. 1, Sec. 4, Roosevelt Rd., Da'an Dist., Taipei 106, Taiwan</w:t>
      </w: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134D2D">
        <w:rPr>
          <w:rFonts w:ascii="Times New Roman" w:eastAsia="新細明體" w:hAnsi="Times New Roman" w:cs="Times New Roman"/>
          <w:kern w:val="0"/>
          <w:szCs w:val="24"/>
          <w:lang w:eastAsia="en-US"/>
        </w:rPr>
        <w:t>Ying-Pin Huang</w:t>
      </w:r>
    </w:p>
    <w:p w:rsidR="00134D2D" w:rsidRPr="00134D2D" w:rsidRDefault="00C377F4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333C6A">
        <w:rPr>
          <w:rFonts w:ascii="Times New Roman" w:eastAsia="新細明體" w:hAnsi="Times New Roman" w:cs="Times New Roman"/>
          <w:bCs/>
        </w:rPr>
        <w:t>Central Region Campus,</w:t>
      </w:r>
      <w:r w:rsidR="00134D2D" w:rsidRPr="00134D2D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 Industrial Technology Research Institute, No. 8, Gongyan Rd., Liujia Dist., Tainan 734, Taiwan</w:t>
      </w:r>
    </w:p>
    <w:p w:rsid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</w:p>
    <w:p w:rsidR="00D164BC" w:rsidRPr="00D164BC" w:rsidRDefault="00D164BC" w:rsidP="00292F13">
      <w:pPr>
        <w:rPr>
          <w:rFonts w:ascii="Times New Roman" w:hAnsi="Times New Roman" w:cs="Times New Roman"/>
        </w:rPr>
      </w:pPr>
      <w:r w:rsidRPr="00D164BC">
        <w:rPr>
          <w:rFonts w:ascii="Times New Roman" w:hAnsi="Times New Roman" w:cs="Times New Roman"/>
        </w:rPr>
        <w:t xml:space="preserve">Can Wang </w:t>
      </w:r>
      <w:r w:rsidRPr="00D164BC">
        <w:rPr>
          <w:rFonts w:ascii="Times New Roman" w:hAnsi="Times New Roman" w:cs="Times New Roman"/>
          <w:vertAlign w:val="superscript"/>
        </w:rPr>
        <w:t>a,b</w:t>
      </w:r>
    </w:p>
    <w:p w:rsidR="00D164BC" w:rsidRPr="00D164BC" w:rsidRDefault="00D164BC" w:rsidP="00292F13">
      <w:pPr>
        <w:rPr>
          <w:rFonts w:ascii="Times New Roman" w:hAnsi="Times New Roman" w:cs="Times New Roman"/>
        </w:rPr>
      </w:pPr>
      <w:r w:rsidRPr="00D164BC">
        <w:rPr>
          <w:rFonts w:ascii="Times New Roman" w:hAnsi="Times New Roman" w:cs="Times New Roman"/>
          <w:vertAlign w:val="superscript"/>
        </w:rPr>
        <w:t>a</w:t>
      </w:r>
      <w:r w:rsidRPr="00D164BC">
        <w:rPr>
          <w:rFonts w:ascii="Times New Roman" w:hAnsi="Times New Roman" w:cs="Times New Roman"/>
        </w:rPr>
        <w:t xml:space="preserve"> School of Environmental Science and Engineering, Tianjin University, Tianjin 300072, China</w:t>
      </w:r>
    </w:p>
    <w:p w:rsidR="00D164BC" w:rsidRPr="00D164BC" w:rsidRDefault="00D164BC" w:rsidP="00292F13">
      <w:pPr>
        <w:rPr>
          <w:rFonts w:ascii="Times New Roman" w:hAnsi="Times New Roman" w:cs="Times New Roman"/>
        </w:rPr>
      </w:pPr>
      <w:r w:rsidRPr="00D164BC">
        <w:rPr>
          <w:rFonts w:ascii="Times New Roman" w:hAnsi="Times New Roman" w:cs="Times New Roman"/>
          <w:vertAlign w:val="superscript"/>
        </w:rPr>
        <w:t>b</w:t>
      </w:r>
      <w:r w:rsidRPr="00D164BC">
        <w:rPr>
          <w:rFonts w:ascii="Times New Roman" w:hAnsi="Times New Roman" w:cs="Times New Roman"/>
        </w:rPr>
        <w:t xml:space="preserve"> Tianjin Key Lab of Indoor Air Environmental Quality Control, Tianjin 300072, </w:t>
      </w:r>
      <w:bookmarkStart w:id="0" w:name="_GoBack"/>
      <w:bookmarkEnd w:id="0"/>
      <w:r w:rsidRPr="00D164BC">
        <w:rPr>
          <w:rFonts w:ascii="Times New Roman" w:hAnsi="Times New Roman" w:cs="Times New Roman"/>
        </w:rPr>
        <w:t>China</w:t>
      </w:r>
    </w:p>
    <w:p w:rsidR="00D164BC" w:rsidRPr="00D164BC" w:rsidRDefault="00D164BC" w:rsidP="00292F13">
      <w:pPr>
        <w:rPr>
          <w:rFonts w:ascii="Times New Roman" w:hAnsi="Times New Roman" w:cs="Times New Roman"/>
        </w:rPr>
      </w:pPr>
    </w:p>
    <w:p w:rsidR="00292F13" w:rsidRPr="00292F13" w:rsidRDefault="00292F13" w:rsidP="00292F13">
      <w:pPr>
        <w:rPr>
          <w:rFonts w:ascii="Times New Roman" w:hAnsi="Times New Roman" w:cs="Times New Roman"/>
        </w:rPr>
      </w:pPr>
      <w:r w:rsidRPr="00292F13">
        <w:rPr>
          <w:rFonts w:ascii="Times New Roman" w:hAnsi="Times New Roman" w:cs="Times New Roman"/>
        </w:rPr>
        <w:t xml:space="preserve">Ji-Guang Deng </w:t>
      </w:r>
    </w:p>
    <w:p w:rsidR="00292F13" w:rsidRPr="00292F13" w:rsidRDefault="00292F13" w:rsidP="00292F13">
      <w:pPr>
        <w:rPr>
          <w:rFonts w:ascii="Times New Roman" w:hAnsi="Times New Roman" w:cs="Times New Roman"/>
        </w:rPr>
      </w:pPr>
      <w:r w:rsidRPr="00292F13">
        <w:rPr>
          <w:rFonts w:ascii="Times New Roman" w:hAnsi="Times New Roman" w:cs="Times New Roman"/>
        </w:rPr>
        <w:t>College of Environmental and Energy Engineering, Beijing University of Technology, Beijing, 100124, China.</w:t>
      </w:r>
    </w:p>
    <w:p w:rsidR="00292F13" w:rsidRPr="00292F13" w:rsidRDefault="00292F13" w:rsidP="00292F13">
      <w:pPr>
        <w:rPr>
          <w:rFonts w:ascii="Times New Roman" w:hAnsi="Times New Roman" w:cs="Times New Roman"/>
        </w:rPr>
      </w:pP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134D2D">
        <w:rPr>
          <w:rFonts w:ascii="Times New Roman" w:eastAsia="新細明體" w:hAnsi="Times New Roman" w:cs="Times New Roman"/>
          <w:kern w:val="0"/>
          <w:szCs w:val="24"/>
          <w:lang w:eastAsia="en-US"/>
        </w:rPr>
        <w:t>Hsing-Cheng Hsi*</w:t>
      </w:r>
    </w:p>
    <w:p w:rsidR="00134D2D" w:rsidRPr="00134D2D" w:rsidRDefault="00134D2D" w:rsidP="00292F13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134D2D">
        <w:rPr>
          <w:rFonts w:ascii="Times New Roman" w:eastAsia="新細明體" w:hAnsi="Times New Roman" w:cs="Times New Roman"/>
          <w:kern w:val="0"/>
          <w:szCs w:val="24"/>
          <w:lang w:eastAsia="en-US"/>
        </w:rPr>
        <w:t>Graduate Institute of Environmental Engineering, National Taiwan University, No. 1, Sec. 4, Roosevelt Rd., Da'an Dist., Taipei 106, Taiwan</w:t>
      </w:r>
    </w:p>
    <w:p w:rsidR="00134D2D" w:rsidRPr="00134D2D" w:rsidRDefault="00134D2D" w:rsidP="00D164BC">
      <w:pPr>
        <w:widowControl/>
        <w:rPr>
          <w:rFonts w:ascii="Times New Roman" w:eastAsia="新細明體" w:hAnsi="Times New Roman" w:cs="Times New Roman"/>
          <w:kern w:val="0"/>
          <w:szCs w:val="24"/>
          <w:lang w:eastAsia="en-US"/>
        </w:rPr>
      </w:pPr>
    </w:p>
    <w:p w:rsidR="00134D2D" w:rsidRPr="00134D2D" w:rsidRDefault="00134D2D" w:rsidP="00D164B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4D2D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134D2D">
        <w:rPr>
          <w:rFonts w:ascii="Times New Roman" w:eastAsia="新細明體" w:hAnsi="Times New Roman" w:cs="Times New Roman"/>
          <w:kern w:val="0"/>
          <w:szCs w:val="24"/>
        </w:rPr>
        <w:t>Correspondence author:</w:t>
      </w:r>
    </w:p>
    <w:p w:rsidR="00134D2D" w:rsidRPr="00134D2D" w:rsidRDefault="00134D2D" w:rsidP="00D164B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4D2D">
        <w:rPr>
          <w:rFonts w:ascii="Times New Roman" w:eastAsia="新細明體" w:hAnsi="Times New Roman" w:cs="Times New Roman"/>
          <w:kern w:val="0"/>
          <w:szCs w:val="24"/>
        </w:rPr>
        <w:t>Tel: +886 2 33664374; fax: +886 2 23928830.</w:t>
      </w:r>
    </w:p>
    <w:p w:rsidR="00134D2D" w:rsidRPr="00134D2D" w:rsidRDefault="00134D2D" w:rsidP="00D164B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4D2D">
        <w:rPr>
          <w:rFonts w:ascii="Times New Roman" w:eastAsia="新細明體" w:hAnsi="Times New Roman" w:cs="Times New Roman"/>
          <w:kern w:val="0"/>
          <w:szCs w:val="24"/>
        </w:rPr>
        <w:t>E-mail address: hchsi@ntu.edu.tw (H.-C. Hsi)</w:t>
      </w:r>
    </w:p>
    <w:p w:rsidR="00134D2D" w:rsidRPr="00134D2D" w:rsidRDefault="00134D2D" w:rsidP="00D164B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4D2D">
        <w:rPr>
          <w:rFonts w:ascii="Times New Roman" w:eastAsia="新細明體" w:hAnsi="Times New Roman" w:cs="Times New Roman"/>
          <w:kern w:val="0"/>
          <w:szCs w:val="24"/>
        </w:rPr>
        <w:t>Graduate Institute of Environmental Engineering, National Taiwan University</w:t>
      </w:r>
    </w:p>
    <w:p w:rsidR="00577CC9" w:rsidRPr="00577CC9" w:rsidRDefault="00134D2D" w:rsidP="00D164BC">
      <w:pPr>
        <w:widowControl/>
        <w:rPr>
          <w:rFonts w:ascii="Times" w:eastAsia="新細明體" w:hAnsi="Times" w:cs="Times New Roman"/>
          <w:kern w:val="0"/>
          <w:szCs w:val="20"/>
          <w:lang w:eastAsia="en-US"/>
        </w:rPr>
      </w:pPr>
      <w:r w:rsidRPr="00134D2D">
        <w:rPr>
          <w:rFonts w:ascii="Times New Roman" w:eastAsia="新細明體" w:hAnsi="Times New Roman" w:cs="Times New Roman"/>
          <w:kern w:val="0"/>
          <w:szCs w:val="24"/>
        </w:rPr>
        <w:t>No. 1, Sec. 4, Roosevelt Rd., Da’an Dist., Taipei 106, Taiwan</w:t>
      </w:r>
    </w:p>
    <w:p w:rsidR="00ED66CE" w:rsidRPr="00577CC9" w:rsidRDefault="00ED66CE" w:rsidP="00CD1B21">
      <w:pPr>
        <w:widowControl/>
        <w:jc w:val="center"/>
        <w:rPr>
          <w:rFonts w:ascii="Times New Roman" w:hAnsi="Times New Roman" w:cs="Times New Roman"/>
          <w:b/>
        </w:rPr>
        <w:sectPr w:rsidR="00ED66CE" w:rsidRPr="00577CC9" w:rsidSect="00CD1B2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D66CE" w:rsidRDefault="00ED66CE" w:rsidP="00CD1B21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8531860" cy="376174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t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CE" w:rsidRDefault="00ED66CE" w:rsidP="00CD1B21">
      <w:pPr>
        <w:widowControl/>
        <w:rPr>
          <w:rFonts w:ascii="Times New Roman" w:hAnsi="Times New Roman" w:cs="Times New Roman"/>
        </w:rPr>
        <w:sectPr w:rsidR="00ED66CE" w:rsidSect="00D164BC">
          <w:pgSz w:w="16838" w:h="11906" w:orient="landscape"/>
          <w:pgMar w:top="1701" w:right="1701" w:bottom="1701" w:left="1701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b/>
        </w:rPr>
        <w:t>Fig</w:t>
      </w:r>
      <w:r w:rsidR="00E85C7C">
        <w:rPr>
          <w:rFonts w:ascii="Times New Roman" w:hAnsi="Times New Roman" w:cs="Times New Roman"/>
          <w:b/>
        </w:rPr>
        <w:t>ure</w:t>
      </w:r>
      <w:r>
        <w:rPr>
          <w:rFonts w:ascii="Times New Roman" w:hAnsi="Times New Roman" w:cs="Times New Roman"/>
          <w:b/>
        </w:rPr>
        <w:t xml:space="preserve"> S1. </w:t>
      </w:r>
      <w:r w:rsidRPr="009B0F02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>s</w:t>
      </w:r>
      <w:r w:rsidRPr="009B0F02">
        <w:rPr>
          <w:rFonts w:ascii="Times New Roman" w:hAnsi="Times New Roman" w:cs="Times New Roman"/>
        </w:rPr>
        <w:t xml:space="preserve"> between (a) BET specific surface area</w:t>
      </w:r>
      <w:r>
        <w:rPr>
          <w:rFonts w:ascii="Times New Roman" w:hAnsi="Times New Roman" w:cs="Times New Roman"/>
        </w:rPr>
        <w:t xml:space="preserve"> and </w:t>
      </w:r>
      <w:r w:rsidRPr="009B0F02">
        <w:rPr>
          <w:rFonts w:ascii="Times New Roman" w:hAnsi="Times New Roman" w:cs="Times New Roman"/>
        </w:rPr>
        <w:t>(b) pore volume and adsorption capac</w:t>
      </w:r>
      <w:r>
        <w:rPr>
          <w:rFonts w:ascii="Times New Roman" w:hAnsi="Times New Roman" w:cs="Times New Roman"/>
        </w:rPr>
        <w:t>ities.</w:t>
      </w:r>
      <w:r w:rsidRPr="009B0F02"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2027"/>
        <w:gridCol w:w="2273"/>
        <w:gridCol w:w="903"/>
        <w:gridCol w:w="1480"/>
        <w:gridCol w:w="906"/>
      </w:tblGrid>
      <w:tr w:rsidR="000435D1" w:rsidRPr="0095065E" w:rsidTr="00CD1B21">
        <w:tc>
          <w:tcPr>
            <w:tcW w:w="5000" w:type="pct"/>
            <w:gridSpan w:val="6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spacing w:line="360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b/>
                <w:sz w:val="24"/>
                <w:szCs w:val="24"/>
              </w:rPr>
              <w:lastRenderedPageBreak/>
              <w:t>Table S</w:t>
            </w:r>
            <w:r>
              <w:rPr>
                <w:b/>
                <w:sz w:val="24"/>
                <w:szCs w:val="24"/>
              </w:rPr>
              <w:t>1</w:t>
            </w:r>
            <w:r w:rsidRPr="0095065E">
              <w:rPr>
                <w:b/>
                <w:sz w:val="24"/>
                <w:szCs w:val="24"/>
              </w:rPr>
              <w:t>.</w:t>
            </w:r>
            <w:r w:rsidRPr="00950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Langmuir </w:t>
            </w:r>
            <w:r w:rsidRPr="0095065E">
              <w:rPr>
                <w:sz w:val="24"/>
                <w:szCs w:val="24"/>
              </w:rPr>
              <w:t>parameters for MEK and toluene adsorption onto bamboo-tar-derived and commercial BAC.</w:t>
            </w:r>
          </w:p>
        </w:tc>
      </w:tr>
      <w:tr w:rsidR="000435D1" w:rsidRPr="0095065E" w:rsidTr="00CD1B21">
        <w:tc>
          <w:tcPr>
            <w:tcW w:w="5000" w:type="pct"/>
            <w:gridSpan w:val="6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L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angmuir parameter</w:t>
            </w:r>
          </w:p>
        </w:tc>
      </w:tr>
      <w:tr w:rsidR="000435D1" w:rsidRPr="0095065E" w:rsidTr="00CD1B21"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A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dsorbate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A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dsorbent</w:t>
            </w:r>
          </w:p>
        </w:tc>
        <w:tc>
          <w:tcPr>
            <w:tcW w:w="1259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T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emperature (°C)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R</w:t>
            </w:r>
            <w:r w:rsidRPr="0095065E">
              <w:rPr>
                <w:rFonts w:eastAsia="標楷體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jc w:val="left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q</w:t>
            </w:r>
            <w:r w:rsidRPr="0095065E">
              <w:rPr>
                <w:rFonts w:eastAsia="標楷體"/>
                <w:kern w:val="2"/>
                <w:sz w:val="24"/>
                <w:szCs w:val="24"/>
                <w:vertAlign w:val="subscript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 xml:space="preserve"> (mg g</w:t>
            </w:r>
            <w:r w:rsidRPr="0095065E">
              <w:rPr>
                <w:rFonts w:eastAsia="標楷體"/>
                <w:kern w:val="2"/>
                <w:sz w:val="24"/>
                <w:szCs w:val="24"/>
                <w:vertAlign w:val="superscript"/>
              </w:rPr>
              <w:t>-1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502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b</w:t>
            </w:r>
          </w:p>
        </w:tc>
      </w:tr>
      <w:tr w:rsidR="000435D1" w:rsidRPr="0095065E" w:rsidTr="00CD1B21">
        <w:tc>
          <w:tcPr>
            <w:tcW w:w="796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MEK</w:t>
            </w:r>
          </w:p>
        </w:tc>
        <w:tc>
          <w:tcPr>
            <w:tcW w:w="1123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BAC-T900-t3</w:t>
            </w:r>
          </w:p>
        </w:tc>
        <w:tc>
          <w:tcPr>
            <w:tcW w:w="1259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08.6</w:t>
            </w:r>
          </w:p>
        </w:tc>
        <w:tc>
          <w:tcPr>
            <w:tcW w:w="502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24.8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.997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60.0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46.9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.997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22.2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80.2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BAC-T900-t4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83.8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14.3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.998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21.3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29.1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.986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57.0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48.9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K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73.5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83.1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61.3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82.9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.998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33.9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75.9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T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OL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BAC-T900-t3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.997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71.8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24.4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.998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43.1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86.6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.993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97.2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33.4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BAC-T900-t4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52.2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39.4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.998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01.7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1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88.0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.995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63.1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06.0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KBAC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12.3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76.5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98.3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17.5</w:t>
            </w:r>
          </w:p>
        </w:tc>
      </w:tr>
      <w:tr w:rsidR="000435D1" w:rsidRPr="0095065E" w:rsidTr="00CD1B21">
        <w:tc>
          <w:tcPr>
            <w:tcW w:w="796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.999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87.2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72.1</w:t>
            </w:r>
          </w:p>
        </w:tc>
      </w:tr>
    </w:tbl>
    <w:p w:rsidR="000435D1" w:rsidRDefault="000435D1" w:rsidP="000435D1">
      <w:pPr>
        <w:widowControl/>
        <w:rPr>
          <w:rFonts w:ascii="Times New Roman" w:hAnsi="Times New Roman" w:cs="Times New Roman"/>
          <w:b/>
        </w:rPr>
      </w:pPr>
    </w:p>
    <w:p w:rsidR="000435D1" w:rsidRDefault="000435D1" w:rsidP="000435D1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2027"/>
        <w:gridCol w:w="2273"/>
        <w:gridCol w:w="903"/>
        <w:gridCol w:w="1480"/>
        <w:gridCol w:w="906"/>
      </w:tblGrid>
      <w:tr w:rsidR="000435D1" w:rsidRPr="0095065E" w:rsidTr="00CD1B21">
        <w:tc>
          <w:tcPr>
            <w:tcW w:w="5000" w:type="pct"/>
            <w:gridSpan w:val="6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b/>
                <w:sz w:val="24"/>
                <w:szCs w:val="24"/>
              </w:rPr>
              <w:lastRenderedPageBreak/>
              <w:t>Table S</w:t>
            </w:r>
            <w:r>
              <w:rPr>
                <w:b/>
                <w:sz w:val="24"/>
                <w:szCs w:val="24"/>
              </w:rPr>
              <w:t>2</w:t>
            </w:r>
            <w:r w:rsidRPr="0095065E">
              <w:rPr>
                <w:b/>
                <w:sz w:val="24"/>
                <w:szCs w:val="24"/>
              </w:rPr>
              <w:t>.</w:t>
            </w:r>
            <w:r w:rsidRPr="00950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Freundlich</w:t>
            </w:r>
            <w:r w:rsidRPr="0095065E">
              <w:rPr>
                <w:sz w:val="24"/>
                <w:szCs w:val="24"/>
              </w:rPr>
              <w:t xml:space="preserve"> parameters for MEK and toluene adsorption onto bamboo-tar-derived and commercial BAC.</w:t>
            </w:r>
          </w:p>
        </w:tc>
      </w:tr>
      <w:tr w:rsidR="000435D1" w:rsidRPr="0095065E" w:rsidTr="00CD1B21">
        <w:tc>
          <w:tcPr>
            <w:tcW w:w="5000" w:type="pct"/>
            <w:gridSpan w:val="6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Freundlich parameter</w:t>
            </w:r>
          </w:p>
        </w:tc>
      </w:tr>
      <w:tr w:rsidR="000435D1" w:rsidRPr="0095065E" w:rsidTr="00CD1B21"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A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dsorbate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A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dsorbent</w:t>
            </w:r>
          </w:p>
        </w:tc>
        <w:tc>
          <w:tcPr>
            <w:tcW w:w="1259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T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emperature (°C)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R</w:t>
            </w:r>
            <w:r w:rsidRPr="0095065E">
              <w:rPr>
                <w:rFonts w:eastAsia="標楷體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i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i/>
                <w:kern w:val="2"/>
                <w:sz w:val="24"/>
                <w:szCs w:val="24"/>
              </w:rPr>
              <w:t>K</w:t>
            </w:r>
          </w:p>
        </w:tc>
        <w:tc>
          <w:tcPr>
            <w:tcW w:w="502" w:type="pct"/>
            <w:tcBorders>
              <w:top w:val="double" w:sz="4" w:space="0" w:color="auto"/>
              <w:bottom w:val="double" w:sz="4" w:space="0" w:color="auto"/>
            </w:tcBorders>
            <w:vAlign w:val="top"/>
          </w:tcPr>
          <w:p w:rsidR="000435D1" w:rsidRPr="0095065E" w:rsidRDefault="000435D1" w:rsidP="00CD1B21">
            <w:pPr>
              <w:spacing w:line="276" w:lineRule="auto"/>
              <w:rPr>
                <w:rFonts w:eastAsia="標楷體"/>
                <w:i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i/>
                <w:kern w:val="2"/>
                <w:sz w:val="24"/>
                <w:szCs w:val="24"/>
              </w:rPr>
              <w:t>n</w:t>
            </w:r>
            <w:r w:rsidRPr="0095065E">
              <w:rPr>
                <w:rFonts w:eastAsia="標楷體"/>
                <w:kern w:val="2"/>
                <w:sz w:val="24"/>
                <w:szCs w:val="24"/>
                <w:vertAlign w:val="subscript"/>
              </w:rPr>
              <w:t>F</w:t>
            </w:r>
          </w:p>
        </w:tc>
      </w:tr>
      <w:tr w:rsidR="000435D1" w:rsidRPr="0095065E" w:rsidTr="00CD1B21">
        <w:tc>
          <w:tcPr>
            <w:tcW w:w="796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MEK</w:t>
            </w:r>
          </w:p>
        </w:tc>
        <w:tc>
          <w:tcPr>
            <w:tcW w:w="1123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BAC-T900-t3</w:t>
            </w:r>
          </w:p>
        </w:tc>
        <w:tc>
          <w:tcPr>
            <w:tcW w:w="1259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.934</w:t>
            </w:r>
          </w:p>
        </w:tc>
        <w:tc>
          <w:tcPr>
            <w:tcW w:w="820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618.5</w:t>
            </w:r>
          </w:p>
        </w:tc>
        <w:tc>
          <w:tcPr>
            <w:tcW w:w="502" w:type="pct"/>
            <w:tcBorders>
              <w:top w:val="doub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4.57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.974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618.3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4.05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.976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696.3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3.39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BAC-T900-t4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.939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758.6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4.23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.981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762.5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3.67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.959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769.2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3.24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K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.915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502.9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7.28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.943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561.3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5.50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.916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650.2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4.18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T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OL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BAC-T900-t3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.971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537.9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8.89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.977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597.5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6.39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.942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567.6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6.20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S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BAC-T900-t4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.980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686.4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6.89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.978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693.9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6.04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.957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639.6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6.29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KBAC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.943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443.5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20.96</w:t>
            </w:r>
          </w:p>
        </w:tc>
      </w:tr>
      <w:tr w:rsidR="000435D1" w:rsidRPr="0095065E" w:rsidTr="00CD1B21">
        <w:tc>
          <w:tcPr>
            <w:tcW w:w="796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4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.951</w:t>
            </w:r>
          </w:p>
        </w:tc>
        <w:tc>
          <w:tcPr>
            <w:tcW w:w="820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446.5</w:t>
            </w:r>
          </w:p>
        </w:tc>
        <w:tc>
          <w:tcPr>
            <w:tcW w:w="502" w:type="pct"/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15.78</w:t>
            </w:r>
          </w:p>
        </w:tc>
      </w:tr>
      <w:tr w:rsidR="000435D1" w:rsidRPr="0095065E" w:rsidTr="00CD1B21">
        <w:tc>
          <w:tcPr>
            <w:tcW w:w="796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jc w:val="both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5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 w:hint="eastAsia"/>
                <w:kern w:val="2"/>
                <w:sz w:val="24"/>
                <w:szCs w:val="24"/>
              </w:rPr>
              <w:t>0</w:t>
            </w:r>
            <w:r w:rsidRPr="0095065E">
              <w:rPr>
                <w:rFonts w:eastAsia="標楷體"/>
                <w:kern w:val="2"/>
                <w:sz w:val="24"/>
                <w:szCs w:val="24"/>
              </w:rPr>
              <w:t>.964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468.1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top"/>
          </w:tcPr>
          <w:p w:rsidR="000435D1" w:rsidRPr="0095065E" w:rsidRDefault="000435D1" w:rsidP="00CD1B21">
            <w:pPr>
              <w:rPr>
                <w:rFonts w:eastAsia="標楷體"/>
                <w:kern w:val="2"/>
                <w:sz w:val="24"/>
                <w:szCs w:val="24"/>
              </w:rPr>
            </w:pPr>
            <w:r w:rsidRPr="0095065E">
              <w:rPr>
                <w:rFonts w:eastAsia="標楷體"/>
                <w:kern w:val="2"/>
                <w:sz w:val="24"/>
                <w:szCs w:val="24"/>
              </w:rPr>
              <w:t>11.44</w:t>
            </w:r>
          </w:p>
        </w:tc>
      </w:tr>
    </w:tbl>
    <w:p w:rsidR="000435D1" w:rsidRDefault="000435D1" w:rsidP="000435D1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216"/>
        <w:gridCol w:w="1442"/>
        <w:gridCol w:w="756"/>
        <w:gridCol w:w="1103"/>
        <w:gridCol w:w="1275"/>
        <w:gridCol w:w="1275"/>
        <w:gridCol w:w="756"/>
      </w:tblGrid>
      <w:tr w:rsidR="000435D1" w:rsidRPr="006A45C4" w:rsidTr="00CD1B21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VDTableTitle"/>
              <w:spacing w:line="360" w:lineRule="auto"/>
              <w:jc w:val="center"/>
            </w:pPr>
            <w:r w:rsidRPr="001E097F">
              <w:rPr>
                <w:b/>
              </w:rPr>
              <w:lastRenderedPageBreak/>
              <w:t xml:space="preserve">Table </w:t>
            </w:r>
            <w:r>
              <w:rPr>
                <w:b/>
              </w:rPr>
              <w:t>S3</w:t>
            </w:r>
            <w:r w:rsidRPr="001E097F">
              <w:rPr>
                <w:b/>
              </w:rPr>
              <w:t>.</w:t>
            </w:r>
            <w:r w:rsidRPr="001E097F">
              <w:t xml:space="preserve"> D-R parameters for MEK and toluene adsorption onto bamboo-tar-derived and commercial BAC.</w:t>
            </w:r>
          </w:p>
        </w:tc>
      </w:tr>
      <w:tr w:rsidR="000435D1" w:rsidRPr="006A45C4" w:rsidTr="00CD1B2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D-R parameter</w:t>
            </w:r>
          </w:p>
        </w:tc>
      </w:tr>
      <w:tr w:rsidR="000435D1" w:rsidRPr="006A45C4" w:rsidTr="00CD1B21">
        <w:trPr>
          <w:trHeight w:val="420"/>
          <w:jc w:val="center"/>
        </w:trPr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A</w:t>
            </w:r>
            <w:r w:rsidRPr="001E097F">
              <w:t>dsorbate</w:t>
            </w:r>
          </w:p>
        </w:tc>
        <w:tc>
          <w:tcPr>
            <w:tcW w:w="6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A</w:t>
            </w:r>
            <w:r w:rsidRPr="001E097F">
              <w:t>dsorbent</w:t>
            </w:r>
          </w:p>
        </w:tc>
        <w:tc>
          <w:tcPr>
            <w:tcW w:w="7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T</w:t>
            </w:r>
            <w:r w:rsidRPr="001E097F">
              <w:t xml:space="preserve">emperature </w:t>
            </w:r>
            <w:r w:rsidRPr="001E097F">
              <w:br/>
              <w:t>(°C)</w:t>
            </w:r>
          </w:p>
        </w:tc>
        <w:tc>
          <w:tcPr>
            <w:tcW w:w="4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R</w:t>
            </w:r>
            <w:r w:rsidRPr="001E097F">
              <w:rPr>
                <w:vertAlign w:val="superscript"/>
              </w:rPr>
              <w:t>2</w:t>
            </w:r>
          </w:p>
        </w:tc>
        <w:tc>
          <w:tcPr>
            <w:tcW w:w="64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i/>
              </w:rPr>
              <w:t>W</w:t>
            </w:r>
            <w:r w:rsidRPr="001E097F">
              <w:rPr>
                <w:vertAlign w:val="subscript"/>
              </w:rPr>
              <w:t>0</w:t>
            </w:r>
            <w:r w:rsidRPr="001E097F">
              <w:t xml:space="preserve"> </w:t>
            </w:r>
            <w:r w:rsidRPr="001E097F">
              <w:br/>
              <w:t>(cm</w:t>
            </w:r>
            <w:r w:rsidRPr="001E097F">
              <w:rPr>
                <w:vertAlign w:val="superscript"/>
              </w:rPr>
              <w:t>3</w:t>
            </w:r>
            <w:r w:rsidRPr="001E097F">
              <w:t xml:space="preserve"> g</w:t>
            </w:r>
            <w:r w:rsidRPr="001E097F">
              <w:rPr>
                <w:vertAlign w:val="superscript"/>
              </w:rPr>
              <w:t>-1</w:t>
            </w:r>
            <w:r w:rsidRPr="001E097F">
              <w:t>)</w:t>
            </w:r>
          </w:p>
        </w:tc>
        <w:tc>
          <w:tcPr>
            <w:tcW w:w="7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i/>
              </w:rPr>
              <w:t>E</w:t>
            </w:r>
            <w:r w:rsidRPr="001E097F">
              <w:rPr>
                <w:vertAlign w:val="subscript"/>
              </w:rPr>
              <w:t>0</w:t>
            </w:r>
            <w:r w:rsidRPr="001E097F">
              <w:t xml:space="preserve"> </w:t>
            </w:r>
            <w:r w:rsidRPr="001E097F">
              <w:br/>
              <w:t>(KJ mol</w:t>
            </w:r>
            <w:r w:rsidRPr="001E097F">
              <w:rPr>
                <w:vertAlign w:val="superscript"/>
              </w:rPr>
              <w:t>-1</w:t>
            </w:r>
            <w:r w:rsidRPr="001E097F">
              <w:t>)</w:t>
            </w:r>
          </w:p>
        </w:tc>
        <w:tc>
          <w:tcPr>
            <w:tcW w:w="7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i/>
              </w:rPr>
              <w:t>E</w:t>
            </w:r>
            <w:r w:rsidRPr="001E097F">
              <w:t xml:space="preserve"> </w:t>
            </w:r>
            <w:r w:rsidRPr="001E097F">
              <w:br/>
              <w:t>(KJ mol</w:t>
            </w:r>
            <w:r w:rsidRPr="001E097F">
              <w:rPr>
                <w:vertAlign w:val="superscript"/>
              </w:rPr>
              <w:t>-1</w:t>
            </w:r>
            <w:r w:rsidRPr="001E097F">
              <w:t>)</w:t>
            </w:r>
          </w:p>
        </w:tc>
        <w:tc>
          <w:tcPr>
            <w:tcW w:w="4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i/>
              </w:rPr>
              <w:t>x</w:t>
            </w:r>
            <w:r w:rsidRPr="001E097F">
              <w:rPr>
                <w:vertAlign w:val="subscript"/>
              </w:rPr>
              <w:t>0</w:t>
            </w:r>
            <w:r w:rsidRPr="001E097F">
              <w:t xml:space="preserve"> </w:t>
            </w:r>
            <w:r w:rsidRPr="001E097F">
              <w:br/>
              <w:t>(nm)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 w:val="restart"/>
            <w:tcBorders>
              <w:top w:val="doub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t>MEK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S</w:t>
            </w:r>
            <w:r w:rsidRPr="001E097F">
              <w:t>BAC-T900-t3</w:t>
            </w:r>
          </w:p>
        </w:tc>
        <w:tc>
          <w:tcPr>
            <w:tcW w:w="762" w:type="pct"/>
            <w:tcBorders>
              <w:top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3</w:t>
            </w:r>
            <w:r w:rsidRPr="001E097F">
              <w:t>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.983</w:t>
            </w:r>
          </w:p>
        </w:tc>
        <w:tc>
          <w:tcPr>
            <w:tcW w:w="647" w:type="pct"/>
            <w:tcBorders>
              <w:top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0.5595</w:t>
            </w:r>
          </w:p>
        </w:tc>
        <w:tc>
          <w:tcPr>
            <w:tcW w:w="742" w:type="pct"/>
            <w:tcBorders>
              <w:top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14.72</w:t>
            </w:r>
          </w:p>
        </w:tc>
        <w:tc>
          <w:tcPr>
            <w:tcW w:w="742" w:type="pct"/>
            <w:tcBorders>
              <w:top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14.25</w:t>
            </w:r>
          </w:p>
        </w:tc>
        <w:tc>
          <w:tcPr>
            <w:tcW w:w="410" w:type="pct"/>
            <w:tcBorders>
              <w:top w:val="doub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0.825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4</w:t>
            </w:r>
            <w:r w:rsidRPr="001E097F">
              <w:t>0</w:t>
            </w:r>
          </w:p>
        </w:tc>
        <w:tc>
          <w:tcPr>
            <w:tcW w:w="404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.999</w:t>
            </w:r>
          </w:p>
        </w:tc>
        <w:tc>
          <w:tcPr>
            <w:tcW w:w="647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0.5032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15.49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15.02</w:t>
            </w:r>
          </w:p>
        </w:tc>
        <w:tc>
          <w:tcPr>
            <w:tcW w:w="410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0.775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5</w:t>
            </w:r>
            <w:r w:rsidRPr="001E097F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.995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0.4915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15.34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14.89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0.782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S</w:t>
            </w:r>
            <w:r w:rsidRPr="001E097F">
              <w:t>BAC-T900-t4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3</w:t>
            </w:r>
            <w:r w:rsidRPr="001E097F">
              <w:t>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.985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0.6665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14.64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0.820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4</w:t>
            </w:r>
            <w:r w:rsidRPr="001E097F">
              <w:t>0</w:t>
            </w:r>
          </w:p>
        </w:tc>
        <w:tc>
          <w:tcPr>
            <w:tcW w:w="404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.993</w:t>
            </w:r>
          </w:p>
        </w:tc>
        <w:tc>
          <w:tcPr>
            <w:tcW w:w="647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0.5904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14.77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14.32</w:t>
            </w:r>
          </w:p>
        </w:tc>
        <w:tc>
          <w:tcPr>
            <w:tcW w:w="410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0.812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5</w:t>
            </w:r>
            <w:r w:rsidRPr="001E097F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.977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0.5291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14.49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14.07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0.828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K</w:t>
            </w:r>
            <w:r w:rsidRPr="001E097F">
              <w:t>BAC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3</w:t>
            </w:r>
            <w:r w:rsidRPr="001E097F">
              <w:t>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.981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0.5116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18.91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18.31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0.635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4</w:t>
            </w:r>
            <w:r w:rsidRPr="001E097F">
              <w:t>0</w:t>
            </w:r>
          </w:p>
        </w:tc>
        <w:tc>
          <w:tcPr>
            <w:tcW w:w="404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.990</w:t>
            </w:r>
          </w:p>
        </w:tc>
        <w:tc>
          <w:tcPr>
            <w:tcW w:w="647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0.5156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17.98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17.43</w:t>
            </w:r>
          </w:p>
        </w:tc>
        <w:tc>
          <w:tcPr>
            <w:tcW w:w="410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0.667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5</w:t>
            </w:r>
            <w:r w:rsidRPr="001E097F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.966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0.5182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16.90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16.41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0.710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>
              <w:t>Toluene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S</w:t>
            </w:r>
            <w:r w:rsidRPr="001E097F">
              <w:t>BAC-T900-t3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3</w:t>
            </w:r>
            <w:r w:rsidRPr="001E097F">
              <w:t>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.943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0.5345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17.01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20.28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0.705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4</w:t>
            </w:r>
            <w:r w:rsidRPr="001E097F">
              <w:t>0</w:t>
            </w:r>
          </w:p>
        </w:tc>
        <w:tc>
          <w:tcPr>
            <w:tcW w:w="404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.992</w:t>
            </w:r>
          </w:p>
        </w:tc>
        <w:tc>
          <w:tcPr>
            <w:tcW w:w="647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0.5410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15.39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18.35</w:t>
            </w:r>
          </w:p>
        </w:tc>
        <w:tc>
          <w:tcPr>
            <w:tcW w:w="410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0.780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5</w:t>
            </w:r>
            <w:r w:rsidRPr="001E097F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.947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0.4952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15.98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19.06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0.751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rPr>
                <w:rFonts w:hint="eastAsia"/>
              </w:rPr>
              <w:t>S</w:t>
            </w:r>
            <w:r w:rsidRPr="001E097F">
              <w:t>BAC-T900-t4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3</w:t>
            </w:r>
            <w:r w:rsidRPr="001E097F">
              <w:t>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.996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0.6537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14.42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17.20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0.832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4</w:t>
            </w:r>
            <w:r w:rsidRPr="001E097F">
              <w:t>0</w:t>
            </w:r>
          </w:p>
        </w:tc>
        <w:tc>
          <w:tcPr>
            <w:tcW w:w="404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.994</w:t>
            </w:r>
          </w:p>
        </w:tc>
        <w:tc>
          <w:tcPr>
            <w:tcW w:w="647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0.6199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14.90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17.77</w:t>
            </w:r>
          </w:p>
        </w:tc>
        <w:tc>
          <w:tcPr>
            <w:tcW w:w="410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0.805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5</w:t>
            </w:r>
            <w:r w:rsidRPr="001E097F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.945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0.5623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16.60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19.80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0.723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0435D1" w:rsidRPr="001E097F" w:rsidRDefault="000435D1" w:rsidP="00CD1B21">
            <w:pPr>
              <w:pStyle w:val="TCTableBody"/>
            </w:pPr>
            <w:r w:rsidRPr="001E097F">
              <w:t>KBAC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3</w:t>
            </w:r>
            <w:r w:rsidRPr="001E097F">
              <w:t>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.988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0.4896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23.35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27.84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0.514</w:t>
            </w:r>
          </w:p>
        </w:tc>
      </w:tr>
      <w:tr w:rsidR="000435D1" w:rsidRPr="006A45C4" w:rsidTr="00CD1B21">
        <w:trPr>
          <w:jc w:val="center"/>
        </w:trPr>
        <w:tc>
          <w:tcPr>
            <w:tcW w:w="643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4</w:t>
            </w:r>
            <w:r w:rsidRPr="001E097F">
              <w:t>0</w:t>
            </w:r>
          </w:p>
        </w:tc>
        <w:tc>
          <w:tcPr>
            <w:tcW w:w="404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.991</w:t>
            </w:r>
          </w:p>
        </w:tc>
        <w:tc>
          <w:tcPr>
            <w:tcW w:w="647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0.4801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22.34</w:t>
            </w:r>
          </w:p>
        </w:tc>
        <w:tc>
          <w:tcPr>
            <w:tcW w:w="742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26.64</w:t>
            </w:r>
          </w:p>
        </w:tc>
        <w:tc>
          <w:tcPr>
            <w:tcW w:w="410" w:type="pct"/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0.537</w:t>
            </w:r>
          </w:p>
        </w:tc>
      </w:tr>
      <w:tr w:rsidR="000435D1" w:rsidRPr="006A45C4" w:rsidTr="00CD1B21">
        <w:trPr>
          <w:trHeight w:val="102"/>
          <w:jc w:val="center"/>
        </w:trPr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5</w:t>
            </w:r>
            <w:r w:rsidRPr="001E097F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rPr>
                <w:rFonts w:hint="eastAsia"/>
              </w:rPr>
              <w:t>0</w:t>
            </w:r>
            <w:r w:rsidRPr="001E097F">
              <w:t>.992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0.4823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20.96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24.99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0435D1" w:rsidRPr="001E097F" w:rsidRDefault="000435D1" w:rsidP="00CD1B21">
            <w:pPr>
              <w:pStyle w:val="TCTableBody"/>
              <w:jc w:val="center"/>
            </w:pPr>
            <w:r w:rsidRPr="001E097F">
              <w:t>0.573</w:t>
            </w:r>
          </w:p>
        </w:tc>
      </w:tr>
    </w:tbl>
    <w:p w:rsidR="000435D1" w:rsidRDefault="000435D1" w:rsidP="000435D1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66CE" w:rsidRDefault="00ED66CE" w:rsidP="00CD1B21">
      <w:pPr>
        <w:widowControl/>
        <w:rPr>
          <w:rFonts w:ascii="Times New Roman" w:hAnsi="Times New Roman" w:cs="Times New Roman"/>
          <w:b/>
        </w:rPr>
      </w:pPr>
      <w:r w:rsidRPr="00F4233C">
        <w:rPr>
          <w:rFonts w:ascii="Times New Roman" w:hAnsi="Times New Roman" w:cs="Times New Roman" w:hint="eastAsia"/>
          <w:b/>
        </w:rPr>
        <w:lastRenderedPageBreak/>
        <w:t>Determining isosteric heat of adsorption using Dubinin-Radushkevich and Clausius-Cl</w:t>
      </w:r>
      <w:r w:rsidRPr="00F4233C">
        <w:rPr>
          <w:rFonts w:ascii="Times New Roman" w:hAnsi="Times New Roman" w:cs="Times New Roman"/>
          <w:b/>
        </w:rPr>
        <w:t>apeyron equations</w:t>
      </w:r>
    </w:p>
    <w:p w:rsidR="00ED66CE" w:rsidRPr="00E85C7C" w:rsidRDefault="00ED66CE" w:rsidP="00CD1B21">
      <w:pPr>
        <w:widowControl/>
        <w:spacing w:line="480" w:lineRule="auto"/>
        <w:ind w:firstLine="482"/>
        <w:rPr>
          <w:rFonts w:ascii="Times New Roman" w:eastAsia="標楷體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The heat of adsorption, </w:t>
      </w:r>
      <w:r w:rsidRPr="008937AD">
        <w:rPr>
          <w:rFonts w:ascii="Times New Roman" w:eastAsia="新細明體" w:hAnsi="Times New Roman" w:cs="Times New Roman"/>
          <w:szCs w:val="24"/>
        </w:rPr>
        <w:t>Δ</w:t>
      </w:r>
      <w:r w:rsidRPr="008937AD">
        <w:rPr>
          <w:rFonts w:ascii="Times New Roman" w:eastAsia="標楷體" w:hAnsi="Times New Roman" w:cs="Times New Roman" w:hint="eastAsia"/>
          <w:i/>
          <w:szCs w:val="24"/>
        </w:rPr>
        <w:t>H</w:t>
      </w:r>
      <w:r w:rsidRPr="008937AD">
        <w:rPr>
          <w:rFonts w:ascii="Times New Roman" w:eastAsia="標楷體" w:hAnsi="Times New Roman" w:cs="Times New Roman"/>
          <w:szCs w:val="24"/>
          <w:vertAlign w:val="subscript"/>
        </w:rPr>
        <w:t>s</w:t>
      </w:r>
      <w:r>
        <w:rPr>
          <w:rFonts w:ascii="Times New Roman" w:eastAsia="標楷體" w:hAnsi="Times New Roman" w:cs="Times New Roman"/>
          <w:szCs w:val="24"/>
        </w:rPr>
        <w:t>, can be determined by two established ways: direct measurements using adsorption calorimetry or indirect calculations through adsorption isotherm data at various temperatures</w:t>
      </w:r>
      <w:r w:rsidR="00134D2D">
        <w:rPr>
          <w:rFonts w:ascii="Times New Roman" w:eastAsia="標楷體" w:hAnsi="Times New Roman" w:cs="Times New Roman"/>
          <w:szCs w:val="24"/>
        </w:rPr>
        <w:t xml:space="preserve"> </w:t>
      </w:r>
      <w:r w:rsidR="00134D2D">
        <w:rPr>
          <w:rFonts w:ascii="Times New Roman" w:eastAsia="標楷體" w:hAnsi="Times New Roman" w:cs="Times New Roman"/>
          <w:noProof/>
          <w:szCs w:val="24"/>
        </w:rPr>
        <w:t>(Builes et al., 2013; Whittaker et al., 2013)</w:t>
      </w:r>
      <w:r>
        <w:rPr>
          <w:rFonts w:ascii="Times New Roman" w:eastAsia="標楷體" w:hAnsi="Times New Roman" w:cs="Times New Roman"/>
          <w:szCs w:val="24"/>
        </w:rPr>
        <w:t xml:space="preserve">. In deriving equations and analytical solutions to obtain </w:t>
      </w:r>
      <w:r w:rsidRPr="008937AD">
        <w:rPr>
          <w:rFonts w:ascii="Times New Roman" w:eastAsia="新細明體" w:hAnsi="Times New Roman" w:cs="Times New Roman"/>
          <w:szCs w:val="24"/>
        </w:rPr>
        <w:t>Δ</w:t>
      </w:r>
      <w:r w:rsidRPr="008937AD">
        <w:rPr>
          <w:rFonts w:ascii="Times New Roman" w:eastAsia="標楷體" w:hAnsi="Times New Roman" w:cs="Times New Roman" w:hint="eastAsia"/>
          <w:i/>
          <w:szCs w:val="24"/>
        </w:rPr>
        <w:t>H</w:t>
      </w:r>
      <w:r w:rsidRPr="008937AD">
        <w:rPr>
          <w:rFonts w:ascii="Times New Roman" w:eastAsia="標楷體" w:hAnsi="Times New Roman" w:cs="Times New Roman"/>
          <w:szCs w:val="24"/>
          <w:vertAlign w:val="subscript"/>
        </w:rPr>
        <w:t>s</w:t>
      </w:r>
      <w:r>
        <w:rPr>
          <w:rFonts w:ascii="Times New Roman" w:eastAsia="標楷體" w:hAnsi="Times New Roman" w:cs="Times New Roman"/>
          <w:szCs w:val="24"/>
        </w:rPr>
        <w:t xml:space="preserve">, we followed the procedures developed by </w:t>
      </w:r>
      <w:r w:rsidR="00134D2D">
        <w:rPr>
          <w:rFonts w:ascii="Times New Roman" w:eastAsia="標楷體" w:hAnsi="Times New Roman" w:cs="Times New Roman"/>
          <w:noProof/>
          <w:szCs w:val="24"/>
        </w:rPr>
        <w:t>Qi et al. (2000)</w:t>
      </w:r>
      <w:r w:rsidR="00134D2D">
        <w:rPr>
          <w:rFonts w:ascii="Times New Roman" w:eastAsia="標楷體" w:hAnsi="Times New Roman" w:cs="Times New Roman"/>
          <w:szCs w:val="24"/>
        </w:rPr>
        <w:t xml:space="preserve"> and </w:t>
      </w:r>
      <w:r w:rsidR="00134D2D">
        <w:rPr>
          <w:rFonts w:ascii="Times New Roman" w:eastAsia="標楷體" w:hAnsi="Times New Roman" w:cs="Times New Roman"/>
          <w:noProof/>
          <w:szCs w:val="24"/>
        </w:rPr>
        <w:t>Ramirez et al. (2005)</w:t>
      </w:r>
      <w:r>
        <w:rPr>
          <w:rFonts w:ascii="Times New Roman" w:eastAsia="標楷體" w:hAnsi="Times New Roman" w:cs="Times New Roman"/>
          <w:szCs w:val="24"/>
        </w:rPr>
        <w:t>, which are shown below.</w:t>
      </w:r>
    </w:p>
    <w:p w:rsidR="00ED66CE" w:rsidRPr="00556698" w:rsidRDefault="00ED66CE" w:rsidP="00CD1B21">
      <w:pPr>
        <w:widowControl/>
        <w:spacing w:line="480" w:lineRule="auto"/>
        <w:ind w:firstLine="480"/>
        <w:rPr>
          <w:rFonts w:ascii="Times New Roman" w:eastAsia="標楷體" w:hAnsi="Times New Roman" w:cs="Times New Roman"/>
          <w:szCs w:val="24"/>
        </w:rPr>
      </w:pPr>
      <w:r w:rsidRPr="00D77E87">
        <w:rPr>
          <w:rFonts w:ascii="Times New Roman" w:eastAsia="標楷體" w:hAnsi="Times New Roman" w:cs="Times New Roman"/>
          <w:szCs w:val="24"/>
        </w:rPr>
        <w:t xml:space="preserve">In conventional approaches, one considers the variation of adsorbate partial pressure, </w:t>
      </w:r>
      <w:r w:rsidRPr="00BA1D84">
        <w:rPr>
          <w:rFonts w:ascii="Times New Roman" w:eastAsia="標楷體" w:hAnsi="Times New Roman" w:cs="Times New Roman"/>
          <w:i/>
          <w:szCs w:val="24"/>
        </w:rPr>
        <w:t>P</w:t>
      </w:r>
      <w:r w:rsidRPr="00D77E87">
        <w:rPr>
          <w:rFonts w:ascii="Times New Roman" w:eastAsia="標楷體" w:hAnsi="Times New Roman" w:cs="Times New Roman"/>
          <w:szCs w:val="24"/>
        </w:rPr>
        <w:t xml:space="preserve">, with temperature, </w:t>
      </w:r>
      <w:r w:rsidRPr="00BA1D84">
        <w:rPr>
          <w:rFonts w:ascii="Times New Roman" w:eastAsia="標楷體" w:hAnsi="Times New Roman" w:cs="Times New Roman"/>
          <w:i/>
          <w:szCs w:val="24"/>
        </w:rPr>
        <w:t>T</w:t>
      </w:r>
      <w:r w:rsidRPr="00D77E87">
        <w:rPr>
          <w:rFonts w:ascii="Times New Roman" w:eastAsia="標楷體" w:hAnsi="Times New Roman" w:cs="Times New Roman"/>
          <w:szCs w:val="24"/>
        </w:rPr>
        <w:t xml:space="preserve">, at a fixed loading, </w:t>
      </w:r>
      <w:r w:rsidRPr="00BA1D84">
        <w:rPr>
          <w:rFonts w:ascii="Times New Roman" w:eastAsia="標楷體" w:hAnsi="Times New Roman" w:cs="Times New Roman"/>
          <w:i/>
          <w:szCs w:val="24"/>
        </w:rPr>
        <w:t>q</w:t>
      </w:r>
      <w:r w:rsidRPr="00D77E87">
        <w:rPr>
          <w:rFonts w:ascii="Times New Roman" w:eastAsia="標楷體" w:hAnsi="Times New Roman" w:cs="Times New Roman"/>
          <w:szCs w:val="24"/>
        </w:rPr>
        <w:t xml:space="preserve">, to obtain </w:t>
      </w:r>
      <w:r w:rsidRPr="008937AD">
        <w:rPr>
          <w:rFonts w:ascii="Times New Roman" w:eastAsia="新細明體" w:hAnsi="Times New Roman" w:cs="Times New Roman"/>
          <w:szCs w:val="24"/>
        </w:rPr>
        <w:t>Δ</w:t>
      </w:r>
      <w:r w:rsidRPr="008937AD">
        <w:rPr>
          <w:rFonts w:ascii="Times New Roman" w:eastAsia="標楷體" w:hAnsi="Times New Roman" w:cs="Times New Roman" w:hint="eastAsia"/>
          <w:i/>
          <w:szCs w:val="24"/>
        </w:rPr>
        <w:t>H</w:t>
      </w:r>
      <w:r w:rsidRPr="008937AD">
        <w:rPr>
          <w:rFonts w:ascii="Times New Roman" w:eastAsia="標楷體" w:hAnsi="Times New Roman" w:cs="Times New Roman"/>
          <w:szCs w:val="24"/>
          <w:vertAlign w:val="subscript"/>
        </w:rPr>
        <w:t>s</w:t>
      </w:r>
      <w:r w:rsidRPr="00D77E87">
        <w:rPr>
          <w:rFonts w:ascii="Times New Roman" w:eastAsia="標楷體" w:hAnsi="Times New Roman" w:cs="Times New Roman"/>
          <w:szCs w:val="24"/>
        </w:rPr>
        <w:t xml:space="preserve">. However, combining </w:t>
      </w:r>
      <w:r w:rsidR="005621C2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/>
          <w:szCs w:val="24"/>
        </w:rPr>
        <w:t>Clausius-Clapeyron (</w:t>
      </w:r>
      <w:r w:rsidRPr="00D77E87">
        <w:rPr>
          <w:rFonts w:ascii="Times New Roman" w:eastAsia="標楷體" w:hAnsi="Times New Roman" w:cs="Times New Roman"/>
          <w:szCs w:val="24"/>
        </w:rPr>
        <w:t>C-C</w:t>
      </w:r>
      <w:r>
        <w:rPr>
          <w:rFonts w:ascii="Times New Roman" w:eastAsia="標楷體" w:hAnsi="Times New Roman" w:cs="Times New Roman"/>
          <w:szCs w:val="24"/>
        </w:rPr>
        <w:t>)</w:t>
      </w:r>
      <w:r w:rsidRPr="00D77E87">
        <w:rPr>
          <w:rFonts w:ascii="Times New Roman" w:eastAsia="標楷體" w:hAnsi="Times New Roman" w:cs="Times New Roman"/>
          <w:szCs w:val="24"/>
        </w:rPr>
        <w:t xml:space="preserve"> equation with Polanyi-potential-derived isotherm</w:t>
      </w:r>
      <w:r w:rsidR="005621C2">
        <w:rPr>
          <w:rFonts w:ascii="Times New Roman" w:eastAsia="標楷體" w:hAnsi="Times New Roman" w:cs="Times New Roman"/>
          <w:szCs w:val="24"/>
        </w:rPr>
        <w:t>s</w:t>
      </w:r>
      <w:r w:rsidRPr="00D77E87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such as</w:t>
      </w:r>
      <w:r w:rsidRPr="00D77E87">
        <w:rPr>
          <w:rFonts w:ascii="Times New Roman" w:eastAsia="標楷體" w:hAnsi="Times New Roman" w:cs="Times New Roman"/>
          <w:szCs w:val="24"/>
        </w:rPr>
        <w:t xml:space="preserve"> </w:t>
      </w:r>
      <w:r w:rsidR="005621C2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/>
          <w:szCs w:val="24"/>
        </w:rPr>
        <w:t>Dubinin-Radushkevich (</w:t>
      </w:r>
      <w:r w:rsidRPr="00D77E87">
        <w:rPr>
          <w:rFonts w:ascii="Times New Roman" w:eastAsia="標楷體" w:hAnsi="Times New Roman" w:cs="Times New Roman"/>
          <w:szCs w:val="24"/>
        </w:rPr>
        <w:t>D-R</w:t>
      </w:r>
      <w:r>
        <w:rPr>
          <w:rFonts w:ascii="Times New Roman" w:eastAsia="標楷體" w:hAnsi="Times New Roman" w:cs="Times New Roman"/>
          <w:szCs w:val="24"/>
        </w:rPr>
        <w:t>)</w:t>
      </w:r>
      <w:r w:rsidRPr="00D77E87">
        <w:rPr>
          <w:rFonts w:ascii="Times New Roman" w:eastAsia="標楷體" w:hAnsi="Times New Roman" w:cs="Times New Roman"/>
          <w:szCs w:val="24"/>
        </w:rPr>
        <w:t xml:space="preserve"> </w:t>
      </w:r>
      <w:r w:rsidR="005621C2">
        <w:rPr>
          <w:rFonts w:ascii="Times New Roman" w:eastAsia="標楷體" w:hAnsi="Times New Roman" w:cs="Times New Roman"/>
          <w:szCs w:val="24"/>
        </w:rPr>
        <w:t>isotherm</w:t>
      </w:r>
      <w:r w:rsidRPr="00D77E87">
        <w:rPr>
          <w:rFonts w:ascii="Times New Roman" w:eastAsia="標楷體" w:hAnsi="Times New Roman" w:cs="Times New Roman"/>
          <w:szCs w:val="24"/>
        </w:rPr>
        <w:t xml:space="preserve"> can result in an analytical solution of </w:t>
      </w:r>
      <w:r w:rsidRPr="008937AD">
        <w:rPr>
          <w:rFonts w:ascii="Times New Roman" w:eastAsia="新細明體" w:hAnsi="Times New Roman" w:cs="Times New Roman"/>
          <w:szCs w:val="24"/>
        </w:rPr>
        <w:t>Δ</w:t>
      </w:r>
      <w:r w:rsidRPr="008937AD">
        <w:rPr>
          <w:rFonts w:ascii="Times New Roman" w:eastAsia="標楷體" w:hAnsi="Times New Roman" w:cs="Times New Roman" w:hint="eastAsia"/>
          <w:i/>
          <w:szCs w:val="24"/>
        </w:rPr>
        <w:t>H</w:t>
      </w:r>
      <w:r w:rsidRPr="008937AD">
        <w:rPr>
          <w:rFonts w:ascii="Times New Roman" w:eastAsia="標楷體" w:hAnsi="Times New Roman" w:cs="Times New Roman"/>
          <w:szCs w:val="24"/>
          <w:vertAlign w:val="subscript"/>
        </w:rPr>
        <w:t>s</w:t>
      </w:r>
      <w:r w:rsidRPr="00D77E87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/>
          <w:szCs w:val="24"/>
        </w:rPr>
        <w:t xml:space="preserve"> The C-C equation is expressed as: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51"/>
        <w:gridCol w:w="839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51" w:type="dxa"/>
          </w:tcPr>
          <w:p w:rsidR="00ED66CE" w:rsidRPr="007718CC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/>
                  </w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m:t>ln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P</m:t>
                                    </m:r>
                                  </m:e>
                                </m:func>
                              </m:e>
                            </m:d>
                          </m:num>
                          <m:den>
                            <m:r>
                              <m:rPr>
                                <m:nor/>
                              </m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T</m:t>
                                    </m:r>
                                  </m:den>
                                </m:f>
                              </m:e>
                            </m:d>
                          </m:den>
                        </m:f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q</m:t>
                    </m:r>
                  </m:sub>
                </m:sSub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i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e>
                  <m:sup>
                    <m:r>
                      <m:rPr>
                        <m:nor/>
                      </m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m:t>ln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P</m:t>
                                    </m:r>
                                  </m:e>
                                </m:func>
                              </m:e>
                            </m:d>
                          </m:num>
                          <m:den>
                            <m:r>
                              <m:rPr>
                                <m:nor/>
                              </m:rPr>
                              <m:t>∂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T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839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S1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55669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The D-R equation, which expresses the adsorption capacity as a function of adsorption potential is as follows: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46" w:type="dxa"/>
          </w:tcPr>
          <w:p w:rsidR="00ED66CE" w:rsidRPr="00514313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W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i/>
                      </w:rPr>
                      <m:t>W</m:t>
                    </m:r>
                  </m:e>
                  <m:sub>
                    <m:r>
                      <m:rPr>
                        <m:nor/>
                      </m:rPr>
                      <m:t>0</m:t>
                    </m:r>
                  </m:sub>
                </m:sSub>
                <m:r>
                  <m:rPr>
                    <m:nor/>
                  </m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m:t>–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ε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E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844" w:type="dxa"/>
          </w:tcPr>
          <w:p w:rsidR="00ED66CE" w:rsidRDefault="00ED66CE" w:rsidP="00CD1B21">
            <w:r>
              <w:rPr>
                <w:rFonts w:hint="eastAsia"/>
              </w:rPr>
              <w:t>(S2)</w:t>
            </w:r>
          </w:p>
        </w:tc>
      </w:tr>
    </w:tbl>
    <w:p w:rsidR="00ED66CE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and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46" w:type="dxa"/>
          </w:tcPr>
          <w:p w:rsidR="00ED66CE" w:rsidRPr="00514313" w:rsidRDefault="00ED66CE" w:rsidP="00CD1B21">
            <m:oMathPara>
              <m:oMath>
                <m:r>
                  <m:rPr>
                    <m:nor/>
                  </m:rPr>
                  <w:rPr>
                    <w:i/>
                  </w:rPr>
                  <m:t>ε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RT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nor/>
                      </m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844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S3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5D741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Substituting the Polanyi</w:t>
      </w:r>
      <w:r>
        <w:rPr>
          <w:rFonts w:ascii="Times New Roman" w:eastAsia="標楷體" w:hAnsi="Times New Roman" w:cs="Times New Roman"/>
          <w:szCs w:val="24"/>
        </w:rPr>
        <w:t>’s</w:t>
      </w:r>
      <w:r w:rsidR="008B11A5">
        <w:rPr>
          <w:rFonts w:ascii="Times New Roman" w:eastAsia="標楷體" w:hAnsi="Times New Roman" w:cs="Times New Roman"/>
          <w:szCs w:val="24"/>
        </w:rPr>
        <w:t xml:space="preserve"> (adsorption)</w:t>
      </w:r>
      <w:r>
        <w:rPr>
          <w:rFonts w:ascii="Times New Roman" w:eastAsia="標楷體" w:hAnsi="Times New Roman" w:cs="Times New Roman"/>
          <w:szCs w:val="24"/>
        </w:rPr>
        <w:t xml:space="preserve"> potential, </w:t>
      </w:r>
      <w:r w:rsidRPr="005D7418">
        <w:rPr>
          <w:rFonts w:ascii="Times New Roman" w:eastAsia="標楷體" w:hAnsi="Times New Roman" w:cs="Times New Roman"/>
          <w:i/>
          <w:szCs w:val="24"/>
        </w:rPr>
        <w:t>ε</w:t>
      </w:r>
      <w:r>
        <w:rPr>
          <w:rFonts w:ascii="Times New Roman" w:eastAsia="標楷體" w:hAnsi="Times New Roman" w:cs="Times New Roman"/>
          <w:szCs w:val="24"/>
        </w:rPr>
        <w:t>, into the C-C equation yields: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46" w:type="dxa"/>
          </w:tcPr>
          <w:p w:rsidR="00ED66CE" w:rsidRPr="00514313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∆H</m:t>
                    </m:r>
                  </m:e>
                  <m:sub>
                    <m:r>
                      <m:rPr>
                        <m:nor/>
                      </m:rPr>
                      <m:t>s</m:t>
                    </m:r>
                  </m:sub>
                </m:sSub>
                <m:r>
                  <m:rPr>
                    <m:nor/>
                  </m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d</m:t>
                    </m:r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den>
                </m:f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+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ε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m:t>∂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m:t>∂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844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S4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E85C7C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  <w:vertAlign w:val="superscript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w</w:t>
      </w:r>
      <w:r>
        <w:rPr>
          <w:rFonts w:ascii="Times New Roman" w:eastAsia="標楷體" w:hAnsi="Times New Roman" w:cs="Times New Roman" w:hint="eastAsia"/>
          <w:szCs w:val="24"/>
        </w:rPr>
        <w:t xml:space="preserve">here </w:t>
      </w:r>
      <w:r w:rsidRPr="008937AD">
        <w:rPr>
          <w:rFonts w:ascii="Times New Roman" w:eastAsia="新細明體" w:hAnsi="Times New Roman" w:cs="Times New Roman"/>
          <w:szCs w:val="24"/>
        </w:rPr>
        <w:t>Δ</w:t>
      </w:r>
      <w:r w:rsidRPr="008937AD">
        <w:rPr>
          <w:rFonts w:ascii="Times New Roman" w:eastAsia="標楷體" w:hAnsi="Times New Roman" w:cs="Times New Roman" w:hint="eastAsia"/>
          <w:i/>
          <w:szCs w:val="24"/>
        </w:rPr>
        <w:t>H</w:t>
      </w:r>
      <w:r w:rsidRPr="008937AD">
        <w:rPr>
          <w:rFonts w:ascii="Times New Roman" w:eastAsia="標楷體" w:hAnsi="Times New Roman" w:cs="Times New Roman"/>
          <w:szCs w:val="24"/>
          <w:vertAlign w:val="subscript"/>
        </w:rPr>
        <w:t>s</w:t>
      </w:r>
      <w:r>
        <w:rPr>
          <w:rFonts w:ascii="Times New Roman" w:eastAsia="標楷體" w:hAnsi="Times New Roman" w:cs="Times New Roman"/>
          <w:szCs w:val="24"/>
        </w:rPr>
        <w:t xml:space="preserve"> equals to the summation of three types of energy during the adsorption processes: the heat of vaporization, the adsorption potential, and the change of maximum adsorption capacity with temperature</w:t>
      </w:r>
      <w:r w:rsidR="00134D2D">
        <w:rPr>
          <w:rFonts w:ascii="Times New Roman" w:eastAsia="標楷體" w:hAnsi="Times New Roman" w:cs="Times New Roman"/>
          <w:szCs w:val="24"/>
        </w:rPr>
        <w:t xml:space="preserve"> </w:t>
      </w:r>
      <w:r w:rsidR="00134D2D">
        <w:rPr>
          <w:rFonts w:ascii="Times New Roman" w:eastAsia="標楷體" w:hAnsi="Times New Roman" w:cs="Times New Roman"/>
          <w:noProof/>
          <w:szCs w:val="24"/>
        </w:rPr>
        <w:t>(Ramirez et al., 2005)</w:t>
      </w:r>
      <w:r>
        <w:rPr>
          <w:rFonts w:ascii="Times New Roman" w:eastAsia="標楷體" w:hAnsi="Times New Roman" w:cs="Times New Roman"/>
          <w:szCs w:val="24"/>
        </w:rPr>
        <w:t>.</w:t>
      </w:r>
    </w:p>
    <w:p w:rsidR="00ED66CE" w:rsidRPr="005D741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The last term on the right hand side can be modified and equation</w:t>
      </w:r>
      <w:r>
        <w:rPr>
          <w:rFonts w:ascii="Times New Roman" w:eastAsia="標楷體" w:hAnsi="Times New Roman" w:cs="Times New Roman"/>
          <w:szCs w:val="24"/>
        </w:rPr>
        <w:t xml:space="preserve"> S4 becomes: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46" w:type="dxa"/>
          </w:tcPr>
          <w:p w:rsidR="00ED66CE" w:rsidRPr="00471155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d</m:t>
                    </m:r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den>
                </m:f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+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ε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m:t>∂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m:t>∂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θ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αT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m:t>∂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m:t>∂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m:t>ln</m:t>
                                </m:r>
                              </m:fNam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q</m:t>
                                </m:r>
                              </m:e>
                            </m:func>
                          </m:den>
                        </m:f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44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S5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5D741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The thermal expansion coefficient, </w:t>
      </w:r>
      <w:r w:rsidRPr="005D7418">
        <w:rPr>
          <w:rFonts w:ascii="Times New Roman" w:eastAsia="新細明體" w:hAnsi="Times New Roman" w:cs="Times New Roman"/>
          <w:i/>
        </w:rPr>
        <w:t>α</w:t>
      </w:r>
      <w:r>
        <w:rPr>
          <w:rFonts w:ascii="Times New Roman" w:eastAsia="新細明體" w:hAnsi="Times New Roman" w:cs="Times New Roman"/>
        </w:rPr>
        <w:t>, is expressed as: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809"/>
        <w:gridCol w:w="981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809" w:type="dxa"/>
          </w:tcPr>
          <w:p w:rsidR="00ED66CE" w:rsidRPr="0001430B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α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 xml:space="preserve">–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c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b</m:t>
                            </m:r>
                          </m:sub>
                        </m:sSub>
                      </m:sup>
                      <m:e>
                        <m:r>
                          <m:rPr>
                            <m:nor/>
                          </m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i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ρ</m:t>
                                    </m:r>
                                  </m:e>
                                </m:d>
                              </m:e>
                            </m:func>
                          </m:e>
                        </m:d>
                      </m:e>
                    </m:nary>
                  </m:num>
                  <m:den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b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c</m:t>
                            </m:r>
                          </m:sub>
                        </m:sSub>
                      </m:sup>
                      <m:e>
                        <m:r>
                          <m:rPr>
                            <m:nor/>
                          </m:rPr>
                          <m:t>d</m:t>
                        </m:r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m:t>c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–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m:t>b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nor/>
                      </m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m:t>b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m:t>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981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S6</w:t>
            </w:r>
            <w:r>
              <w:rPr>
                <w:rFonts w:hint="eastAsia"/>
              </w:rPr>
              <w:t>)</w:t>
            </w:r>
          </w:p>
        </w:tc>
      </w:tr>
    </w:tbl>
    <w:p w:rsidR="00ED66CE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 w:rsidRPr="005D7418">
        <w:rPr>
          <w:rFonts w:ascii="Times New Roman" w:eastAsia="標楷體" w:hAnsi="Times New Roman" w:cs="Times New Roman"/>
          <w:szCs w:val="24"/>
        </w:rPr>
        <w:t xml:space="preserve">where </w:t>
      </w:r>
      <w:r w:rsidRPr="00BA1D84">
        <w:rPr>
          <w:rFonts w:ascii="Times New Roman" w:eastAsia="標楷體" w:hAnsi="Times New Roman" w:cs="Times New Roman"/>
          <w:i/>
          <w:szCs w:val="24"/>
        </w:rPr>
        <w:t>ρ</w:t>
      </w:r>
      <w:r w:rsidRPr="00BA1D84">
        <w:rPr>
          <w:rFonts w:ascii="Times New Roman" w:eastAsia="標楷體" w:hAnsi="Times New Roman" w:cs="Times New Roman"/>
          <w:szCs w:val="24"/>
          <w:vertAlign w:val="subscript"/>
        </w:rPr>
        <w:t>b</w:t>
      </w:r>
      <w:r w:rsidRPr="005D7418">
        <w:rPr>
          <w:rFonts w:ascii="Times New Roman" w:eastAsia="標楷體" w:hAnsi="Times New Roman" w:cs="Times New Roman"/>
          <w:szCs w:val="24"/>
        </w:rPr>
        <w:t xml:space="preserve"> and </w:t>
      </w:r>
      <w:r w:rsidRPr="00BA1D84">
        <w:rPr>
          <w:rFonts w:ascii="Times New Roman" w:eastAsia="標楷體" w:hAnsi="Times New Roman" w:cs="Times New Roman"/>
          <w:i/>
          <w:szCs w:val="24"/>
        </w:rPr>
        <w:t>ρ</w:t>
      </w:r>
      <w:r w:rsidRPr="00BA1D84">
        <w:rPr>
          <w:rFonts w:ascii="Times New Roman" w:eastAsia="標楷體" w:hAnsi="Times New Roman" w:cs="Times New Roman"/>
          <w:szCs w:val="24"/>
          <w:vertAlign w:val="subscript"/>
        </w:rPr>
        <w:t>c</w:t>
      </w:r>
      <w:r w:rsidRPr="005D7418">
        <w:rPr>
          <w:rFonts w:ascii="Times New Roman" w:eastAsia="標楷體" w:hAnsi="Times New Roman" w:cs="Times New Roman"/>
          <w:szCs w:val="24"/>
        </w:rPr>
        <w:t xml:space="preserve"> are saturated liquid densities at normal boiling temperature (</w:t>
      </w:r>
      <w:r w:rsidRPr="00BA1D84">
        <w:rPr>
          <w:rFonts w:ascii="Times New Roman" w:eastAsia="標楷體" w:hAnsi="Times New Roman" w:cs="Times New Roman"/>
          <w:i/>
          <w:szCs w:val="24"/>
        </w:rPr>
        <w:t>T</w:t>
      </w:r>
      <w:r w:rsidRPr="00BA1D84">
        <w:rPr>
          <w:rFonts w:ascii="Times New Roman" w:eastAsia="標楷體" w:hAnsi="Times New Roman" w:cs="Times New Roman"/>
          <w:szCs w:val="24"/>
          <w:vertAlign w:val="subscript"/>
        </w:rPr>
        <w:t>b</w:t>
      </w:r>
      <w:r w:rsidRPr="005D7418">
        <w:rPr>
          <w:rFonts w:ascii="Times New Roman" w:eastAsia="標楷體" w:hAnsi="Times New Roman" w:cs="Times New Roman"/>
          <w:szCs w:val="24"/>
        </w:rPr>
        <w:t>) and critical temperature (</w:t>
      </w:r>
      <w:r w:rsidRPr="00BA1D84">
        <w:rPr>
          <w:rFonts w:ascii="Times New Roman" w:eastAsia="標楷體" w:hAnsi="Times New Roman" w:cs="Times New Roman"/>
          <w:i/>
          <w:szCs w:val="24"/>
        </w:rPr>
        <w:t>T</w:t>
      </w:r>
      <w:r w:rsidRPr="00BA1D84">
        <w:rPr>
          <w:rFonts w:ascii="Times New Roman" w:eastAsia="標楷體" w:hAnsi="Times New Roman" w:cs="Times New Roman"/>
          <w:szCs w:val="24"/>
          <w:vertAlign w:val="subscript"/>
        </w:rPr>
        <w:t>c</w:t>
      </w:r>
      <w:r w:rsidRPr="005D7418">
        <w:rPr>
          <w:rFonts w:ascii="Times New Roman" w:eastAsia="標楷體" w:hAnsi="Times New Roman" w:cs="Times New Roman"/>
          <w:szCs w:val="24"/>
        </w:rPr>
        <w:t>) obtained from</w:t>
      </w:r>
      <w:r w:rsidR="00134D2D">
        <w:rPr>
          <w:rFonts w:ascii="Times New Roman" w:eastAsia="標楷體" w:hAnsi="Times New Roman" w:cs="Times New Roman"/>
          <w:szCs w:val="24"/>
        </w:rPr>
        <w:t xml:space="preserve"> </w:t>
      </w:r>
      <w:r w:rsidR="00134D2D">
        <w:rPr>
          <w:rFonts w:ascii="Times New Roman" w:eastAsia="標楷體" w:hAnsi="Times New Roman" w:cs="Times New Roman"/>
          <w:noProof/>
          <w:szCs w:val="24"/>
        </w:rPr>
        <w:t>Poling et al. (2001)</w:t>
      </w:r>
      <w:r w:rsidRPr="005D7418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D66CE" w:rsidRPr="005D741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Assuming the temperature-independency of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5D7418">
        <w:rPr>
          <w:rFonts w:ascii="Times New Roman" w:eastAsia="標楷體" w:hAnsi="Times New Roman" w:cs="Times New Roman"/>
          <w:i/>
          <w:szCs w:val="24"/>
        </w:rPr>
        <w:t>ε</w:t>
      </w:r>
      <w:r>
        <w:rPr>
          <w:rFonts w:ascii="Times New Roman" w:eastAsia="標楷體" w:hAnsi="Times New Roman" w:cs="Times New Roman"/>
          <w:szCs w:val="24"/>
        </w:rPr>
        <w:t>, equation S5 becomes: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46" w:type="dxa"/>
          </w:tcPr>
          <w:p w:rsidR="00ED66CE" w:rsidRPr="006173EA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d</m:t>
                    </m:r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den>
                </m:f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+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ε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αT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m:t>∂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m:t>∂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m:t>ln</m:t>
                                </m:r>
                              </m:fNam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q</m:t>
                                </m:r>
                              </m:e>
                            </m:func>
                          </m:den>
                        </m:f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44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S7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5D741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E</w:t>
      </w:r>
      <w:r>
        <w:rPr>
          <w:rFonts w:ascii="Times New Roman" w:eastAsia="標楷體" w:hAnsi="Times New Roman" w:cs="Times New Roman"/>
          <w:szCs w:val="24"/>
        </w:rPr>
        <w:t>quation S3 can be rewritten as: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844"/>
      </w:tblGrid>
      <w:tr w:rsidR="00ED66CE" w:rsidTr="00CD1B21">
        <w:tc>
          <w:tcPr>
            <w:tcW w:w="704" w:type="dxa"/>
          </w:tcPr>
          <w:p w:rsidR="00ED66CE" w:rsidRDefault="00ED66CE" w:rsidP="00CD1B21"/>
        </w:tc>
        <w:tc>
          <w:tcPr>
            <w:tcW w:w="6946" w:type="dxa"/>
          </w:tcPr>
          <w:p w:rsidR="00ED66CE" w:rsidRPr="006173EA" w:rsidRDefault="00ED66CE" w:rsidP="00CD1B21"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ε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W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844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S8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5D7418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S</w:t>
      </w:r>
      <w:r>
        <w:rPr>
          <w:rFonts w:ascii="Times New Roman" w:eastAsia="標楷體" w:hAnsi="Times New Roman" w:cs="Times New Roman"/>
          <w:szCs w:val="24"/>
        </w:rPr>
        <w:t>ubstituting equation S8 into equation S7, we obtain: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51"/>
        <w:gridCol w:w="981"/>
      </w:tblGrid>
      <w:tr w:rsidR="00ED66CE" w:rsidTr="00802671">
        <w:tc>
          <w:tcPr>
            <w:tcW w:w="704" w:type="dxa"/>
          </w:tcPr>
          <w:p w:rsidR="00ED66CE" w:rsidRDefault="00ED66CE" w:rsidP="00CD1B21"/>
        </w:tc>
        <w:tc>
          <w:tcPr>
            <w:tcW w:w="6951" w:type="dxa"/>
          </w:tcPr>
          <w:p w:rsidR="00ED66CE" w:rsidRDefault="00ED66CE" w:rsidP="00CD1B21">
            <m:oMathPara>
              <m:oMath>
                <m:r>
                  <m:rPr>
                    <m:nor/>
                  </m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m:t>s</m:t>
                    </m:r>
                  </m:sub>
                </m:sSub>
                <m:r>
                  <m:rPr>
                    <m:nor/>
                  </m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d</m:t>
                    </m:r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den>
                </m:f>
                <m:r>
                  <m:rPr>
                    <m:nor/>
                  </m:rPr>
                  <m:t xml:space="preserve"> + </m:t>
                </m:r>
                <m:r>
                  <m:rPr>
                    <m:nor/>
                  </m:rPr>
                  <w:rPr>
                    <w:i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W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2</m:t>
                        </m:r>
                      </m:den>
                    </m:f>
                  </m:sup>
                </m:sSup>
                <m:r>
                  <m:rPr>
                    <m:nor/>
                  </m:rPr>
                  <m:t xml:space="preserve"> 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αTE</m:t>
                    </m:r>
                  </m:num>
                  <m:den>
                    <m:r>
                      <m:rPr>
                        <m:nor/>
                      </m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W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  <m:sup>
                    <m:r>
                      <m:rPr>
                        <m:nor/>
                      </m:rPr>
                      <m:t>–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981" w:type="dxa"/>
          </w:tcPr>
          <w:p w:rsidR="00ED66CE" w:rsidRDefault="00ED66CE" w:rsidP="00CD1B21">
            <w:r>
              <w:rPr>
                <w:rFonts w:hint="eastAsia"/>
              </w:rPr>
              <w:t>(</w:t>
            </w:r>
            <w:r>
              <w:t>S9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E85C7C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  <w:vertAlign w:val="superscript"/>
        </w:rPr>
      </w:pPr>
      <w:r w:rsidRPr="00D05850">
        <w:rPr>
          <w:rFonts w:ascii="Times New Roman" w:eastAsia="標楷體" w:hAnsi="Times New Roman" w:cs="Times New Roman"/>
          <w:szCs w:val="24"/>
        </w:rPr>
        <w:t xml:space="preserve">The heat of vaporization </w:t>
      </w:r>
      <w:r w:rsidR="008B11A5">
        <w:rPr>
          <w:rFonts w:ascii="Times New Roman" w:eastAsia="標楷體" w:hAnsi="Times New Roman" w:cs="Times New Roman"/>
          <w:szCs w:val="24"/>
        </w:rPr>
        <w:t xml:space="preserve">term </w:t>
      </w:r>
      <w:r w:rsidRPr="00D05850">
        <w:rPr>
          <w:rFonts w:ascii="Times New Roman" w:eastAsia="標楷體" w:hAnsi="Times New Roman" w:cs="Times New Roman"/>
          <w:szCs w:val="24"/>
        </w:rPr>
        <w:t>can be calculated based upon Wagner liquid-vapor pressure equation</w:t>
      </w:r>
      <w:r w:rsidR="000D4F0F">
        <w:rPr>
          <w:rFonts w:ascii="Times New Roman" w:eastAsia="標楷體" w:hAnsi="Times New Roman" w:cs="Times New Roman"/>
          <w:szCs w:val="24"/>
        </w:rPr>
        <w:t xml:space="preserve"> </w:t>
      </w:r>
      <w:r w:rsidR="000D4F0F">
        <w:rPr>
          <w:rFonts w:ascii="Times New Roman" w:eastAsia="標楷體" w:hAnsi="Times New Roman" w:cs="Times New Roman"/>
          <w:noProof/>
          <w:szCs w:val="24"/>
        </w:rPr>
        <w:t>(Ramirez et al., 2005)</w:t>
      </w:r>
      <w:r w:rsidRPr="00D05850">
        <w:rPr>
          <w:rFonts w:ascii="Times New Roman" w:eastAsia="標楷體" w:hAnsi="Times New Roman" w:cs="Times New Roman"/>
          <w:szCs w:val="24"/>
        </w:rPr>
        <w:t>:</w:t>
      </w:r>
    </w:p>
    <w:tbl>
      <w:tblPr>
        <w:tblStyle w:val="ab"/>
        <w:tblW w:w="8788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991"/>
      </w:tblGrid>
      <w:tr w:rsidR="00ED66CE" w:rsidTr="00802671">
        <w:trPr>
          <w:jc w:val="left"/>
        </w:trPr>
        <w:tc>
          <w:tcPr>
            <w:tcW w:w="7797" w:type="dxa"/>
          </w:tcPr>
          <w:p w:rsidR="00ED66CE" w:rsidRPr="00D359A1" w:rsidRDefault="00854B4B" w:rsidP="00CD1B2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0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d</m:t>
                    </m:r>
                    <m:r>
                      <m:rPr>
                        <m:nor/>
                      </m:rPr>
                      <w:rPr>
                        <w:i/>
                      </w:rPr>
                      <m:t>T</m:t>
                    </m:r>
                  </m:den>
                </m:f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m:t>c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–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–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1.5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0.5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0.5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1.5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–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2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3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–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6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4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5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m:t>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4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m:t>6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m:t>1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m:t>–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nor/>
                              </m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991" w:type="dxa"/>
          </w:tcPr>
          <w:p w:rsidR="00ED66CE" w:rsidRDefault="00ED66CE" w:rsidP="00CD1B21"/>
          <w:p w:rsidR="00ED66CE" w:rsidRDefault="00ED66CE" w:rsidP="00CD1B21">
            <w:r>
              <w:rPr>
                <w:rFonts w:hint="eastAsia"/>
              </w:rPr>
              <w:t>(</w:t>
            </w:r>
            <w:r>
              <w:t>S10</w:t>
            </w:r>
            <w:r>
              <w:rPr>
                <w:rFonts w:hint="eastAsia"/>
              </w:rPr>
              <w:t>)</w:t>
            </w:r>
          </w:p>
        </w:tc>
      </w:tr>
    </w:tbl>
    <w:p w:rsidR="00ED66CE" w:rsidRPr="00D05850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 w:rsidRPr="00D05850">
        <w:rPr>
          <w:rFonts w:ascii="Times New Roman" w:eastAsia="標楷體" w:hAnsi="Times New Roman" w:cs="Times New Roman"/>
          <w:szCs w:val="24"/>
        </w:rPr>
        <w:t xml:space="preserve">where </w:t>
      </w:r>
      <w:r w:rsidRPr="00D05850">
        <w:rPr>
          <w:rFonts w:ascii="Times New Roman" w:eastAsia="標楷體" w:hAnsi="Times New Roman" w:cs="Times New Roman"/>
          <w:i/>
          <w:szCs w:val="24"/>
        </w:rPr>
        <w:t>a</w:t>
      </w:r>
      <w:r w:rsidRPr="00D05850">
        <w:rPr>
          <w:rFonts w:ascii="Times New Roman" w:eastAsia="標楷體" w:hAnsi="Times New Roman" w:cs="Times New Roman"/>
          <w:szCs w:val="24"/>
          <w:vertAlign w:val="subscript"/>
        </w:rPr>
        <w:t>1</w:t>
      </w:r>
      <w:r w:rsidRPr="00D05850">
        <w:rPr>
          <w:rFonts w:ascii="Times New Roman" w:eastAsia="標楷體" w:hAnsi="Times New Roman" w:cs="Times New Roman"/>
          <w:szCs w:val="24"/>
        </w:rPr>
        <w:t xml:space="preserve"> – </w:t>
      </w:r>
      <w:r w:rsidRPr="00D05850">
        <w:rPr>
          <w:rFonts w:ascii="Times New Roman" w:eastAsia="標楷體" w:hAnsi="Times New Roman" w:cs="Times New Roman"/>
          <w:i/>
          <w:szCs w:val="24"/>
        </w:rPr>
        <w:t>a</w:t>
      </w:r>
      <w:r w:rsidRPr="00D05850">
        <w:rPr>
          <w:rFonts w:ascii="Times New Roman" w:eastAsia="標楷體" w:hAnsi="Times New Roman" w:cs="Times New Roman"/>
          <w:szCs w:val="24"/>
          <w:vertAlign w:val="subscript"/>
        </w:rPr>
        <w:t>4</w:t>
      </w:r>
      <w:r w:rsidRPr="00D05850">
        <w:rPr>
          <w:rFonts w:ascii="Times New Roman" w:eastAsia="標楷體" w:hAnsi="Times New Roman" w:cs="Times New Roman"/>
          <w:szCs w:val="24"/>
        </w:rPr>
        <w:t xml:space="preserve"> are Wagner constants and x = (1 – </w:t>
      </w:r>
      <w:r w:rsidRPr="00D05850">
        <w:rPr>
          <w:rFonts w:ascii="Times New Roman" w:eastAsia="標楷體" w:hAnsi="Times New Roman" w:cs="Times New Roman"/>
          <w:i/>
          <w:szCs w:val="24"/>
        </w:rPr>
        <w:t>T</w:t>
      </w:r>
      <w:r w:rsidRPr="00D05850">
        <w:rPr>
          <w:rFonts w:ascii="Times New Roman" w:eastAsia="標楷體" w:hAnsi="Times New Roman" w:cs="Times New Roman"/>
          <w:szCs w:val="24"/>
        </w:rPr>
        <w:t>/</w:t>
      </w:r>
      <w:r w:rsidRPr="00D05850">
        <w:rPr>
          <w:rFonts w:ascii="Times New Roman" w:eastAsia="標楷體" w:hAnsi="Times New Roman" w:cs="Times New Roman"/>
          <w:i/>
          <w:szCs w:val="24"/>
        </w:rPr>
        <w:t>T</w:t>
      </w:r>
      <w:r w:rsidRPr="00D05850">
        <w:rPr>
          <w:rFonts w:ascii="Times New Roman" w:eastAsia="標楷體" w:hAnsi="Times New Roman" w:cs="Times New Roman"/>
          <w:szCs w:val="24"/>
        </w:rPr>
        <w:t>c).</w:t>
      </w:r>
    </w:p>
    <w:p w:rsidR="00ED66CE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 w:rsidRPr="00D05850">
        <w:rPr>
          <w:rFonts w:ascii="Times New Roman" w:eastAsia="標楷體" w:hAnsi="Times New Roman" w:cs="Times New Roman"/>
          <w:szCs w:val="24"/>
        </w:rPr>
        <w:lastRenderedPageBreak/>
        <w:t xml:space="preserve">The </w:t>
      </w:r>
      <w:r>
        <w:rPr>
          <w:rFonts w:ascii="Times New Roman" w:eastAsia="標楷體" w:hAnsi="Times New Roman" w:cs="Times New Roman"/>
          <w:szCs w:val="24"/>
        </w:rPr>
        <w:t xml:space="preserve">above-mentioned </w:t>
      </w:r>
      <w:r w:rsidRPr="00D05850">
        <w:rPr>
          <w:rFonts w:ascii="Times New Roman" w:eastAsia="標楷體" w:hAnsi="Times New Roman" w:cs="Times New Roman"/>
          <w:szCs w:val="24"/>
        </w:rPr>
        <w:t xml:space="preserve">thermodynamic parameters are listed in Table </w:t>
      </w:r>
      <w:r>
        <w:rPr>
          <w:rFonts w:ascii="Times New Roman" w:eastAsia="標楷體" w:hAnsi="Times New Roman" w:cs="Times New Roman"/>
          <w:szCs w:val="24"/>
        </w:rPr>
        <w:t>S1</w:t>
      </w:r>
    </w:p>
    <w:p w:rsidR="00ED66CE" w:rsidRDefault="00ED66CE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 w:rsidRPr="007D22A7">
        <w:rPr>
          <w:rFonts w:ascii="Times New Roman" w:eastAsia="標楷體" w:hAnsi="Times New Roman" w:cs="Times New Roman" w:hint="eastAsia"/>
          <w:b/>
          <w:szCs w:val="24"/>
        </w:rPr>
        <w:t>Table S1.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05850">
        <w:rPr>
          <w:rFonts w:ascii="Times New Roman" w:eastAsia="標楷體" w:hAnsi="Times New Roman" w:cs="Times New Roman"/>
          <w:szCs w:val="24"/>
        </w:rPr>
        <w:t>Parameters used in calculating isosteric heat of adsorption</w:t>
      </w:r>
      <w:r w:rsidR="007D22A7">
        <w:rPr>
          <w:rFonts w:ascii="Times New Roman" w:eastAsia="標楷體" w:hAnsi="Times New Roman" w:cs="Times New Roman"/>
          <w:szCs w:val="24"/>
        </w:rPr>
        <w:t>.</w:t>
      </w:r>
    </w:p>
    <w:tbl>
      <w:tblPr>
        <w:tblStyle w:val="ab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26"/>
        <w:gridCol w:w="826"/>
        <w:gridCol w:w="873"/>
        <w:gridCol w:w="873"/>
        <w:gridCol w:w="933"/>
        <w:gridCol w:w="899"/>
        <w:gridCol w:w="825"/>
        <w:gridCol w:w="899"/>
        <w:gridCol w:w="901"/>
      </w:tblGrid>
      <w:tr w:rsidR="00ED66CE" w:rsidRPr="006B2568" w:rsidTr="00CD1B21">
        <w:trPr>
          <w:trHeight w:val="198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A</w:t>
            </w:r>
            <w:r w:rsidRPr="006B2568">
              <w:t>dsorbate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T</w:t>
            </w:r>
            <w:r w:rsidRPr="006B2568">
              <w:rPr>
                <w:vertAlign w:val="subscript"/>
              </w:rPr>
              <w:t>b</w:t>
            </w:r>
            <w:r w:rsidRPr="006B2568">
              <w:br/>
              <w:t>(K)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T</w:t>
            </w:r>
            <w:r w:rsidRPr="006B2568">
              <w:rPr>
                <w:vertAlign w:val="subscript"/>
              </w:rPr>
              <w:t>c</w:t>
            </w:r>
            <w:r w:rsidRPr="006B2568">
              <w:br/>
              <w:t>(K)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</w:tcBorders>
          </w:tcPr>
          <w:p w:rsidR="00ED66CE" w:rsidRPr="00D05850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ρ</w:t>
            </w:r>
            <w:r w:rsidRPr="006B2568">
              <w:rPr>
                <w:vertAlign w:val="subscript"/>
              </w:rPr>
              <w:t>b</w:t>
            </w:r>
            <w:r w:rsidRPr="006B2568">
              <w:br/>
              <w:t>(g cm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</w:tcBorders>
          </w:tcPr>
          <w:p w:rsidR="00ED66CE" w:rsidRPr="00D05850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ρ</w:t>
            </w:r>
            <w:r w:rsidRPr="006B2568">
              <w:rPr>
                <w:vertAlign w:val="subscript"/>
              </w:rPr>
              <w:t>c</w:t>
            </w:r>
            <w:r w:rsidRPr="006B2568">
              <w:br/>
              <w:t>(g cm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α</w:t>
            </w:r>
            <w:r w:rsidRPr="006B2568">
              <w:br/>
              <w:t>(K</w:t>
            </w:r>
            <w:r w:rsidRPr="006B2568">
              <w:rPr>
                <w:vertAlign w:val="superscript"/>
              </w:rPr>
              <w:t>-1</w:t>
            </w:r>
            <w:r w:rsidRPr="006B2568">
              <w:t>)</w:t>
            </w:r>
          </w:p>
        </w:tc>
        <w:tc>
          <w:tcPr>
            <w:tcW w:w="3524" w:type="dxa"/>
            <w:gridSpan w:val="4"/>
            <w:tcBorders>
              <w:top w:val="single" w:sz="12" w:space="0" w:color="auto"/>
            </w:tcBorders>
          </w:tcPr>
          <w:p w:rsidR="00ED66CE" w:rsidRPr="0010327A" w:rsidRDefault="00ED66CE" w:rsidP="000D4F0F">
            <w:pPr>
              <w:widowControl/>
              <w:spacing w:line="276" w:lineRule="auto"/>
            </w:pPr>
            <w:r>
              <w:rPr>
                <w:rFonts w:hint="eastAsia"/>
              </w:rPr>
              <w:t>W</w:t>
            </w:r>
            <w:r>
              <w:t>agner constant</w:t>
            </w:r>
            <w:r w:rsidR="000D4F0F" w:rsidRPr="000D4F0F">
              <w:rPr>
                <w:vertAlign w:val="superscript"/>
              </w:rPr>
              <w:t>a</w:t>
            </w:r>
          </w:p>
        </w:tc>
      </w:tr>
      <w:tr w:rsidR="00ED66CE" w:rsidRPr="006B2568" w:rsidTr="000D4F0F">
        <w:trPr>
          <w:trHeight w:val="198"/>
        </w:trPr>
        <w:tc>
          <w:tcPr>
            <w:tcW w:w="1121" w:type="dxa"/>
            <w:vMerge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</w:p>
        </w:tc>
        <w:tc>
          <w:tcPr>
            <w:tcW w:w="826" w:type="dxa"/>
            <w:vMerge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  <w:rPr>
                <w:i/>
              </w:rPr>
            </w:pPr>
          </w:p>
        </w:tc>
        <w:tc>
          <w:tcPr>
            <w:tcW w:w="826" w:type="dxa"/>
            <w:vMerge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  <w:rPr>
                <w:i/>
              </w:rPr>
            </w:pPr>
          </w:p>
        </w:tc>
        <w:tc>
          <w:tcPr>
            <w:tcW w:w="873" w:type="dxa"/>
            <w:vMerge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  <w:rPr>
                <w:i/>
              </w:rPr>
            </w:pPr>
          </w:p>
        </w:tc>
        <w:tc>
          <w:tcPr>
            <w:tcW w:w="873" w:type="dxa"/>
            <w:vMerge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  <w:rPr>
                <w:i/>
              </w:rPr>
            </w:pPr>
          </w:p>
        </w:tc>
        <w:tc>
          <w:tcPr>
            <w:tcW w:w="933" w:type="dxa"/>
            <w:vMerge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  <w:rPr>
                <w:i/>
              </w:rPr>
            </w:pPr>
          </w:p>
        </w:tc>
        <w:tc>
          <w:tcPr>
            <w:tcW w:w="899" w:type="dxa"/>
            <w:tcBorders>
              <w:bottom w:val="double" w:sz="4" w:space="0" w:color="auto"/>
            </w:tcBorders>
          </w:tcPr>
          <w:p w:rsidR="00ED66CE" w:rsidRPr="0010327A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a</w:t>
            </w:r>
            <w:r w:rsidRPr="006B2568">
              <w:rPr>
                <w:vertAlign w:val="subscript"/>
              </w:rPr>
              <w:t>1</w:t>
            </w: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a</w:t>
            </w:r>
            <w:r w:rsidRPr="006B2568">
              <w:rPr>
                <w:vertAlign w:val="subscript"/>
              </w:rPr>
              <w:t>2</w:t>
            </w:r>
          </w:p>
        </w:tc>
        <w:tc>
          <w:tcPr>
            <w:tcW w:w="899" w:type="dxa"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a</w:t>
            </w:r>
            <w:r w:rsidRPr="006B2568">
              <w:rPr>
                <w:vertAlign w:val="subscript"/>
              </w:rPr>
              <w:t>3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i/>
              </w:rPr>
              <w:t>a</w:t>
            </w:r>
            <w:r w:rsidRPr="006B2568">
              <w:rPr>
                <w:vertAlign w:val="subscript"/>
              </w:rPr>
              <w:t>4</w:t>
            </w:r>
          </w:p>
        </w:tc>
      </w:tr>
      <w:tr w:rsidR="00ED66CE" w:rsidRPr="006B2568" w:rsidTr="000D4F0F">
        <w:trPr>
          <w:trHeight w:val="432"/>
        </w:trPr>
        <w:tc>
          <w:tcPr>
            <w:tcW w:w="1121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M</w:t>
            </w:r>
            <w:r w:rsidRPr="006B2568">
              <w:t>EK</w:t>
            </w: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3</w:t>
            </w:r>
            <w:r w:rsidRPr="006B2568">
              <w:t>52.71</w:t>
            </w: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5</w:t>
            </w:r>
            <w:r w:rsidRPr="006B2568">
              <w:t>36.80</w:t>
            </w:r>
          </w:p>
        </w:tc>
        <w:tc>
          <w:tcPr>
            <w:tcW w:w="873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0</w:t>
            </w:r>
            <w:r w:rsidRPr="006B2568">
              <w:t>.742</w:t>
            </w:r>
          </w:p>
        </w:tc>
        <w:tc>
          <w:tcPr>
            <w:tcW w:w="873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0</w:t>
            </w:r>
            <w:r w:rsidRPr="006B2568">
              <w:t>.270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0.</w:t>
            </w:r>
            <w:r w:rsidRPr="006B2568">
              <w:t>00</w:t>
            </w:r>
            <w:r>
              <w:t>168</w:t>
            </w:r>
          </w:p>
        </w:tc>
        <w:tc>
          <w:tcPr>
            <w:tcW w:w="899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-</w:t>
            </w:r>
            <w:r w:rsidRPr="006B2568">
              <w:t>7.6642</w:t>
            </w:r>
          </w:p>
        </w:tc>
        <w:tc>
          <w:tcPr>
            <w:tcW w:w="825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1</w:t>
            </w:r>
            <w:r w:rsidRPr="006B2568">
              <w:t>.7175</w:t>
            </w:r>
          </w:p>
        </w:tc>
        <w:tc>
          <w:tcPr>
            <w:tcW w:w="899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-</w:t>
            </w:r>
            <w:r w:rsidRPr="006B2568">
              <w:t>2.0991</w:t>
            </w: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-</w:t>
            </w:r>
            <w:r w:rsidRPr="006B2568">
              <w:t>4.5861</w:t>
            </w:r>
          </w:p>
        </w:tc>
      </w:tr>
      <w:tr w:rsidR="00ED66CE" w:rsidRPr="006B2568" w:rsidTr="000D4F0F">
        <w:trPr>
          <w:trHeight w:val="442"/>
        </w:trPr>
        <w:tc>
          <w:tcPr>
            <w:tcW w:w="1121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T</w:t>
            </w:r>
            <w:r w:rsidRPr="006B2568">
              <w:t>OL</w:t>
            </w: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3</w:t>
            </w:r>
            <w:r w:rsidRPr="006B2568">
              <w:t>83.79</w:t>
            </w: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5</w:t>
            </w:r>
            <w:r w:rsidRPr="006B2568">
              <w:t>91.75</w:t>
            </w: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0</w:t>
            </w:r>
            <w:r w:rsidRPr="006B2568">
              <w:t>.779</w:t>
            </w: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0</w:t>
            </w:r>
            <w:r w:rsidRPr="006B2568">
              <w:t>.294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0</w:t>
            </w:r>
            <w:r w:rsidRPr="006B2568">
              <w:t>.00</w:t>
            </w:r>
            <w:r>
              <w:t>113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-</w:t>
            </w:r>
            <w:r w:rsidRPr="006B2568">
              <w:t>7.4183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1</w:t>
            </w:r>
            <w:r w:rsidRPr="006B2568">
              <w:t>.8401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-</w:t>
            </w:r>
            <w:r w:rsidRPr="006B2568">
              <w:t>2.1458</w:t>
            </w: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D66CE" w:rsidRPr="006B2568" w:rsidRDefault="00ED66CE" w:rsidP="00CD1B21">
            <w:pPr>
              <w:widowControl/>
              <w:spacing w:line="276" w:lineRule="auto"/>
            </w:pPr>
            <w:r w:rsidRPr="006B2568">
              <w:rPr>
                <w:rFonts w:hint="eastAsia"/>
              </w:rPr>
              <w:t>-</w:t>
            </w:r>
            <w:r w:rsidRPr="006B2568">
              <w:t>3.7081</w:t>
            </w:r>
          </w:p>
        </w:tc>
      </w:tr>
    </w:tbl>
    <w:p w:rsidR="00ED66CE" w:rsidRDefault="000D4F0F" w:rsidP="00CD1B21">
      <w:pPr>
        <w:widowControl/>
        <w:spacing w:line="48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  <w:vertAlign w:val="superscript"/>
        </w:rPr>
        <w:t>a</w:t>
      </w:r>
      <w:r>
        <w:rPr>
          <w:rFonts w:ascii="Times New Roman" w:eastAsia="標楷體" w:hAnsi="Times New Roman" w:cs="Times New Roman"/>
          <w:noProof/>
          <w:szCs w:val="24"/>
        </w:rPr>
        <w:t xml:space="preserve"> </w:t>
      </w:r>
      <w:r w:rsidRPr="00D05850">
        <w:rPr>
          <w:rFonts w:ascii="Times New Roman" w:eastAsia="標楷體" w:hAnsi="Times New Roman" w:cs="Times New Roman"/>
          <w:noProof/>
          <w:szCs w:val="24"/>
        </w:rPr>
        <w:t xml:space="preserve">Forero and Velasquez </w:t>
      </w:r>
      <w:r>
        <w:rPr>
          <w:rFonts w:ascii="Times New Roman" w:eastAsia="標楷體" w:hAnsi="Times New Roman" w:cs="Times New Roman"/>
          <w:noProof/>
          <w:szCs w:val="24"/>
        </w:rPr>
        <w:t>(</w:t>
      </w:r>
      <w:r w:rsidRPr="00D05850">
        <w:rPr>
          <w:rFonts w:ascii="Times New Roman" w:eastAsia="標楷體" w:hAnsi="Times New Roman" w:cs="Times New Roman"/>
          <w:noProof/>
          <w:szCs w:val="24"/>
        </w:rPr>
        <w:t>2011)</w:t>
      </w:r>
    </w:p>
    <w:p w:rsidR="000D4F0F" w:rsidRDefault="000D4F0F" w:rsidP="00CD1B21">
      <w:pPr>
        <w:widowControl/>
        <w:snapToGrid w:val="0"/>
        <w:spacing w:line="480" w:lineRule="auto"/>
        <w:rPr>
          <w:rFonts w:ascii="Times New Roman" w:hAnsi="Times New Roman" w:cs="Times New Roman"/>
          <w:b/>
        </w:rPr>
      </w:pPr>
    </w:p>
    <w:p w:rsidR="00ED66CE" w:rsidRPr="00943AED" w:rsidRDefault="00ED66CE" w:rsidP="00CD1B21">
      <w:pPr>
        <w:widowControl/>
        <w:snapToGrid w:val="0"/>
        <w:spacing w:line="480" w:lineRule="auto"/>
        <w:rPr>
          <w:rFonts w:ascii="Times New Roman" w:hAnsi="Times New Roman" w:cs="Times New Roman"/>
          <w:b/>
        </w:rPr>
      </w:pPr>
      <w:r w:rsidRPr="00943AED">
        <w:rPr>
          <w:rFonts w:ascii="Times New Roman" w:hAnsi="Times New Roman" w:cs="Times New Roman"/>
          <w:b/>
        </w:rPr>
        <w:t>References</w:t>
      </w:r>
    </w:p>
    <w:p w:rsidR="00BF31F2" w:rsidRDefault="004D2CA5" w:rsidP="009D62CD">
      <w:pPr>
        <w:pStyle w:val="EndNoteBibliography"/>
        <w:numPr>
          <w:ilvl w:val="0"/>
          <w:numId w:val="4"/>
        </w:numPr>
        <w:spacing w:line="360" w:lineRule="auto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Builes, S., S.I. Sandler, and R.</w:t>
      </w:r>
      <w:r w:rsidRPr="00BF4EDC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Xiong.</w:t>
      </w:r>
      <w:r w:rsidR="00BF31F2" w:rsidRPr="00BF4EDC">
        <w:rPr>
          <w:rFonts w:ascii="Times New Roman" w:hAnsi="Times New Roman" w:cs="Times New Roman"/>
        </w:rPr>
        <w:t xml:space="preserve"> 2013. Isosteric heats of gas </w:t>
      </w:r>
      <w:r w:rsidR="00BF31F2">
        <w:rPr>
          <w:rFonts w:ascii="Times New Roman" w:hAnsi="Times New Roman" w:cs="Times New Roman"/>
        </w:rPr>
        <w:t xml:space="preserve">and liquid adsorption. </w:t>
      </w:r>
      <w:r w:rsidR="00BF31F2" w:rsidRPr="004D2CA5">
        <w:rPr>
          <w:rFonts w:ascii="Times New Roman" w:hAnsi="Times New Roman" w:cs="Times New Roman"/>
          <w:i/>
        </w:rPr>
        <w:t>Langmuir</w:t>
      </w:r>
      <w:r w:rsidR="00BF31F2" w:rsidRPr="00BF4EDC">
        <w:rPr>
          <w:rFonts w:ascii="Times New Roman" w:hAnsi="Times New Roman" w:cs="Times New Roman"/>
        </w:rPr>
        <w:t xml:space="preserve"> 29(33)</w:t>
      </w:r>
      <w:r>
        <w:rPr>
          <w:rFonts w:ascii="Times New Roman" w:hAnsi="Times New Roman" w:cs="Times New Roman"/>
        </w:rPr>
        <w:t>:</w:t>
      </w:r>
      <w:r w:rsidR="00BF31F2" w:rsidRPr="00BF4EDC">
        <w:rPr>
          <w:rFonts w:ascii="Times New Roman" w:hAnsi="Times New Roman" w:cs="Times New Roman"/>
        </w:rPr>
        <w:t>10416-10422.</w:t>
      </w:r>
    </w:p>
    <w:p w:rsidR="00BF31F2" w:rsidRDefault="004D2CA5" w:rsidP="009D62CD">
      <w:pPr>
        <w:pStyle w:val="EndNoteBibliography"/>
        <w:numPr>
          <w:ilvl w:val="0"/>
          <w:numId w:val="4"/>
        </w:numPr>
        <w:spacing w:line="360" w:lineRule="auto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Forero, L.A., and J.</w:t>
      </w:r>
      <w:r w:rsidRPr="00BF4ED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Velasquez.</w:t>
      </w:r>
      <w:r w:rsidR="00BF31F2" w:rsidRPr="00BF4EDC">
        <w:rPr>
          <w:rFonts w:ascii="Times New Roman" w:hAnsi="Times New Roman" w:cs="Times New Roman"/>
        </w:rPr>
        <w:t xml:space="preserve"> 2011. Wagner liquid-vapour pressure equation constants from a simple methodology. </w:t>
      </w:r>
      <w:r w:rsidR="00BF31F2" w:rsidRPr="004D2CA5">
        <w:rPr>
          <w:rFonts w:ascii="Times New Roman" w:hAnsi="Times New Roman" w:cs="Times New Roman"/>
          <w:i/>
        </w:rPr>
        <w:t>J. Chem. Thermodyn.</w:t>
      </w:r>
      <w:r w:rsidR="00BF31F2" w:rsidRPr="00BF4EDC">
        <w:rPr>
          <w:rFonts w:ascii="Times New Roman" w:hAnsi="Times New Roman" w:cs="Times New Roman"/>
        </w:rPr>
        <w:t xml:space="preserve"> 43(8)</w:t>
      </w:r>
      <w:r>
        <w:rPr>
          <w:rFonts w:ascii="Times New Roman" w:hAnsi="Times New Roman" w:cs="Times New Roman"/>
        </w:rPr>
        <w:t>:</w:t>
      </w:r>
      <w:r w:rsidR="00BF31F2" w:rsidRPr="00BF4EDC">
        <w:rPr>
          <w:rFonts w:ascii="Times New Roman" w:hAnsi="Times New Roman" w:cs="Times New Roman"/>
        </w:rPr>
        <w:t>1235-1251.</w:t>
      </w:r>
    </w:p>
    <w:p w:rsidR="00BF31F2" w:rsidRDefault="004D2CA5" w:rsidP="009D62CD">
      <w:pPr>
        <w:pStyle w:val="EndNoteBibliography"/>
        <w:numPr>
          <w:ilvl w:val="0"/>
          <w:numId w:val="4"/>
        </w:numPr>
        <w:spacing w:line="360" w:lineRule="auto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Poling, B.E., J.M. Prausnitz, and J.</w:t>
      </w:r>
      <w:r w:rsidRPr="00BF4EDC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O'Connell. </w:t>
      </w:r>
      <w:r w:rsidR="00BF31F2">
        <w:rPr>
          <w:rFonts w:ascii="Times New Roman" w:hAnsi="Times New Roman" w:cs="Times New Roman"/>
        </w:rPr>
        <w:t>2001</w:t>
      </w:r>
      <w:r w:rsidR="00BF31F2" w:rsidRPr="00BF4EDC">
        <w:rPr>
          <w:rFonts w:ascii="Times New Roman" w:hAnsi="Times New Roman" w:cs="Times New Roman"/>
        </w:rPr>
        <w:t>. The properties of gases and liquids</w:t>
      </w:r>
      <w:r w:rsidR="00BF31F2">
        <w:rPr>
          <w:rFonts w:ascii="Times New Roman" w:hAnsi="Times New Roman" w:cs="Times New Roman"/>
        </w:rPr>
        <w:t>,</w:t>
      </w:r>
      <w:r w:rsidR="00BF31F2" w:rsidRPr="00BF4EDC">
        <w:rPr>
          <w:rFonts w:ascii="Times New Roman" w:hAnsi="Times New Roman" w:cs="Times New Roman"/>
        </w:rPr>
        <w:t xml:space="preserve"> </w:t>
      </w:r>
      <w:r w:rsidR="00BF31F2">
        <w:rPr>
          <w:rFonts w:ascii="Times New Roman" w:hAnsi="Times New Roman" w:cs="Times New Roman"/>
        </w:rPr>
        <w:t xml:space="preserve">fifth </w:t>
      </w:r>
      <w:r w:rsidR="00BF31F2" w:rsidRPr="00BF4EDC">
        <w:rPr>
          <w:rFonts w:ascii="Times New Roman" w:hAnsi="Times New Roman" w:cs="Times New Roman"/>
        </w:rPr>
        <w:t>ed. Mcgraw-hill</w:t>
      </w:r>
      <w:r w:rsidR="00BF31F2">
        <w:rPr>
          <w:rFonts w:ascii="Times New Roman" w:hAnsi="Times New Roman" w:cs="Times New Roman"/>
        </w:rPr>
        <w:t>,</w:t>
      </w:r>
      <w:r w:rsidR="00BF31F2" w:rsidRPr="00BF4EDC">
        <w:rPr>
          <w:rFonts w:ascii="Times New Roman" w:hAnsi="Times New Roman" w:cs="Times New Roman"/>
        </w:rPr>
        <w:t xml:space="preserve"> </w:t>
      </w:r>
      <w:r w:rsidR="00BF31F2">
        <w:rPr>
          <w:rFonts w:ascii="Times New Roman" w:hAnsi="Times New Roman" w:cs="Times New Roman"/>
        </w:rPr>
        <w:t>New York</w:t>
      </w:r>
      <w:r w:rsidR="00BF31F2" w:rsidRPr="00BF4EDC">
        <w:rPr>
          <w:rFonts w:ascii="Times New Roman" w:hAnsi="Times New Roman" w:cs="Times New Roman"/>
        </w:rPr>
        <w:t>.</w:t>
      </w:r>
    </w:p>
    <w:p w:rsidR="00BF31F2" w:rsidRDefault="004D2CA5" w:rsidP="009D62CD">
      <w:pPr>
        <w:pStyle w:val="EndNoteBibliography"/>
        <w:numPr>
          <w:ilvl w:val="0"/>
          <w:numId w:val="4"/>
        </w:numPr>
        <w:spacing w:line="360" w:lineRule="auto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Qi, S.Y., K.</w:t>
      </w:r>
      <w:r w:rsidRPr="00BF4EDC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Hay, M.J. </w:t>
      </w:r>
      <w:r w:rsidR="00BF31F2" w:rsidRPr="00BF4EDC">
        <w:rPr>
          <w:rFonts w:ascii="Times New Roman" w:hAnsi="Times New Roman" w:cs="Times New Roman"/>
        </w:rPr>
        <w:t>Rood,</w:t>
      </w:r>
      <w:r>
        <w:rPr>
          <w:rFonts w:ascii="Times New Roman" w:hAnsi="Times New Roman" w:cs="Times New Roman"/>
        </w:rPr>
        <w:t xml:space="preserve"> and M.</w:t>
      </w:r>
      <w:r w:rsidRPr="00BF4EDC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Cal.</w:t>
      </w:r>
      <w:r w:rsidR="00BF31F2" w:rsidRPr="00BF4EDC">
        <w:rPr>
          <w:rFonts w:ascii="Times New Roman" w:hAnsi="Times New Roman" w:cs="Times New Roman"/>
        </w:rPr>
        <w:t xml:space="preserve"> 2000. Equilibrium and heat of adsorption for water vapor and activated carbon. </w:t>
      </w:r>
      <w:r w:rsidR="00BF31F2" w:rsidRPr="004D2CA5">
        <w:rPr>
          <w:rFonts w:ascii="Times New Roman" w:hAnsi="Times New Roman" w:cs="Times New Roman"/>
          <w:i/>
        </w:rPr>
        <w:t>J. Environ. Eng.-ASCE</w:t>
      </w:r>
      <w:r w:rsidR="00BF31F2" w:rsidRPr="00BF4EDC">
        <w:rPr>
          <w:rFonts w:ascii="Times New Roman" w:hAnsi="Times New Roman" w:cs="Times New Roman"/>
        </w:rPr>
        <w:t xml:space="preserve"> 126(3)</w:t>
      </w:r>
      <w:r>
        <w:rPr>
          <w:rFonts w:ascii="Times New Roman" w:hAnsi="Times New Roman" w:cs="Times New Roman"/>
        </w:rPr>
        <w:t>:</w:t>
      </w:r>
      <w:r w:rsidR="00BF31F2" w:rsidRPr="00BF4EDC">
        <w:rPr>
          <w:rFonts w:ascii="Times New Roman" w:hAnsi="Times New Roman" w:cs="Times New Roman"/>
        </w:rPr>
        <w:t>267-271.</w:t>
      </w:r>
    </w:p>
    <w:p w:rsidR="00BF31F2" w:rsidRDefault="004D2CA5" w:rsidP="009D62CD">
      <w:pPr>
        <w:pStyle w:val="EndNoteBibliography"/>
        <w:numPr>
          <w:ilvl w:val="0"/>
          <w:numId w:val="4"/>
        </w:numPr>
        <w:spacing w:line="360" w:lineRule="auto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Ramirez, D., S.Y. Qi, and M.</w:t>
      </w:r>
      <w:r w:rsidRPr="00BF4EDC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Rood.</w:t>
      </w:r>
      <w:r w:rsidR="00BF31F2" w:rsidRPr="00BF4EDC">
        <w:rPr>
          <w:rFonts w:ascii="Times New Roman" w:hAnsi="Times New Roman" w:cs="Times New Roman"/>
        </w:rPr>
        <w:t xml:space="preserve"> 2005. Equilibrium and heat of adsorption for organic vapors and activated carbons. </w:t>
      </w:r>
      <w:r w:rsidR="00BF31F2" w:rsidRPr="004D2CA5">
        <w:rPr>
          <w:rFonts w:ascii="Times New Roman" w:hAnsi="Times New Roman" w:cs="Times New Roman"/>
          <w:i/>
        </w:rPr>
        <w:t>Environ. Sci. Technol.</w:t>
      </w:r>
      <w:r w:rsidR="00BF31F2" w:rsidRPr="00BF4EDC">
        <w:rPr>
          <w:rFonts w:ascii="Times New Roman" w:hAnsi="Times New Roman" w:cs="Times New Roman"/>
        </w:rPr>
        <w:t xml:space="preserve"> 39(15)</w:t>
      </w:r>
      <w:r>
        <w:rPr>
          <w:rFonts w:ascii="Times New Roman" w:hAnsi="Times New Roman" w:cs="Times New Roman"/>
        </w:rPr>
        <w:t>:</w:t>
      </w:r>
      <w:r w:rsidR="00BF31F2" w:rsidRPr="00BF4EDC">
        <w:rPr>
          <w:rFonts w:ascii="Times New Roman" w:hAnsi="Times New Roman" w:cs="Times New Roman"/>
        </w:rPr>
        <w:t>5864-5871.</w:t>
      </w:r>
    </w:p>
    <w:p w:rsidR="009212E8" w:rsidRDefault="004D2CA5" w:rsidP="009D62CD">
      <w:pPr>
        <w:pStyle w:val="EndNoteBibliography"/>
        <w:numPr>
          <w:ilvl w:val="0"/>
          <w:numId w:val="4"/>
        </w:numPr>
        <w:spacing w:line="360" w:lineRule="auto"/>
        <w:ind w:left="482" w:hanging="482"/>
      </w:pPr>
      <w:r>
        <w:rPr>
          <w:rFonts w:ascii="Times New Roman" w:hAnsi="Times New Roman" w:cs="Times New Roman"/>
        </w:rPr>
        <w:t>Whittaker, P.</w:t>
      </w:r>
      <w:r w:rsidR="00BF31F2" w:rsidRPr="00BF4EDC">
        <w:rPr>
          <w:rFonts w:ascii="Times New Roman" w:hAnsi="Times New Roman" w:cs="Times New Roman"/>
        </w:rPr>
        <w:t xml:space="preserve">B., </w:t>
      </w:r>
      <w:r w:rsidRPr="00BF4EDC">
        <w:rPr>
          <w:rFonts w:ascii="Times New Roman" w:hAnsi="Times New Roman" w:cs="Times New Roman"/>
        </w:rPr>
        <w:t>X.L.</w:t>
      </w:r>
      <w:r>
        <w:rPr>
          <w:rFonts w:ascii="Times New Roman" w:hAnsi="Times New Roman" w:cs="Times New Roman"/>
        </w:rPr>
        <w:t xml:space="preserve"> </w:t>
      </w:r>
      <w:r w:rsidR="00BF31F2" w:rsidRPr="00BF4EDC">
        <w:rPr>
          <w:rFonts w:ascii="Times New Roman" w:hAnsi="Times New Roman" w:cs="Times New Roman"/>
        </w:rPr>
        <w:t xml:space="preserve">Wang, </w:t>
      </w:r>
      <w:r>
        <w:rPr>
          <w:rFonts w:ascii="Times New Roman" w:hAnsi="Times New Roman" w:cs="Times New Roman"/>
        </w:rPr>
        <w:t>K.</w:t>
      </w:r>
      <w:r w:rsidR="00BF31F2" w:rsidRPr="00BF4EDC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egenauer-Lieb, and H.</w:t>
      </w:r>
      <w:r w:rsidRPr="00BF4EDC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Chua.</w:t>
      </w:r>
      <w:r w:rsidR="00BF31F2" w:rsidRPr="00BF4EDC">
        <w:rPr>
          <w:rFonts w:ascii="Times New Roman" w:hAnsi="Times New Roman" w:cs="Times New Roman"/>
        </w:rPr>
        <w:t xml:space="preserve"> 2013. Predicting isosteric heats for gas adsorption. </w:t>
      </w:r>
      <w:r w:rsidR="00BF31F2" w:rsidRPr="004D2CA5">
        <w:rPr>
          <w:rFonts w:ascii="Times New Roman" w:hAnsi="Times New Roman" w:cs="Times New Roman"/>
          <w:i/>
        </w:rPr>
        <w:t>Phys. Chem. Chem. Phys.</w:t>
      </w:r>
      <w:r w:rsidR="00BF31F2" w:rsidRPr="00BF4EDC">
        <w:rPr>
          <w:rFonts w:ascii="Times New Roman" w:hAnsi="Times New Roman" w:cs="Times New Roman"/>
        </w:rPr>
        <w:t xml:space="preserve"> 15(2)</w:t>
      </w:r>
      <w:r>
        <w:rPr>
          <w:rFonts w:ascii="Times New Roman" w:hAnsi="Times New Roman" w:cs="Times New Roman"/>
        </w:rPr>
        <w:t>:</w:t>
      </w:r>
      <w:r w:rsidR="00BF31F2" w:rsidRPr="00BF4EDC">
        <w:rPr>
          <w:rFonts w:ascii="Times New Roman" w:hAnsi="Times New Roman" w:cs="Times New Roman"/>
        </w:rPr>
        <w:t>473-482.</w:t>
      </w:r>
    </w:p>
    <w:sectPr w:rsidR="009212E8" w:rsidSect="0080267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4B" w:rsidRDefault="00854B4B" w:rsidP="00ED66CE">
      <w:r>
        <w:separator/>
      </w:r>
    </w:p>
  </w:endnote>
  <w:endnote w:type="continuationSeparator" w:id="0">
    <w:p w:rsidR="00854B4B" w:rsidRDefault="00854B4B" w:rsidP="00E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024926"/>
      <w:docPartObj>
        <w:docPartGallery w:val="Page Numbers (Bottom of Page)"/>
        <w:docPartUnique/>
      </w:docPartObj>
    </w:sdtPr>
    <w:sdtEndPr/>
    <w:sdtContent>
      <w:p w:rsidR="00CD1B21" w:rsidRDefault="00CD1B21">
        <w:pPr>
          <w:pStyle w:val="a6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2F13" w:rsidRPr="00292F13">
          <w:rPr>
            <w:noProof/>
            <w:lang w:val="zh-TW"/>
          </w:rPr>
          <w:t>7</w:t>
        </w:r>
        <w:r>
          <w:fldChar w:fldCharType="end"/>
        </w:r>
      </w:p>
    </w:sdtContent>
  </w:sdt>
  <w:p w:rsidR="00CD1B21" w:rsidRDefault="00CD1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4B" w:rsidRDefault="00854B4B" w:rsidP="00ED66CE">
      <w:r>
        <w:separator/>
      </w:r>
    </w:p>
  </w:footnote>
  <w:footnote w:type="continuationSeparator" w:id="0">
    <w:p w:rsidR="00854B4B" w:rsidRDefault="00854B4B" w:rsidP="00ED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0D5B"/>
    <w:multiLevelType w:val="hybridMultilevel"/>
    <w:tmpl w:val="15082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A5666F"/>
    <w:multiLevelType w:val="hybridMultilevel"/>
    <w:tmpl w:val="7B784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AE0FE5"/>
    <w:multiLevelType w:val="hybridMultilevel"/>
    <w:tmpl w:val="32ECF52E"/>
    <w:lvl w:ilvl="0" w:tplc="37367B38">
      <w:start w:val="1"/>
      <w:numFmt w:val="decimal"/>
      <w:lvlText w:val="(%1)"/>
      <w:lvlJc w:val="left"/>
      <w:pPr>
        <w:ind w:left="480" w:hanging="480"/>
      </w:pPr>
      <w:rPr>
        <w:rFonts w:ascii="Times" w:eastAsia="Times New Roman" w:hAnsi="Times" w:cs="Time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D779DF"/>
    <w:multiLevelType w:val="hybridMultilevel"/>
    <w:tmpl w:val="7B784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D66CE"/>
    <w:rsid w:val="000435D1"/>
    <w:rsid w:val="000550F3"/>
    <w:rsid w:val="000D4F0F"/>
    <w:rsid w:val="00110680"/>
    <w:rsid w:val="00134D2D"/>
    <w:rsid w:val="001817E7"/>
    <w:rsid w:val="002252D5"/>
    <w:rsid w:val="002803E6"/>
    <w:rsid w:val="00292F13"/>
    <w:rsid w:val="00296810"/>
    <w:rsid w:val="00484835"/>
    <w:rsid w:val="004854DA"/>
    <w:rsid w:val="004D2CA5"/>
    <w:rsid w:val="005467D5"/>
    <w:rsid w:val="005621C2"/>
    <w:rsid w:val="00577CC9"/>
    <w:rsid w:val="00594E98"/>
    <w:rsid w:val="005A1576"/>
    <w:rsid w:val="005F1609"/>
    <w:rsid w:val="006076CB"/>
    <w:rsid w:val="007D22A7"/>
    <w:rsid w:val="00802671"/>
    <w:rsid w:val="00854B4B"/>
    <w:rsid w:val="008B11A5"/>
    <w:rsid w:val="008C44C1"/>
    <w:rsid w:val="009212E8"/>
    <w:rsid w:val="009B4E84"/>
    <w:rsid w:val="009D62CD"/>
    <w:rsid w:val="009E2E52"/>
    <w:rsid w:val="00A4533F"/>
    <w:rsid w:val="00A97D02"/>
    <w:rsid w:val="00BF31F2"/>
    <w:rsid w:val="00BF4EDC"/>
    <w:rsid w:val="00C377F4"/>
    <w:rsid w:val="00CC1432"/>
    <w:rsid w:val="00CD1B21"/>
    <w:rsid w:val="00D11B8E"/>
    <w:rsid w:val="00D164BC"/>
    <w:rsid w:val="00D97024"/>
    <w:rsid w:val="00E85C7C"/>
    <w:rsid w:val="00EA4DFA"/>
    <w:rsid w:val="00ED1AC9"/>
    <w:rsid w:val="00ED66CE"/>
    <w:rsid w:val="00F45924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B4166"/>
  <w15:chartTrackingRefBased/>
  <w15:docId w15:val="{1448755B-E499-482E-BD92-395C4C95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66CE"/>
  </w:style>
  <w:style w:type="paragraph" w:styleId="a4">
    <w:name w:val="header"/>
    <w:basedOn w:val="a"/>
    <w:link w:val="a5"/>
    <w:uiPriority w:val="99"/>
    <w:unhideWhenUsed/>
    <w:rsid w:val="00ED6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6CE"/>
    <w:rPr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ED66C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ED66CE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rsid w:val="00ED66CE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0"/>
    <w:rsid w:val="00ED66CE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D66CE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ED66CE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D66CE"/>
    <w:rPr>
      <w:rFonts w:ascii="Calibri" w:hAnsi="Calibri" w:cs="Calibri"/>
      <w:noProof/>
    </w:rPr>
  </w:style>
  <w:style w:type="table" w:styleId="ab">
    <w:name w:val="Table Grid"/>
    <w:basedOn w:val="a1"/>
    <w:rsid w:val="00ED66CE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VDTableTitle">
    <w:name w:val="VD_Table_Title"/>
    <w:basedOn w:val="a"/>
    <w:next w:val="a"/>
    <w:rsid w:val="000435D1"/>
    <w:pPr>
      <w:widowControl/>
      <w:spacing w:after="200" w:line="480" w:lineRule="auto"/>
      <w:jc w:val="both"/>
    </w:pPr>
    <w:rPr>
      <w:rFonts w:ascii="Times" w:hAnsi="Times" w:cs="Times New Roman"/>
      <w:kern w:val="0"/>
      <w:szCs w:val="20"/>
      <w:lang w:eastAsia="en-US"/>
    </w:rPr>
  </w:style>
  <w:style w:type="paragraph" w:customStyle="1" w:styleId="TCTableBody">
    <w:name w:val="TC_Table_Body"/>
    <w:basedOn w:val="a"/>
    <w:rsid w:val="000435D1"/>
    <w:pPr>
      <w:widowControl/>
      <w:spacing w:after="200"/>
      <w:jc w:val="both"/>
    </w:pPr>
    <w:rPr>
      <w:rFonts w:ascii="Times" w:hAnsi="Times" w:cs="Times New Roman"/>
      <w:kern w:val="0"/>
      <w:szCs w:val="20"/>
      <w:lang w:eastAsia="en-US"/>
    </w:rPr>
  </w:style>
  <w:style w:type="table" w:customStyle="1" w:styleId="1">
    <w:name w:val="表格格線1"/>
    <w:basedOn w:val="a1"/>
    <w:next w:val="ab"/>
    <w:rsid w:val="000435D1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2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2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 Dan</dc:creator>
  <cp:keywords/>
  <dc:description/>
  <cp:lastModifiedBy>Hsing-Cheng Hsi</cp:lastModifiedBy>
  <cp:revision>7</cp:revision>
  <dcterms:created xsi:type="dcterms:W3CDTF">2020-02-19T02:02:00Z</dcterms:created>
  <dcterms:modified xsi:type="dcterms:W3CDTF">2020-02-29T01:59:00Z</dcterms:modified>
</cp:coreProperties>
</file>