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5F5" w:rsidRPr="00CE4EB9" w:rsidRDefault="00E535F5" w:rsidP="000037F6">
      <w:pPr>
        <w:spacing w:line="48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bookmarkStart w:id="0" w:name="_Hlk32932931"/>
      <w:bookmarkEnd w:id="0"/>
      <w:r w:rsidRPr="00CE4EB9">
        <w:rPr>
          <w:rFonts w:ascii="Times New Roman" w:eastAsiaTheme="minorHAnsi" w:hAnsi="Times New Roman" w:cs="Times New Roman"/>
          <w:b/>
          <w:sz w:val="24"/>
          <w:szCs w:val="24"/>
        </w:rPr>
        <w:t>Supplementary Material 1. Flow chart of patient enrollment and exclusion.</w:t>
      </w:r>
    </w:p>
    <w:p w:rsidR="000F5B7A" w:rsidRDefault="00E535F5" w:rsidP="000F5B7A">
      <w:pPr>
        <w:spacing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E4EB9">
        <w:rPr>
          <w:rFonts w:ascii="Times New Roman" w:eastAsiaTheme="minorHAnsi" w:hAnsi="Times New Roman" w:cs="Times New Roman"/>
          <w:sz w:val="24"/>
          <w:szCs w:val="24"/>
        </w:rPr>
        <w:t>SALS, Smart Advanced Life Support; OHCA, out-of-hospital cardiac arrest; ROSC, return of spontaneous circulation.</w:t>
      </w:r>
    </w:p>
    <w:p w:rsidR="00E535F5" w:rsidRPr="00CE4EB9" w:rsidRDefault="000F5B7A" w:rsidP="000F5B7A">
      <w:pPr>
        <w:spacing w:line="480" w:lineRule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0F5B7A">
        <w:t xml:space="preserve"> </w:t>
      </w:r>
      <w:r w:rsidR="00F57642">
        <w:rPr>
          <w:rFonts w:ascii="Times New Roman" w:eastAsiaTheme="minorHAnsi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731510" cy="4366895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Material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6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642" w:rsidRDefault="00F57642" w:rsidP="000037F6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F57642" w:rsidRDefault="00F57642" w:rsidP="000037F6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F57642" w:rsidRDefault="00F57642" w:rsidP="000037F6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F57642" w:rsidRDefault="00F57642" w:rsidP="000037F6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F57642" w:rsidRDefault="00F57642" w:rsidP="000037F6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F57642" w:rsidRDefault="00F57642" w:rsidP="000037F6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F57642" w:rsidRDefault="00F57642" w:rsidP="000037F6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E535F5" w:rsidRPr="00CE4EB9" w:rsidRDefault="00E535F5" w:rsidP="000037F6">
      <w:pPr>
        <w:rPr>
          <w:rFonts w:ascii="Times New Roman" w:eastAsiaTheme="minorHAnsi" w:hAnsi="Times New Roman" w:cs="Times New Roman"/>
          <w:b/>
          <w:sz w:val="24"/>
          <w:szCs w:val="24"/>
        </w:rPr>
      </w:pPr>
      <w:bookmarkStart w:id="1" w:name="_GoBack"/>
      <w:bookmarkEnd w:id="1"/>
      <w:r w:rsidRPr="00CE4EB9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Supplementary Material 2. Description of rearrest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418"/>
      </w:tblGrid>
      <w:tr w:rsidR="00E535F5" w:rsidRPr="00CE4EB9" w:rsidTr="00243C66"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5F5" w:rsidRPr="00CE4EB9" w:rsidRDefault="00E535F5" w:rsidP="00243C66">
            <w:pPr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5F5" w:rsidRPr="00CE4EB9" w:rsidRDefault="00E535F5" w:rsidP="00243C6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Rearrest (+)</w:t>
            </w:r>
          </w:p>
          <w:p w:rsidR="00E535F5" w:rsidRPr="00CE4EB9" w:rsidRDefault="00E535F5" w:rsidP="00243C6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group</w:t>
            </w:r>
          </w:p>
          <w:p w:rsidR="00E535F5" w:rsidRPr="00CE4EB9" w:rsidRDefault="00E535F5" w:rsidP="00243C6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n = 189</w:t>
            </w:r>
          </w:p>
        </w:tc>
      </w:tr>
      <w:tr w:rsidR="00E535F5" w:rsidRPr="00CE4EB9" w:rsidTr="00243C66">
        <w:tc>
          <w:tcPr>
            <w:tcW w:w="3544" w:type="dxa"/>
            <w:tcBorders>
              <w:top w:val="single" w:sz="12" w:space="0" w:color="auto"/>
            </w:tcBorders>
          </w:tcPr>
          <w:p w:rsidR="00E535F5" w:rsidRPr="00CE4EB9" w:rsidRDefault="00E535F5" w:rsidP="00243C66">
            <w:pPr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sz w:val="24"/>
                <w:szCs w:val="24"/>
              </w:rPr>
              <w:t>Sex (male), n (%)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E535F5" w:rsidRPr="00CE4EB9" w:rsidRDefault="00E535F5" w:rsidP="00243C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sz w:val="24"/>
                <w:szCs w:val="24"/>
              </w:rPr>
              <w:t>139 (73.5%)</w:t>
            </w:r>
          </w:p>
        </w:tc>
      </w:tr>
      <w:tr w:rsidR="00E535F5" w:rsidRPr="00CE4EB9" w:rsidTr="00243C66">
        <w:tc>
          <w:tcPr>
            <w:tcW w:w="3544" w:type="dxa"/>
          </w:tcPr>
          <w:p w:rsidR="00E535F5" w:rsidRPr="00CE4EB9" w:rsidRDefault="00E535F5" w:rsidP="00243C66">
            <w:pPr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1418" w:type="dxa"/>
            <w:vAlign w:val="center"/>
          </w:tcPr>
          <w:p w:rsidR="00E535F5" w:rsidRPr="00CE4EB9" w:rsidRDefault="00E535F5" w:rsidP="00243C66">
            <w:pPr>
              <w:widowControl/>
              <w:wordWrap/>
              <w:autoSpaceDE/>
              <w:autoSpaceDN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62 (54-73)</w:t>
            </w:r>
          </w:p>
        </w:tc>
      </w:tr>
      <w:tr w:rsidR="00E535F5" w:rsidRPr="00CE4EB9" w:rsidTr="00243C66">
        <w:tc>
          <w:tcPr>
            <w:tcW w:w="3544" w:type="dxa"/>
          </w:tcPr>
          <w:p w:rsidR="00E535F5" w:rsidRPr="00CE4EB9" w:rsidRDefault="00E535F5" w:rsidP="00243C66">
            <w:pPr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sz w:val="24"/>
                <w:szCs w:val="24"/>
              </w:rPr>
              <w:t>Location of rearrest, n (%)</w:t>
            </w:r>
          </w:p>
        </w:tc>
        <w:tc>
          <w:tcPr>
            <w:tcW w:w="1418" w:type="dxa"/>
            <w:vAlign w:val="center"/>
          </w:tcPr>
          <w:p w:rsidR="00E535F5" w:rsidRPr="00CE4EB9" w:rsidRDefault="00E535F5" w:rsidP="00243C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535F5" w:rsidRPr="00CE4EB9" w:rsidTr="00243C66">
        <w:tc>
          <w:tcPr>
            <w:tcW w:w="3544" w:type="dxa"/>
            <w:vAlign w:val="center"/>
          </w:tcPr>
          <w:p w:rsidR="00E535F5" w:rsidRPr="00CE4EB9" w:rsidRDefault="00E535F5" w:rsidP="00243C66">
            <w:pPr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Ambulance</w:t>
            </w:r>
          </w:p>
        </w:tc>
        <w:tc>
          <w:tcPr>
            <w:tcW w:w="1418" w:type="dxa"/>
            <w:vAlign w:val="center"/>
          </w:tcPr>
          <w:p w:rsidR="00E535F5" w:rsidRPr="00CE4EB9" w:rsidRDefault="00E535F5" w:rsidP="00243C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sz w:val="24"/>
                <w:szCs w:val="24"/>
              </w:rPr>
              <w:t>83 (43.9%)</w:t>
            </w:r>
          </w:p>
        </w:tc>
      </w:tr>
      <w:tr w:rsidR="00E535F5" w:rsidRPr="00CE4EB9" w:rsidTr="00243C66">
        <w:tc>
          <w:tcPr>
            <w:tcW w:w="3544" w:type="dxa"/>
            <w:vAlign w:val="center"/>
          </w:tcPr>
          <w:p w:rsidR="00E535F5" w:rsidRPr="00CE4EB9" w:rsidRDefault="00E535F5" w:rsidP="00243C66">
            <w:pPr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Field</w:t>
            </w:r>
          </w:p>
        </w:tc>
        <w:tc>
          <w:tcPr>
            <w:tcW w:w="1418" w:type="dxa"/>
            <w:vAlign w:val="center"/>
          </w:tcPr>
          <w:p w:rsidR="00E535F5" w:rsidRPr="00CE4EB9" w:rsidRDefault="00E535F5" w:rsidP="00243C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sz w:val="24"/>
                <w:szCs w:val="24"/>
              </w:rPr>
              <w:t>95 (50.3%)</w:t>
            </w:r>
          </w:p>
        </w:tc>
      </w:tr>
      <w:tr w:rsidR="00E535F5" w:rsidRPr="00CE4EB9" w:rsidTr="00243C66">
        <w:tc>
          <w:tcPr>
            <w:tcW w:w="3544" w:type="dxa"/>
            <w:vAlign w:val="center"/>
          </w:tcPr>
          <w:p w:rsidR="00E535F5" w:rsidRPr="00CE4EB9" w:rsidRDefault="00E535F5" w:rsidP="00243C66">
            <w:pPr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Hospital</w:t>
            </w:r>
          </w:p>
        </w:tc>
        <w:tc>
          <w:tcPr>
            <w:tcW w:w="1418" w:type="dxa"/>
            <w:vAlign w:val="center"/>
          </w:tcPr>
          <w:p w:rsidR="00E535F5" w:rsidRPr="00CE4EB9" w:rsidRDefault="00E535F5" w:rsidP="00243C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sz w:val="24"/>
                <w:szCs w:val="24"/>
              </w:rPr>
              <w:t>1 (0.5%)</w:t>
            </w:r>
          </w:p>
        </w:tc>
      </w:tr>
      <w:tr w:rsidR="00E535F5" w:rsidRPr="00CE4EB9" w:rsidTr="00243C66">
        <w:tc>
          <w:tcPr>
            <w:tcW w:w="3544" w:type="dxa"/>
            <w:vAlign w:val="center"/>
          </w:tcPr>
          <w:p w:rsidR="00E535F5" w:rsidRPr="00CE4EB9" w:rsidRDefault="00E535F5" w:rsidP="00243C66">
            <w:pPr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Unknown</w:t>
            </w:r>
          </w:p>
        </w:tc>
        <w:tc>
          <w:tcPr>
            <w:tcW w:w="1418" w:type="dxa"/>
            <w:vAlign w:val="center"/>
          </w:tcPr>
          <w:p w:rsidR="00E535F5" w:rsidRPr="00CE4EB9" w:rsidRDefault="00E535F5" w:rsidP="00243C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sz w:val="24"/>
                <w:szCs w:val="24"/>
              </w:rPr>
              <w:t>10 (5.3%)</w:t>
            </w:r>
          </w:p>
        </w:tc>
      </w:tr>
      <w:tr w:rsidR="00E535F5" w:rsidRPr="00CE4EB9" w:rsidTr="00243C66">
        <w:tc>
          <w:tcPr>
            <w:tcW w:w="3544" w:type="dxa"/>
          </w:tcPr>
          <w:p w:rsidR="00E535F5" w:rsidRPr="00CE4EB9" w:rsidRDefault="00E535F5" w:rsidP="00243C66">
            <w:pPr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sz w:val="24"/>
                <w:szCs w:val="24"/>
              </w:rPr>
              <w:t>Rhythm of rearrest, n (%)</w:t>
            </w:r>
          </w:p>
        </w:tc>
        <w:tc>
          <w:tcPr>
            <w:tcW w:w="1418" w:type="dxa"/>
            <w:vAlign w:val="center"/>
          </w:tcPr>
          <w:p w:rsidR="00E535F5" w:rsidRPr="00CE4EB9" w:rsidRDefault="00E535F5" w:rsidP="00243C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535F5" w:rsidRPr="00CE4EB9" w:rsidTr="00243C66">
        <w:tc>
          <w:tcPr>
            <w:tcW w:w="3544" w:type="dxa"/>
            <w:vAlign w:val="center"/>
          </w:tcPr>
          <w:p w:rsidR="00E535F5" w:rsidRPr="00CE4EB9" w:rsidRDefault="00E535F5" w:rsidP="00243C66">
            <w:pPr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VF/pulseless VT</w:t>
            </w:r>
          </w:p>
        </w:tc>
        <w:tc>
          <w:tcPr>
            <w:tcW w:w="1418" w:type="dxa"/>
            <w:vAlign w:val="center"/>
          </w:tcPr>
          <w:p w:rsidR="00E535F5" w:rsidRPr="00CE4EB9" w:rsidRDefault="00E535F5" w:rsidP="00243C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sz w:val="24"/>
                <w:szCs w:val="24"/>
              </w:rPr>
              <w:t>29 (15.3%)</w:t>
            </w:r>
          </w:p>
        </w:tc>
      </w:tr>
      <w:tr w:rsidR="00E535F5" w:rsidRPr="00CE4EB9" w:rsidTr="00243C66">
        <w:tc>
          <w:tcPr>
            <w:tcW w:w="3544" w:type="dxa"/>
            <w:vAlign w:val="center"/>
          </w:tcPr>
          <w:p w:rsidR="00E535F5" w:rsidRPr="00CE4EB9" w:rsidRDefault="00E535F5" w:rsidP="00243C66">
            <w:pPr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PEA</w:t>
            </w:r>
          </w:p>
        </w:tc>
        <w:tc>
          <w:tcPr>
            <w:tcW w:w="1418" w:type="dxa"/>
            <w:vAlign w:val="center"/>
          </w:tcPr>
          <w:p w:rsidR="00E535F5" w:rsidRPr="00CE4EB9" w:rsidRDefault="00E535F5" w:rsidP="00243C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sz w:val="24"/>
                <w:szCs w:val="24"/>
              </w:rPr>
              <w:t>61 (32.3%)</w:t>
            </w:r>
          </w:p>
        </w:tc>
      </w:tr>
      <w:tr w:rsidR="00E535F5" w:rsidRPr="00CE4EB9" w:rsidTr="00243C66">
        <w:tc>
          <w:tcPr>
            <w:tcW w:w="3544" w:type="dxa"/>
            <w:vAlign w:val="center"/>
          </w:tcPr>
          <w:p w:rsidR="00E535F5" w:rsidRPr="00CE4EB9" w:rsidRDefault="00E535F5" w:rsidP="00243C66">
            <w:pPr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Asystole</w:t>
            </w:r>
          </w:p>
        </w:tc>
        <w:tc>
          <w:tcPr>
            <w:tcW w:w="1418" w:type="dxa"/>
            <w:vAlign w:val="center"/>
          </w:tcPr>
          <w:p w:rsidR="00E535F5" w:rsidRPr="00CE4EB9" w:rsidRDefault="00E535F5" w:rsidP="00243C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sz w:val="24"/>
                <w:szCs w:val="24"/>
              </w:rPr>
              <w:t>33 (17.5%)</w:t>
            </w:r>
          </w:p>
        </w:tc>
      </w:tr>
      <w:tr w:rsidR="00E535F5" w:rsidRPr="00CE4EB9" w:rsidTr="00243C66">
        <w:tc>
          <w:tcPr>
            <w:tcW w:w="3544" w:type="dxa"/>
            <w:vAlign w:val="center"/>
          </w:tcPr>
          <w:p w:rsidR="00E535F5" w:rsidRPr="00CE4EB9" w:rsidRDefault="00E535F5" w:rsidP="00243C66">
            <w:pPr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Unknown</w:t>
            </w:r>
          </w:p>
        </w:tc>
        <w:tc>
          <w:tcPr>
            <w:tcW w:w="1418" w:type="dxa"/>
            <w:vAlign w:val="center"/>
          </w:tcPr>
          <w:p w:rsidR="00E535F5" w:rsidRPr="00CE4EB9" w:rsidRDefault="00E535F5" w:rsidP="00243C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sz w:val="24"/>
                <w:szCs w:val="24"/>
              </w:rPr>
              <w:t>66 (34.9%)</w:t>
            </w:r>
          </w:p>
        </w:tc>
      </w:tr>
      <w:tr w:rsidR="00E535F5" w:rsidRPr="00CE4EB9" w:rsidTr="00243C66">
        <w:tc>
          <w:tcPr>
            <w:tcW w:w="3544" w:type="dxa"/>
          </w:tcPr>
          <w:p w:rsidR="00E535F5" w:rsidRPr="00CE4EB9" w:rsidRDefault="00E535F5" w:rsidP="00243C66">
            <w:pPr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sz w:val="24"/>
                <w:szCs w:val="24"/>
              </w:rPr>
              <w:t>Interval from first prehospital ROSC to rearrest (min)</w:t>
            </w:r>
          </w:p>
        </w:tc>
        <w:tc>
          <w:tcPr>
            <w:tcW w:w="1418" w:type="dxa"/>
            <w:vAlign w:val="center"/>
          </w:tcPr>
          <w:p w:rsidR="00E535F5" w:rsidRPr="00CE4EB9" w:rsidRDefault="00E535F5" w:rsidP="00243C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sz w:val="24"/>
                <w:szCs w:val="24"/>
              </w:rPr>
              <w:t>3.0 (2.0-6.0)</w:t>
            </w:r>
          </w:p>
        </w:tc>
      </w:tr>
      <w:tr w:rsidR="00E535F5" w:rsidRPr="00CE4EB9" w:rsidTr="00243C66">
        <w:tc>
          <w:tcPr>
            <w:tcW w:w="3544" w:type="dxa"/>
          </w:tcPr>
          <w:p w:rsidR="00E535F5" w:rsidRPr="00CE4EB9" w:rsidRDefault="00E535F5" w:rsidP="00243C66">
            <w:pPr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sz w:val="24"/>
                <w:szCs w:val="24"/>
              </w:rPr>
              <w:t>Frequency of rearrest</w:t>
            </w:r>
          </w:p>
        </w:tc>
        <w:tc>
          <w:tcPr>
            <w:tcW w:w="1418" w:type="dxa"/>
            <w:vAlign w:val="center"/>
          </w:tcPr>
          <w:p w:rsidR="00E535F5" w:rsidRPr="00CE4EB9" w:rsidRDefault="00E535F5" w:rsidP="00243C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535F5" w:rsidRPr="00CE4EB9" w:rsidTr="00243C66">
        <w:tc>
          <w:tcPr>
            <w:tcW w:w="3544" w:type="dxa"/>
            <w:vAlign w:val="center"/>
          </w:tcPr>
          <w:p w:rsidR="00E535F5" w:rsidRPr="00CE4EB9" w:rsidRDefault="00E535F5" w:rsidP="00243C66">
            <w:pPr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18" w:type="dxa"/>
            <w:vAlign w:val="center"/>
          </w:tcPr>
          <w:p w:rsidR="00E535F5" w:rsidRPr="00CE4EB9" w:rsidRDefault="00E535F5" w:rsidP="00243C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sz w:val="24"/>
                <w:szCs w:val="24"/>
              </w:rPr>
              <w:t>150 (79.4%)</w:t>
            </w:r>
          </w:p>
        </w:tc>
      </w:tr>
      <w:tr w:rsidR="00E535F5" w:rsidRPr="00CE4EB9" w:rsidTr="00243C66">
        <w:tc>
          <w:tcPr>
            <w:tcW w:w="3544" w:type="dxa"/>
            <w:vAlign w:val="center"/>
          </w:tcPr>
          <w:p w:rsidR="00E535F5" w:rsidRPr="00CE4EB9" w:rsidRDefault="00E535F5" w:rsidP="00243C66">
            <w:pPr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418" w:type="dxa"/>
            <w:vAlign w:val="center"/>
          </w:tcPr>
          <w:p w:rsidR="00E535F5" w:rsidRPr="00CE4EB9" w:rsidRDefault="00E535F5" w:rsidP="00243C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sz w:val="24"/>
                <w:szCs w:val="24"/>
              </w:rPr>
              <w:t>22 (11.6%)</w:t>
            </w:r>
          </w:p>
        </w:tc>
      </w:tr>
      <w:tr w:rsidR="00E535F5" w:rsidRPr="00CE4EB9" w:rsidTr="00243C66">
        <w:tc>
          <w:tcPr>
            <w:tcW w:w="3544" w:type="dxa"/>
            <w:vAlign w:val="center"/>
          </w:tcPr>
          <w:p w:rsidR="00E535F5" w:rsidRPr="00CE4EB9" w:rsidRDefault="00E535F5" w:rsidP="00243C66">
            <w:pPr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418" w:type="dxa"/>
            <w:vAlign w:val="center"/>
          </w:tcPr>
          <w:p w:rsidR="00E535F5" w:rsidRPr="00CE4EB9" w:rsidRDefault="00E535F5" w:rsidP="00243C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sz w:val="24"/>
                <w:szCs w:val="24"/>
              </w:rPr>
              <w:t>7 (3.7%)</w:t>
            </w:r>
          </w:p>
        </w:tc>
      </w:tr>
      <w:tr w:rsidR="00E535F5" w:rsidRPr="00CE4EB9" w:rsidTr="00243C66">
        <w:tc>
          <w:tcPr>
            <w:tcW w:w="3544" w:type="dxa"/>
            <w:vAlign w:val="center"/>
          </w:tcPr>
          <w:p w:rsidR="00E535F5" w:rsidRPr="00CE4EB9" w:rsidRDefault="00E535F5" w:rsidP="00243C66">
            <w:pPr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≥4</w:t>
            </w:r>
          </w:p>
        </w:tc>
        <w:tc>
          <w:tcPr>
            <w:tcW w:w="1418" w:type="dxa"/>
            <w:vAlign w:val="center"/>
          </w:tcPr>
          <w:p w:rsidR="00E535F5" w:rsidRPr="00CE4EB9" w:rsidRDefault="00E535F5" w:rsidP="00243C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sz w:val="24"/>
                <w:szCs w:val="24"/>
              </w:rPr>
              <w:t>2 (1.1%)</w:t>
            </w:r>
          </w:p>
        </w:tc>
      </w:tr>
      <w:tr w:rsidR="00E535F5" w:rsidRPr="00CE4EB9" w:rsidTr="00243C66"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E535F5" w:rsidRPr="00CE4EB9" w:rsidRDefault="00E535F5" w:rsidP="00243C66">
            <w:pPr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Unknown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535F5" w:rsidRPr="00CE4EB9" w:rsidRDefault="00E535F5" w:rsidP="00243C6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EB9">
              <w:rPr>
                <w:rFonts w:ascii="Times New Roman" w:eastAsiaTheme="minorHAnsi" w:hAnsi="Times New Roman" w:cs="Times New Roman"/>
                <w:sz w:val="24"/>
                <w:szCs w:val="24"/>
              </w:rPr>
              <w:t>8 (4.2%)</w:t>
            </w:r>
          </w:p>
        </w:tc>
      </w:tr>
    </w:tbl>
    <w:p w:rsidR="00E535F5" w:rsidRPr="00CE4EB9" w:rsidRDefault="00E535F5" w:rsidP="000037F6">
      <w:pPr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CE4EB9">
        <w:rPr>
          <w:rFonts w:ascii="Times New Roman" w:eastAsiaTheme="minorHAnsi" w:hAnsi="Times New Roman" w:cs="Times New Roman"/>
          <w:sz w:val="24"/>
          <w:szCs w:val="24"/>
        </w:rPr>
        <w:t>Values are expressed as numbers (percentages) or medians (interquartile ranges).</w:t>
      </w:r>
    </w:p>
    <w:p w:rsidR="00E535F5" w:rsidRPr="00CE4EB9" w:rsidRDefault="00E535F5" w:rsidP="000037F6">
      <w:pPr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CE4EB9">
        <w:rPr>
          <w:rFonts w:ascii="Times New Roman" w:eastAsiaTheme="minorHAnsi" w:hAnsi="Times New Roman" w:cs="Times New Roman"/>
          <w:sz w:val="24"/>
          <w:szCs w:val="24"/>
        </w:rPr>
        <w:t>Abbreviations: VF, ventricular fibrillation; VT, ventricular tachycardia; PEA, pulseless electrical activity; ROSC, return of spontaneous circulation.</w:t>
      </w:r>
    </w:p>
    <w:sectPr w:rsidR="00E535F5" w:rsidRPr="00CE4EB9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1E6" w:rsidRDefault="008E11E6">
      <w:pPr>
        <w:spacing w:after="0" w:line="240" w:lineRule="auto"/>
      </w:pPr>
      <w:r>
        <w:separator/>
      </w:r>
    </w:p>
  </w:endnote>
  <w:endnote w:type="continuationSeparator" w:id="0">
    <w:p w:rsidR="008E11E6" w:rsidRDefault="008E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9994747"/>
      <w:docPartObj>
        <w:docPartGallery w:val="Page Numbers (Bottom of Page)"/>
        <w:docPartUnique/>
      </w:docPartObj>
    </w:sdtPr>
    <w:sdtEndPr/>
    <w:sdtContent>
      <w:p w:rsidR="00CC6274" w:rsidRDefault="00071B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CC6274" w:rsidRDefault="008E11E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1E6" w:rsidRDefault="008E11E6">
      <w:pPr>
        <w:spacing w:after="0" w:line="240" w:lineRule="auto"/>
      </w:pPr>
      <w:r>
        <w:separator/>
      </w:r>
    </w:p>
  </w:footnote>
  <w:footnote w:type="continuationSeparator" w:id="0">
    <w:p w:rsidR="008E11E6" w:rsidRDefault="008E1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xtzQzNTAyMDAwNjNT0lEKTi0uzszPAykwqgUA7/TqDS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535F5"/>
    <w:rsid w:val="00000C0E"/>
    <w:rsid w:val="00071B3C"/>
    <w:rsid w:val="000F5B7A"/>
    <w:rsid w:val="0034025A"/>
    <w:rsid w:val="003B3FF3"/>
    <w:rsid w:val="005E6A52"/>
    <w:rsid w:val="00714B04"/>
    <w:rsid w:val="008E11E6"/>
    <w:rsid w:val="009C4436"/>
    <w:rsid w:val="00E535F5"/>
    <w:rsid w:val="00F57642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A0217"/>
  <w15:chartTrackingRefBased/>
  <w15:docId w15:val="{598B5C8D-1568-40F5-9FB1-DAF9B1AA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35F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535F5"/>
    <w:rPr>
      <w:sz w:val="18"/>
      <w:szCs w:val="18"/>
    </w:rPr>
  </w:style>
  <w:style w:type="paragraph" w:styleId="a4">
    <w:name w:val="annotation text"/>
    <w:basedOn w:val="a"/>
    <w:link w:val="Char"/>
    <w:uiPriority w:val="99"/>
    <w:unhideWhenUsed/>
    <w:rsid w:val="00E535F5"/>
    <w:pPr>
      <w:jc w:val="left"/>
    </w:pPr>
  </w:style>
  <w:style w:type="character" w:customStyle="1" w:styleId="Char">
    <w:name w:val="메모 텍스트 Char"/>
    <w:basedOn w:val="a0"/>
    <w:link w:val="a4"/>
    <w:uiPriority w:val="99"/>
    <w:rsid w:val="00E535F5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E535F5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E535F5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E535F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535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E535F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E535F5"/>
  </w:style>
  <w:style w:type="paragraph" w:styleId="a8">
    <w:name w:val="footer"/>
    <w:basedOn w:val="a"/>
    <w:link w:val="Char3"/>
    <w:uiPriority w:val="99"/>
    <w:unhideWhenUsed/>
    <w:rsid w:val="00E535F5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8"/>
    <w:uiPriority w:val="99"/>
    <w:rsid w:val="00E535F5"/>
  </w:style>
  <w:style w:type="paragraph" w:styleId="HTML">
    <w:name w:val="HTML Preformatted"/>
    <w:basedOn w:val="a"/>
    <w:link w:val="HTMLChar"/>
    <w:uiPriority w:val="99"/>
    <w:unhideWhenUsed/>
    <w:rsid w:val="00E535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E535F5"/>
    <w:rPr>
      <w:rFonts w:ascii="굴림체" w:eastAsia="굴림체" w:hAnsi="굴림체" w:cs="굴림체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E535F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E5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a"/>
    <w:uiPriority w:val="59"/>
    <w:rsid w:val="00E535F5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E535F5"/>
    <w:pPr>
      <w:spacing w:after="0" w:line="240" w:lineRule="auto"/>
      <w:jc w:val="left"/>
    </w:pPr>
  </w:style>
  <w:style w:type="paragraph" w:customStyle="1" w:styleId="EndNoteBibliographyTitle">
    <w:name w:val="EndNote Bibliography Title"/>
    <w:basedOn w:val="a"/>
    <w:link w:val="EndNoteBibliographyTitleChar"/>
    <w:rsid w:val="00E535F5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E535F5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E535F5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E535F5"/>
    <w:rPr>
      <w:rFonts w:ascii="맑은 고딕" w:eastAsia="맑은 고딕" w:hAnsi="맑은 고딕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우 재혁</dc:creator>
  <cp:keywords/>
  <dc:description/>
  <cp:lastModifiedBy>Cho JS</cp:lastModifiedBy>
  <cp:revision>2</cp:revision>
  <dcterms:created xsi:type="dcterms:W3CDTF">2020-02-18T06:42:00Z</dcterms:created>
  <dcterms:modified xsi:type="dcterms:W3CDTF">2020-02-18T06:42:00Z</dcterms:modified>
</cp:coreProperties>
</file>