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B2" w:rsidRDefault="005832B2">
      <w:pPr>
        <w:widowControl/>
        <w:rPr>
          <w:rFonts w:ascii="Times New Roman" w:eastAsia="DFKai-SB" w:hAnsi="Times New Roman" w:cs="Times New Roman"/>
        </w:rPr>
      </w:pPr>
      <w:bookmarkStart w:id="0" w:name="_GoBack"/>
      <w:bookmarkEnd w:id="0"/>
    </w:p>
    <w:p w:rsidR="00224CDD" w:rsidRDefault="005832B2" w:rsidP="00E11404">
      <w:pPr>
        <w:widowControl/>
        <w:spacing w:line="360" w:lineRule="auto"/>
        <w:jc w:val="both"/>
        <w:rPr>
          <w:rFonts w:ascii="Times New Roman" w:eastAsia="DFKai-SB" w:hAnsi="Times New Roman" w:cs="Times New Roman"/>
        </w:rPr>
      </w:pPr>
      <w:r w:rsidRPr="005832B2">
        <w:rPr>
          <w:noProof/>
          <w:lang w:eastAsia="en-US"/>
        </w:rPr>
        <w:drawing>
          <wp:inline distT="0" distB="0" distL="0" distR="0">
            <wp:extent cx="4438650" cy="33180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148" cy="331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B2" w:rsidRDefault="00224CDD" w:rsidP="00E1140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B5CB0">
        <w:rPr>
          <w:rFonts w:ascii="Times New Roman" w:eastAsia="DFKai-SB" w:hAnsi="Times New Roman" w:cs="Times New Roman"/>
          <w:b/>
        </w:rPr>
        <w:t>Fig. S1.</w:t>
      </w:r>
      <w:r>
        <w:rPr>
          <w:rFonts w:ascii="Times New Roman" w:eastAsia="DFKai-SB" w:hAnsi="Times New Roman" w:cs="Times New Roman"/>
        </w:rPr>
        <w:t xml:space="preserve"> </w:t>
      </w:r>
      <w:r w:rsidRPr="00841675">
        <w:rPr>
          <w:rFonts w:ascii="Times New Roman" w:hAnsi="Times New Roman" w:cs="Times New Roman"/>
          <w:szCs w:val="24"/>
        </w:rPr>
        <w:t>The concentration of plasma glucose in rats</w:t>
      </w:r>
      <w:r>
        <w:rPr>
          <w:rFonts w:ascii="Times New Roman" w:hAnsi="Times New Roman" w:cs="Times New Roman"/>
          <w:szCs w:val="24"/>
        </w:rPr>
        <w:t xml:space="preserve"> before the treatment of</w:t>
      </w:r>
      <w:r w:rsidR="00D2052E" w:rsidRPr="00390E28">
        <w:rPr>
          <w:rFonts w:ascii="Times New Roman" w:eastAsia="DFKai-SB" w:hAnsi="Times New Roman" w:cs="Times New Roman"/>
          <w:bCs/>
        </w:rPr>
        <w:t xml:space="preserve"> </w:t>
      </w:r>
      <w:r w:rsidR="00D2052E" w:rsidRPr="00390E28">
        <w:rPr>
          <w:rFonts w:ascii="Times New Roman" w:eastAsia="DFKai-SB" w:hAnsi="Times New Roman" w:cs="Times New Roman"/>
          <w:bCs/>
          <w:i/>
        </w:rPr>
        <w:t>G. lucidum</w:t>
      </w:r>
      <w:r w:rsidR="00D2052E">
        <w:rPr>
          <w:rFonts w:ascii="Times New Roman" w:eastAsia="DFKai-SB" w:hAnsi="Times New Roman" w:cs="Times New Roman" w:hint="eastAsia"/>
          <w:bCs/>
        </w:rPr>
        <w:t xml:space="preserve"> supplement</w:t>
      </w:r>
      <w:r w:rsidR="00D2052E">
        <w:rPr>
          <w:rFonts w:ascii="Times New Roman" w:eastAsia="DFKai-SB" w:hAnsi="Times New Roman" w:cs="Times New Roman"/>
          <w:bCs/>
        </w:rPr>
        <w:t xml:space="preserve"> high-cholesterol diets </w:t>
      </w:r>
      <w:r>
        <w:rPr>
          <w:rFonts w:ascii="Times New Roman" w:hAnsi="Times New Roman" w:cs="Times New Roman"/>
          <w:szCs w:val="24"/>
        </w:rPr>
        <w:t xml:space="preserve">in </w:t>
      </w:r>
      <w:r w:rsidRPr="00462B9C">
        <w:rPr>
          <w:rFonts w:ascii="Times New Roman" w:hAnsi="Times New Roman" w:cs="Times New Roman"/>
          <w:szCs w:val="24"/>
        </w:rPr>
        <w:t>oral glucose tolerance test</w:t>
      </w:r>
      <w:r>
        <w:rPr>
          <w:rFonts w:ascii="Times New Roman" w:hAnsi="Times New Roman" w:cs="Times New Roman"/>
          <w:szCs w:val="24"/>
        </w:rPr>
        <w:t xml:space="preserve"> (OGTT)</w:t>
      </w:r>
      <w:r w:rsidRPr="00462B9C">
        <w:rPr>
          <w:rFonts w:ascii="Times New Roman" w:hAnsi="Times New Roman" w:cs="Times New Roman"/>
          <w:szCs w:val="24"/>
        </w:rPr>
        <w:t xml:space="preserve">. The rats were injected with </w:t>
      </w:r>
      <w:r>
        <w:rPr>
          <w:rFonts w:ascii="Times New Roman" w:hAnsi="Times New Roman" w:cs="Times New Roman"/>
          <w:sz w:val="23"/>
          <w:szCs w:val="23"/>
        </w:rPr>
        <w:t>nicotinamide</w:t>
      </w:r>
      <w:r w:rsidRPr="00462B9C">
        <w:rPr>
          <w:rFonts w:ascii="Times New Roman" w:hAnsi="Times New Roman" w:cs="Times New Roman"/>
          <w:sz w:val="23"/>
          <w:szCs w:val="23"/>
        </w:rPr>
        <w:t xml:space="preserve"> and streptozotocin for the induction of </w:t>
      </w:r>
      <w:r>
        <w:rPr>
          <w:rFonts w:ascii="Times New Roman" w:hAnsi="Times New Roman" w:cs="Times New Roman"/>
          <w:sz w:val="23"/>
          <w:szCs w:val="23"/>
        </w:rPr>
        <w:t xml:space="preserve">type 2 </w:t>
      </w:r>
      <w:r w:rsidRPr="00462B9C">
        <w:rPr>
          <w:rFonts w:ascii="Times New Roman" w:hAnsi="Times New Roman" w:cs="Times New Roman"/>
          <w:sz w:val="23"/>
          <w:szCs w:val="23"/>
        </w:rPr>
        <w:t xml:space="preserve">diabetes </w:t>
      </w:r>
      <w:r w:rsidRPr="00462B9C">
        <w:rPr>
          <w:rFonts w:ascii="Times New Roman" w:hAnsi="Times New Roman" w:cs="Times New Roman"/>
          <w:szCs w:val="24"/>
        </w:rPr>
        <w:t xml:space="preserve">as described in </w:t>
      </w:r>
      <w:r w:rsidRPr="00462B9C">
        <w:rPr>
          <w:rFonts w:ascii="Times New Roman" w:hAnsi="Times New Roman" w:cs="Times New Roman"/>
          <w:b/>
          <w:szCs w:val="24"/>
        </w:rPr>
        <w:t>Materials and methods</w:t>
      </w:r>
      <w:r w:rsidRPr="00462B9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After 1 week, the blood samples were collected at 120 min after glucose administration. The </w:t>
      </w:r>
      <w:r w:rsidRPr="00841675">
        <w:rPr>
          <w:rFonts w:ascii="Times New Roman" w:hAnsi="Times New Roman" w:cs="Times New Roman"/>
          <w:szCs w:val="24"/>
        </w:rPr>
        <w:t>concentration of plasma glucose</w:t>
      </w:r>
      <w:r>
        <w:rPr>
          <w:rFonts w:ascii="Times New Roman" w:hAnsi="Times New Roman" w:cs="Times New Roman"/>
          <w:szCs w:val="24"/>
        </w:rPr>
        <w:t xml:space="preserve"> was measured by enzymatic kit following </w:t>
      </w:r>
      <w:r w:rsidRPr="00462B9C">
        <w:rPr>
          <w:rFonts w:ascii="Times New Roman" w:hAnsi="Times New Roman" w:cs="Times New Roman"/>
          <w:szCs w:val="24"/>
        </w:rPr>
        <w:t>the supplier’s instruction</w:t>
      </w:r>
      <w:r>
        <w:rPr>
          <w:rFonts w:ascii="Times New Roman" w:hAnsi="Times New Roman" w:cs="Times New Roman"/>
          <w:szCs w:val="24"/>
        </w:rPr>
        <w:t xml:space="preserve">. </w:t>
      </w:r>
      <w:r w:rsidRPr="00462B9C">
        <w:rPr>
          <w:rFonts w:ascii="Times New Roman" w:hAnsi="Times New Roman" w:cs="Times New Roman"/>
          <w:szCs w:val="24"/>
        </w:rPr>
        <w:t>Results are expressed as mean</w:t>
      </w:r>
      <w:r>
        <w:rPr>
          <w:rFonts w:ascii="Times New Roman" w:hAnsi="Times New Roman" w:cs="Times New Roman"/>
          <w:szCs w:val="24"/>
        </w:rPr>
        <w:t xml:space="preserve"> </w:t>
      </w:r>
      <w:r w:rsidRPr="00462B9C">
        <w:rPr>
          <w:rFonts w:ascii="Times New Roman" w:hAnsi="Times New Roman" w:cs="Times New Roman" w:hint="eastAsia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S</w:t>
      </w:r>
      <w:r w:rsidR="00711122">
        <w:rPr>
          <w:rFonts w:ascii="Times New Roman" w:hAnsi="Times New Roman" w:cs="Times New Roman" w:hint="eastAsia"/>
          <w:szCs w:val="24"/>
        </w:rPr>
        <w:t>EM</w:t>
      </w:r>
      <w:r>
        <w:rPr>
          <w:rFonts w:ascii="Times New Roman" w:hAnsi="Times New Roman" w:cs="Times New Roman"/>
          <w:szCs w:val="24"/>
        </w:rPr>
        <w:t xml:space="preserve"> </w:t>
      </w:r>
      <w:r w:rsidRPr="00462B9C">
        <w:rPr>
          <w:rFonts w:ascii="Times New Roman" w:hAnsi="Times New Roman" w:cs="Times New Roman"/>
          <w:szCs w:val="24"/>
        </w:rPr>
        <w:t>for each group of rats (n=8)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vertAlign w:val="superscript"/>
        </w:rPr>
        <w:t>#</w:t>
      </w:r>
      <w:r w:rsidRPr="00462B9C">
        <w:rPr>
          <w:rFonts w:ascii="Times New Roman" w:hAnsi="Times New Roman" w:cs="Times New Roman"/>
          <w:szCs w:val="24"/>
        </w:rPr>
        <w:t xml:space="preserve">p &lt; 0.05 compared with </w:t>
      </w:r>
      <w:r>
        <w:rPr>
          <w:rFonts w:ascii="Times New Roman" w:hAnsi="Times New Roman" w:cs="Times New Roman"/>
          <w:szCs w:val="24"/>
        </w:rPr>
        <w:t>the normal</w:t>
      </w:r>
      <w:r w:rsidRPr="00462B9C">
        <w:rPr>
          <w:rFonts w:ascii="Times New Roman" w:hAnsi="Times New Roman" w:cs="Times New Roman"/>
          <w:szCs w:val="24"/>
        </w:rPr>
        <w:t xml:space="preserve"> control </w:t>
      </w:r>
      <w:r>
        <w:rPr>
          <w:rFonts w:ascii="Times New Roman" w:hAnsi="Times New Roman" w:cs="Times New Roman"/>
          <w:szCs w:val="24"/>
        </w:rPr>
        <w:t>group (N</w:t>
      </w:r>
      <w:r w:rsidRPr="00462B9C">
        <w:rPr>
          <w:rFonts w:ascii="Times New Roman" w:hAnsi="Times New Roman" w:cs="Times New Roman"/>
          <w:szCs w:val="24"/>
        </w:rPr>
        <w:t>C)).</w:t>
      </w:r>
    </w:p>
    <w:p w:rsidR="005832B2" w:rsidRDefault="005832B2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24CDD" w:rsidRPr="00A54ACE" w:rsidRDefault="00224CDD" w:rsidP="00E11404">
      <w:pPr>
        <w:widowControl/>
        <w:spacing w:line="360" w:lineRule="auto"/>
        <w:rPr>
          <w:rFonts w:ascii="Times New Roman" w:eastAsia="DFKai-SB" w:hAnsi="Times New Roman" w:cs="Times New Roman"/>
        </w:rPr>
      </w:pPr>
      <w:r w:rsidRPr="00A54ACE">
        <w:rPr>
          <w:rFonts w:ascii="Times New Roman" w:eastAsia="DFKai-SB" w:hAnsi="Times New Roman" w:cs="Times New Roman"/>
          <w:bCs/>
        </w:rPr>
        <w:lastRenderedPageBreak/>
        <w:t xml:space="preserve">Table </w:t>
      </w:r>
      <w:r>
        <w:rPr>
          <w:rFonts w:ascii="Times New Roman" w:eastAsia="DFKai-SB" w:hAnsi="Times New Roman" w:cs="Times New Roman"/>
          <w:bCs/>
        </w:rPr>
        <w:t>S</w:t>
      </w:r>
      <w:r w:rsidRPr="00A54ACE">
        <w:rPr>
          <w:rFonts w:ascii="Times New Roman" w:eastAsia="DFKai-SB" w:hAnsi="Times New Roman" w:cs="Times New Roman"/>
          <w:bCs/>
        </w:rPr>
        <w:t xml:space="preserve">1. </w:t>
      </w:r>
      <w:r>
        <w:rPr>
          <w:rFonts w:ascii="Times New Roman" w:eastAsia="DFKai-SB" w:hAnsi="Times New Roman" w:cs="Times New Roman" w:hint="eastAsia"/>
          <w:bCs/>
        </w:rPr>
        <w:t>Contents of mycelium</w:t>
      </w:r>
      <w:r>
        <w:rPr>
          <w:rFonts w:ascii="Times New Roman" w:eastAsia="DFKai-SB" w:hAnsi="Times New Roman" w:cs="Times New Roman"/>
          <w:bCs/>
        </w:rPr>
        <w:t xml:space="preserve"> and</w:t>
      </w:r>
      <w:r>
        <w:rPr>
          <w:rFonts w:ascii="Times New Roman" w:eastAsia="DFKai-SB" w:hAnsi="Times New Roman" w:cs="Times New Roman" w:hint="eastAsia"/>
          <w:bCs/>
        </w:rPr>
        <w:t xml:space="preserve"> extracellular polysaccharides in </w:t>
      </w:r>
      <w:r>
        <w:rPr>
          <w:rFonts w:ascii="Times New Roman" w:eastAsia="DFKai-SB" w:hAnsi="Times New Roman" w:cs="Times New Roman"/>
          <w:bCs/>
        </w:rPr>
        <w:t xml:space="preserve">the submerged culture of </w:t>
      </w:r>
      <w:r w:rsidRPr="00A54ACE">
        <w:rPr>
          <w:rFonts w:ascii="Times New Roman" w:eastAsia="DFKai-SB" w:hAnsi="Times New Roman" w:cs="Times New Roman"/>
          <w:bCs/>
          <w:i/>
          <w:iCs/>
        </w:rPr>
        <w:t>Ganoderma lucidum</w:t>
      </w:r>
      <w:r w:rsidRPr="00A54ACE">
        <w:rPr>
          <w:rFonts w:ascii="Times New Roman" w:eastAsia="DFKai-SB" w:hAnsi="Times New Roman" w:cs="Times New Roman"/>
          <w:bCs/>
        </w:rPr>
        <w:t xml:space="preserve"> </w:t>
      </w:r>
      <w:r>
        <w:rPr>
          <w:rFonts w:ascii="Times New Roman" w:eastAsia="DFKai-SB" w:hAnsi="Times New Roman" w:cs="Times New Roman" w:hint="eastAsia"/>
          <w:bCs/>
        </w:rPr>
        <w:t>at 30</w:t>
      </w:r>
      <w:r w:rsidRPr="00D9017E">
        <w:rPr>
          <w:rFonts w:ascii="Times New Roman" w:eastAsia="DFKai-SB" w:hAnsi="Times New Roman" w:cs="Times New Roman" w:hint="eastAsia"/>
          <w:bCs/>
          <w:vertAlign w:val="superscript"/>
        </w:rPr>
        <w:t>o</w:t>
      </w:r>
      <w:r>
        <w:rPr>
          <w:rFonts w:ascii="Times New Roman" w:eastAsia="DFKai-SB" w:hAnsi="Times New Roman" w:cs="Times New Roman" w:hint="eastAsia"/>
          <w:bCs/>
        </w:rPr>
        <w:t>C for</w:t>
      </w:r>
      <w:r>
        <w:rPr>
          <w:rFonts w:ascii="Times New Roman" w:eastAsia="DFKai-SB" w:hAnsi="Times New Roman" w:cs="Times New Roman"/>
          <w:bCs/>
        </w:rPr>
        <w:t xml:space="preserve"> 7 days</w:t>
      </w:r>
      <w:r>
        <w:rPr>
          <w:rFonts w:ascii="Times New Roman" w:eastAsia="DFKai-SB" w:hAnsi="Times New Roman" w:cs="Times New Roman" w:hint="eastAsia"/>
          <w:bCs/>
        </w:rPr>
        <w:t>.</w:t>
      </w:r>
    </w:p>
    <w:p w:rsidR="00224CDD" w:rsidRPr="00D9017E" w:rsidRDefault="00224CDD" w:rsidP="00E11404">
      <w:pPr>
        <w:widowControl/>
        <w:spacing w:line="360" w:lineRule="auto"/>
        <w:rPr>
          <w:rFonts w:ascii="Times New Roman" w:eastAsia="DFKai-SB" w:hAnsi="Times New Roman" w:cs="Times New Roman"/>
        </w:rPr>
      </w:pPr>
    </w:p>
    <w:tbl>
      <w:tblPr>
        <w:tblW w:w="92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0"/>
        <w:gridCol w:w="2410"/>
        <w:gridCol w:w="4047"/>
      </w:tblGrid>
      <w:tr w:rsidR="00224CDD" w:rsidRPr="00A54ACE" w:rsidTr="006C6982">
        <w:trPr>
          <w:trHeight w:val="596"/>
        </w:trPr>
        <w:tc>
          <w:tcPr>
            <w:tcW w:w="27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4CDD" w:rsidRPr="00A54ACE" w:rsidRDefault="00224CDD" w:rsidP="006C698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FKai-SB" w:hAnsi="Times New Roman" w:cs="Times New Roman"/>
                <w:kern w:val="0"/>
                <w:szCs w:val="36"/>
              </w:rPr>
            </w:pPr>
            <w:r w:rsidRPr="00A54ACE">
              <w:rPr>
                <w:rFonts w:ascii="Times New Roman" w:eastAsia="DFKai-SB" w:hAnsi="Times New Roman" w:cs="Times New Roman"/>
                <w:b/>
                <w:bCs/>
                <w:color w:val="000000" w:themeColor="dark1"/>
                <w:kern w:val="24"/>
                <w:szCs w:val="36"/>
              </w:rPr>
              <w:t>Item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4CDD" w:rsidRPr="00A54ACE" w:rsidRDefault="00224CDD" w:rsidP="006C698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FKai-SB" w:hAnsi="Times New Roman" w:cs="Times New Roman"/>
                <w:kern w:val="0"/>
                <w:szCs w:val="36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color w:val="000000" w:themeColor="dark1"/>
                <w:kern w:val="24"/>
                <w:szCs w:val="36"/>
              </w:rPr>
              <w:t xml:space="preserve">Mycelium </w:t>
            </w:r>
            <w:r>
              <w:rPr>
                <w:rFonts w:ascii="Times New Roman" w:eastAsia="DFKai-SB" w:hAnsi="Times New Roman" w:cs="Times New Roman" w:hint="eastAsia"/>
                <w:b/>
                <w:bCs/>
                <w:color w:val="000000" w:themeColor="dark1"/>
                <w:kern w:val="24"/>
                <w:szCs w:val="36"/>
              </w:rPr>
              <w:t>(g/L)</w:t>
            </w:r>
          </w:p>
        </w:tc>
        <w:tc>
          <w:tcPr>
            <w:tcW w:w="404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4CDD" w:rsidRPr="00A54ACE" w:rsidRDefault="00224CDD" w:rsidP="006C698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FKai-SB" w:hAnsi="Times New Roman" w:cs="Times New Roman"/>
                <w:kern w:val="0"/>
                <w:szCs w:val="36"/>
              </w:rPr>
            </w:pPr>
            <w:r w:rsidRPr="008239E1">
              <w:rPr>
                <w:rFonts w:ascii="Times New Roman" w:eastAsia="DFKai-SB" w:hAnsi="Times New Roman" w:cs="Times New Roman" w:hint="eastAsia"/>
                <w:b/>
                <w:bCs/>
              </w:rPr>
              <w:t>Extracellular</w:t>
            </w:r>
            <w:r>
              <w:rPr>
                <w:rFonts w:ascii="Times New Roman" w:eastAsia="DFKai-SB" w:hAnsi="Times New Roman" w:cs="Times New Roman"/>
                <w:b/>
                <w:bCs/>
                <w:color w:val="000000" w:themeColor="dark1"/>
                <w:kern w:val="24"/>
                <w:szCs w:val="36"/>
              </w:rPr>
              <w:t xml:space="preserve"> Polysaccharides </w:t>
            </w:r>
            <w:r>
              <w:rPr>
                <w:rFonts w:ascii="Times New Roman" w:eastAsia="DFKai-SB" w:hAnsi="Times New Roman" w:cs="Times New Roman" w:hint="eastAsia"/>
                <w:b/>
                <w:bCs/>
                <w:color w:val="000000" w:themeColor="dark1"/>
                <w:kern w:val="24"/>
                <w:szCs w:val="36"/>
              </w:rPr>
              <w:t>(g/L)</w:t>
            </w:r>
          </w:p>
        </w:tc>
      </w:tr>
      <w:tr w:rsidR="00224CDD" w:rsidRPr="00FD0104" w:rsidTr="006C6982">
        <w:trPr>
          <w:trHeight w:val="1072"/>
        </w:trPr>
        <w:tc>
          <w:tcPr>
            <w:tcW w:w="27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4CDD" w:rsidRPr="00FD0104" w:rsidRDefault="00224CDD" w:rsidP="006C698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FKai-SB" w:hAnsi="Times New Roman" w:cs="Times New Roman"/>
                <w:kern w:val="0"/>
                <w:szCs w:val="36"/>
              </w:rPr>
            </w:pPr>
            <w:r w:rsidRPr="00FD0104">
              <w:rPr>
                <w:rFonts w:ascii="Times New Roman" w:eastAsia="DFKai-SB" w:hAnsi="Times New Roman" w:cs="Times New Roman"/>
                <w:i/>
                <w:iCs/>
                <w:color w:val="000000" w:themeColor="dark1"/>
                <w:kern w:val="24"/>
                <w:szCs w:val="32"/>
              </w:rPr>
              <w:t>Ganoderma lucidum</w:t>
            </w:r>
            <w:r>
              <w:rPr>
                <w:rFonts w:ascii="Times New Roman" w:eastAsia="DFKai-SB" w:hAnsi="Times New Roman" w:cs="Times New Roman"/>
                <w:color w:val="000000" w:themeColor="dark1"/>
                <w:kern w:val="24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4CDD" w:rsidRPr="00FD0104" w:rsidRDefault="00224CDD" w:rsidP="006C698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FKai-SB" w:hAnsi="Times New Roman" w:cs="Times New Roman"/>
                <w:kern w:val="0"/>
                <w:szCs w:val="36"/>
              </w:rPr>
            </w:pPr>
            <w:r w:rsidRPr="00FD0104">
              <w:rPr>
                <w:rFonts w:ascii="Times New Roman" w:eastAsia="DFKai-SB" w:hAnsi="Times New Roman" w:cs="Times New Roman"/>
                <w:color w:val="000000" w:themeColor="dark1"/>
                <w:kern w:val="24"/>
                <w:szCs w:val="32"/>
              </w:rPr>
              <w:t>6.56 ± 0.74</w:t>
            </w:r>
          </w:p>
        </w:tc>
        <w:tc>
          <w:tcPr>
            <w:tcW w:w="404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4CDD" w:rsidRPr="00FD0104" w:rsidRDefault="00224CDD" w:rsidP="006C6982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FKai-SB" w:hAnsi="Times New Roman" w:cs="Times New Roman"/>
                <w:kern w:val="0"/>
                <w:szCs w:val="36"/>
              </w:rPr>
            </w:pPr>
            <w:r w:rsidRPr="00FD0104">
              <w:rPr>
                <w:rFonts w:ascii="Times New Roman" w:eastAsia="DFKai-SB" w:hAnsi="Times New Roman" w:cs="Times New Roman"/>
                <w:color w:val="000000" w:themeColor="dark1"/>
                <w:kern w:val="24"/>
                <w:szCs w:val="32"/>
              </w:rPr>
              <w:t>0.50 ± 0.08</w:t>
            </w:r>
          </w:p>
        </w:tc>
      </w:tr>
    </w:tbl>
    <w:p w:rsidR="00224CDD" w:rsidRDefault="00224CDD" w:rsidP="00E11404">
      <w:pPr>
        <w:widowControl/>
        <w:spacing w:line="360" w:lineRule="auto"/>
        <w:rPr>
          <w:rFonts w:ascii="Times New Roman" w:eastAsia="DFKai-SB" w:hAnsi="Times New Roman" w:cs="Times New Roman"/>
        </w:rPr>
      </w:pPr>
      <w:r w:rsidRPr="00FD0104">
        <w:rPr>
          <w:rFonts w:ascii="Times New Roman" w:eastAsia="DFKai-SB" w:hAnsi="Times New Roman" w:cs="Times New Roman"/>
        </w:rPr>
        <w:t xml:space="preserve">Results are expressed as mean ± SD for </w:t>
      </w:r>
      <w:r w:rsidRPr="00FD0104">
        <w:rPr>
          <w:rFonts w:ascii="Times New Roman" w:eastAsia="DFKai-SB" w:hAnsi="Times New Roman" w:cs="Times New Roman"/>
          <w:i/>
          <w:iCs/>
        </w:rPr>
        <w:t>Ganoderma lucidum</w:t>
      </w:r>
      <w:r w:rsidRPr="00FD0104">
        <w:rPr>
          <w:rFonts w:ascii="Times New Roman" w:eastAsia="DFKai-SB" w:hAnsi="Times New Roman" w:cs="Times New Roman"/>
        </w:rPr>
        <w:t xml:space="preserve"> (n=3).</w:t>
      </w:r>
    </w:p>
    <w:p w:rsidR="00224CDD" w:rsidRDefault="00224CDD" w:rsidP="00E11404">
      <w:pPr>
        <w:widowControl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24CDD" w:rsidRPr="00E11404" w:rsidRDefault="00224CDD" w:rsidP="00225651">
      <w:pPr>
        <w:widowControl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2074F" w:rsidRDefault="00647D7C"/>
    <w:sectPr w:rsidR="0022074F" w:rsidSect="009D758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7C" w:rsidRDefault="00647D7C" w:rsidP="005832B2">
      <w:r>
        <w:separator/>
      </w:r>
    </w:p>
  </w:endnote>
  <w:endnote w:type="continuationSeparator" w:id="0">
    <w:p w:rsidR="00647D7C" w:rsidRDefault="00647D7C" w:rsidP="0058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7C" w:rsidRDefault="00647D7C" w:rsidP="005832B2">
      <w:r>
        <w:separator/>
      </w:r>
    </w:p>
  </w:footnote>
  <w:footnote w:type="continuationSeparator" w:id="0">
    <w:p w:rsidR="00647D7C" w:rsidRDefault="00647D7C" w:rsidP="0058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B2" w:rsidRPr="005832B2" w:rsidRDefault="005832B2">
    <w:pPr>
      <w:pStyle w:val="Header"/>
      <w:rPr>
        <w:rFonts w:ascii="Times New Roman" w:hAnsi="Times New Roman" w:cs="Times New Roman"/>
        <w:sz w:val="24"/>
        <w:szCs w:val="24"/>
      </w:rPr>
    </w:pPr>
    <w:r w:rsidRPr="005832B2">
      <w:rPr>
        <w:rFonts w:ascii="Times New Roman" w:hAnsi="Times New Roman" w:cs="Times New Roman"/>
        <w:sz w:val="24"/>
        <w:szCs w:val="24"/>
      </w:rPr>
      <w:t>Supporting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7853"/>
    <w:multiLevelType w:val="hybridMultilevel"/>
    <w:tmpl w:val="BFDE498E"/>
    <w:lvl w:ilvl="0" w:tplc="E35E2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24CDD"/>
    <w:rsid w:val="00224CDD"/>
    <w:rsid w:val="002B1F1B"/>
    <w:rsid w:val="002B3336"/>
    <w:rsid w:val="005832B2"/>
    <w:rsid w:val="006124F1"/>
    <w:rsid w:val="00647D7C"/>
    <w:rsid w:val="00667068"/>
    <w:rsid w:val="006B22D1"/>
    <w:rsid w:val="00711122"/>
    <w:rsid w:val="00850017"/>
    <w:rsid w:val="009D68AF"/>
    <w:rsid w:val="00A25461"/>
    <w:rsid w:val="00AA2A9C"/>
    <w:rsid w:val="00B1782E"/>
    <w:rsid w:val="00B762F5"/>
    <w:rsid w:val="00D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D6FE2-E252-4757-AED8-A8F3229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D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C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4C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4CDD"/>
    <w:rPr>
      <w:sz w:val="20"/>
      <w:szCs w:val="20"/>
    </w:rPr>
  </w:style>
  <w:style w:type="table" w:styleId="TableGrid">
    <w:name w:val="Table Grid"/>
    <w:basedOn w:val="TableNormal"/>
    <w:uiPriority w:val="59"/>
    <w:rsid w:val="0022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4CD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224CDD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224CD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0"/>
    <w:rsid w:val="00224CDD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224CD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224CDD"/>
    <w:pPr>
      <w:jc w:val="both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224CD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Prasanna kumara Kanagaraj, Integra-PDY, IN</cp:lastModifiedBy>
  <cp:revision>2</cp:revision>
  <dcterms:created xsi:type="dcterms:W3CDTF">2020-03-21T11:36:00Z</dcterms:created>
  <dcterms:modified xsi:type="dcterms:W3CDTF">2020-03-21T11:36:00Z</dcterms:modified>
</cp:coreProperties>
</file>