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15" w:rsidRPr="00737915" w:rsidRDefault="00737915" w:rsidP="00737915">
      <w:pPr>
        <w:pStyle w:val="NormalIndent"/>
        <w:adjustRightInd w:val="0"/>
        <w:snapToGrid w:val="0"/>
        <w:spacing w:line="360" w:lineRule="auto"/>
        <w:ind w:firstLine="640"/>
        <w:jc w:val="center"/>
        <w:rPr>
          <w:kern w:val="0"/>
          <w:sz w:val="32"/>
          <w:szCs w:val="32"/>
        </w:rPr>
      </w:pPr>
      <w:r w:rsidRPr="00737915">
        <w:rPr>
          <w:kern w:val="0"/>
          <w:sz w:val="32"/>
          <w:szCs w:val="32"/>
        </w:rPr>
        <w:t>Supplementary Materials for</w:t>
      </w:r>
    </w:p>
    <w:p w:rsidR="00737915" w:rsidRPr="00737915" w:rsidRDefault="00737915" w:rsidP="00737915">
      <w:pPr>
        <w:rPr>
          <w:rFonts w:ascii="Times New Roman" w:eastAsia="SimSu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</w:rPr>
        <w:t>D</w:t>
      </w:r>
      <w:r>
        <w:rPr>
          <w:rFonts w:ascii="Times New Roman" w:eastAsia="SimSun" w:hAnsi="Times New Roman" w:cs="Times New Roman" w:hint="eastAsia"/>
          <w:sz w:val="32"/>
          <w:szCs w:val="32"/>
        </w:rPr>
        <w:t>eveloping</w:t>
      </w:r>
      <w:r>
        <w:rPr>
          <w:rFonts w:ascii="Times New Roman" w:eastAsia="SimSun" w:hAnsi="Times New Roman" w:cs="Times New Roman"/>
          <w:sz w:val="32"/>
          <w:szCs w:val="32"/>
        </w:rPr>
        <w:t xml:space="preserve"> P</w:t>
      </w:r>
      <w:r w:rsidRPr="00481D3E">
        <w:rPr>
          <w:rFonts w:ascii="Times New Roman" w:eastAsia="SimSun" w:hAnsi="Times New Roman" w:cs="Times New Roman"/>
          <w:sz w:val="32"/>
          <w:szCs w:val="32"/>
        </w:rPr>
        <w:t xml:space="preserve">rotein arginine methyltransferase 1 (PRMT1) inhibitor </w:t>
      </w:r>
      <w:r>
        <w:rPr>
          <w:rFonts w:ascii="Times New Roman" w:eastAsia="SimSun" w:hAnsi="Times New Roman" w:cs="Times New Roman"/>
          <w:sz w:val="32"/>
          <w:szCs w:val="32"/>
        </w:rPr>
        <w:t>TC-E</w:t>
      </w:r>
      <w:r w:rsidRPr="00481D3E">
        <w:rPr>
          <w:rFonts w:ascii="Times New Roman" w:eastAsia="SimSun" w:hAnsi="Times New Roman" w:cs="Times New Roman"/>
          <w:sz w:val="32"/>
          <w:szCs w:val="32"/>
        </w:rPr>
        <w:t>-5003 as an antitumor drug using INEI drug delivery systems</w:t>
      </w:r>
    </w:p>
    <w:p w:rsidR="00737915" w:rsidRDefault="00737915" w:rsidP="00737915">
      <w:pPr>
        <w:pStyle w:val="NormalIndent"/>
        <w:adjustRightInd w:val="0"/>
        <w:snapToGrid w:val="0"/>
        <w:spacing w:line="360" w:lineRule="auto"/>
        <w:ind w:firstLine="482"/>
        <w:rPr>
          <w:rFonts w:hAnsi="SimSun"/>
          <w:b/>
          <w:bCs/>
          <w:sz w:val="24"/>
        </w:rPr>
      </w:pPr>
    </w:p>
    <w:p w:rsidR="00FE22D9" w:rsidRPr="00883923" w:rsidRDefault="00883923" w:rsidP="00737915">
      <w:pPr>
        <w:pStyle w:val="NormalIndent"/>
        <w:adjustRightInd w:val="0"/>
        <w:snapToGrid w:val="0"/>
        <w:spacing w:line="360" w:lineRule="auto"/>
        <w:ind w:firstLine="482"/>
        <w:jc w:val="left"/>
        <w:rPr>
          <w:rFonts w:hAnsi="SimSun"/>
          <w:b/>
          <w:bCs/>
          <w:sz w:val="24"/>
          <w:szCs w:val="24"/>
        </w:rPr>
      </w:pPr>
      <w:r w:rsidRPr="00883923">
        <w:rPr>
          <w:rFonts w:hAnsi="SimSun"/>
          <w:b/>
          <w:bCs/>
          <w:sz w:val="24"/>
        </w:rPr>
        <w:t>E</w:t>
      </w:r>
      <w:r w:rsidRPr="00883923">
        <w:rPr>
          <w:rFonts w:hAnsi="SimSun" w:hint="eastAsia"/>
          <w:b/>
          <w:bCs/>
          <w:sz w:val="24"/>
        </w:rPr>
        <w:t>xten</w:t>
      </w:r>
      <w:r w:rsidRPr="00883923">
        <w:rPr>
          <w:rFonts w:hAnsi="SimSun"/>
          <w:b/>
          <w:bCs/>
          <w:sz w:val="24"/>
        </w:rPr>
        <w:t>ded Data Table1|</w:t>
      </w:r>
      <w:r w:rsidR="00FE22D9" w:rsidRPr="00883923">
        <w:rPr>
          <w:rFonts w:hAnsi="SimSun"/>
          <w:b/>
          <w:bCs/>
          <w:sz w:val="24"/>
        </w:rPr>
        <w:t xml:space="preserve"> Experiment animal group information</w:t>
      </w:r>
    </w:p>
    <w:tbl>
      <w:tblPr>
        <w:tblW w:w="505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502"/>
        <w:gridCol w:w="2142"/>
        <w:gridCol w:w="1250"/>
        <w:gridCol w:w="2324"/>
      </w:tblGrid>
      <w:tr w:rsidR="00FE22D9" w:rsidRPr="00883923" w:rsidTr="007E5774">
        <w:trPr>
          <w:trHeight w:val="263"/>
        </w:trPr>
        <w:tc>
          <w:tcPr>
            <w:tcW w:w="661" w:type="pct"/>
            <w:tcBorders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Sex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 w:hint="eastAsia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Group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D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ose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（</w:t>
            </w: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mg/kg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Number of animals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Animal number</w:t>
            </w:r>
          </w:p>
        </w:tc>
      </w:tr>
      <w:tr w:rsidR="00FE22D9" w:rsidRPr="00883923" w:rsidTr="007E5774">
        <w:trPr>
          <w:trHeight w:val="263"/>
        </w:trPr>
        <w:tc>
          <w:tcPr>
            <w:tcW w:w="661" w:type="pct"/>
            <w:vMerge w:val="restart"/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M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ale</w:t>
            </w:r>
          </w:p>
        </w:tc>
        <w:tc>
          <w:tcPr>
            <w:tcW w:w="1321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Control group</w:t>
            </w:r>
          </w:p>
        </w:tc>
        <w:tc>
          <w:tcPr>
            <w:tcW w:w="1131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0</w:t>
            </w:r>
          </w:p>
        </w:tc>
        <w:tc>
          <w:tcPr>
            <w:tcW w:w="660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1M01-1M0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vAlign w:val="center"/>
            <w:hideMark/>
          </w:tcPr>
          <w:p w:rsidR="00FE22D9" w:rsidRPr="00883923" w:rsidRDefault="00FE22D9" w:rsidP="007E5774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Intravenous paclitaxel injection group</w:t>
            </w:r>
          </w:p>
        </w:tc>
        <w:tc>
          <w:tcPr>
            <w:tcW w:w="113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1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2M01-2M0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low dose group</w:t>
            </w:r>
          </w:p>
        </w:tc>
        <w:tc>
          <w:tcPr>
            <w:tcW w:w="113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10</w:t>
            </w:r>
          </w:p>
        </w:tc>
        <w:tc>
          <w:tcPr>
            <w:tcW w:w="660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3M01-3M0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FE22D9" w:rsidRPr="00883923" w:rsidRDefault="00FE22D9" w:rsidP="007E5774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high dose group</w:t>
            </w:r>
          </w:p>
        </w:tc>
        <w:tc>
          <w:tcPr>
            <w:tcW w:w="113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2</w:t>
            </w: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E22D9" w:rsidRPr="00883923" w:rsidRDefault="00FE22D9" w:rsidP="007E5774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4M01-4M0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661" w:type="pct"/>
            <w:vMerge w:val="restart"/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F</w:t>
            </w: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emale</w:t>
            </w:r>
          </w:p>
        </w:tc>
        <w:tc>
          <w:tcPr>
            <w:tcW w:w="1321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Control group</w:t>
            </w:r>
          </w:p>
        </w:tc>
        <w:tc>
          <w:tcPr>
            <w:tcW w:w="1131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0</w:t>
            </w:r>
          </w:p>
        </w:tc>
        <w:tc>
          <w:tcPr>
            <w:tcW w:w="660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1F01-1F0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vAlign w:val="center"/>
            <w:hideMark/>
          </w:tcPr>
          <w:p w:rsidR="00FE22D9" w:rsidRPr="00883923" w:rsidRDefault="00FE22D9" w:rsidP="00FE22D9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Intravenous paclitaxel injection group</w:t>
            </w:r>
          </w:p>
        </w:tc>
        <w:tc>
          <w:tcPr>
            <w:tcW w:w="113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1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2F01-2F0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vAlign w:val="center"/>
            <w:hideMark/>
          </w:tcPr>
          <w:p w:rsidR="00FE22D9" w:rsidRPr="00883923" w:rsidRDefault="00FE22D9" w:rsidP="00FE22D9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low dose group</w:t>
            </w:r>
          </w:p>
        </w:tc>
        <w:tc>
          <w:tcPr>
            <w:tcW w:w="1131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10</w:t>
            </w:r>
          </w:p>
        </w:tc>
        <w:tc>
          <w:tcPr>
            <w:tcW w:w="660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  <w:bottom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3F01-3F0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  <w:tr w:rsidR="00FE22D9" w:rsidRPr="00883923" w:rsidTr="007E5774">
        <w:trPr>
          <w:trHeight w:val="263"/>
        </w:trPr>
        <w:tc>
          <w:tcPr>
            <w:tcW w:w="0" w:type="auto"/>
            <w:vMerge/>
            <w:vAlign w:val="center"/>
            <w:hideMark/>
          </w:tcPr>
          <w:p w:rsidR="00FE22D9" w:rsidRPr="00883923" w:rsidRDefault="00FE22D9" w:rsidP="00FE22D9">
            <w:pPr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1321" w:type="pct"/>
            <w:tcBorders>
              <w:top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high dose group</w:t>
            </w:r>
          </w:p>
        </w:tc>
        <w:tc>
          <w:tcPr>
            <w:tcW w:w="1131" w:type="pct"/>
            <w:tcBorders>
              <w:top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20</w:t>
            </w:r>
          </w:p>
        </w:tc>
        <w:tc>
          <w:tcPr>
            <w:tcW w:w="660" w:type="pct"/>
            <w:tcBorders>
              <w:top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  <w:tc>
          <w:tcPr>
            <w:tcW w:w="1227" w:type="pct"/>
            <w:tcBorders>
              <w:top w:val="nil"/>
            </w:tcBorders>
            <w:vAlign w:val="center"/>
            <w:hideMark/>
          </w:tcPr>
          <w:p w:rsidR="00FE22D9" w:rsidRPr="00883923" w:rsidRDefault="00FE22D9" w:rsidP="00FE22D9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4F01-4F0</w:t>
            </w:r>
            <w:r w:rsidRPr="00883923">
              <w:rPr>
                <w:rFonts w:ascii="Times New Roman" w:eastAsia="SimSun" w:hAnsi="SimSun" w:cs="Times New Roman" w:hint="eastAsia"/>
                <w:kern w:val="2"/>
                <w:szCs w:val="20"/>
              </w:rPr>
              <w:t>4</w:t>
            </w:r>
          </w:p>
        </w:tc>
      </w:tr>
    </w:tbl>
    <w:p w:rsidR="00F14629" w:rsidRDefault="00F14629" w:rsidP="00F14629">
      <w:pPr>
        <w:tabs>
          <w:tab w:val="left" w:pos="3240"/>
        </w:tabs>
        <w:rPr>
          <w:szCs w:val="21"/>
        </w:rPr>
      </w:pPr>
    </w:p>
    <w:p w:rsidR="00737915" w:rsidRDefault="00737915" w:rsidP="0073791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SimSun" w:hAnsi="SimSun" w:cs="Times New Roman"/>
          <w:b/>
          <w:bCs/>
          <w:kern w:val="2"/>
          <w:szCs w:val="20"/>
        </w:rPr>
      </w:pPr>
    </w:p>
    <w:p w:rsidR="00F14629" w:rsidRPr="00506405" w:rsidRDefault="00F14629" w:rsidP="0073791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SimSun" w:hAnsi="SimSun" w:cs="Times New Roman"/>
          <w:b/>
          <w:bCs/>
          <w:kern w:val="2"/>
          <w:szCs w:val="20"/>
        </w:rPr>
      </w:pPr>
      <w:r w:rsidRPr="00506405">
        <w:rPr>
          <w:rFonts w:ascii="Times New Roman" w:eastAsia="SimSun" w:hAnsi="SimSun" w:cs="Times New Roman" w:hint="eastAsia"/>
          <w:b/>
          <w:bCs/>
          <w:kern w:val="2"/>
          <w:szCs w:val="20"/>
        </w:rPr>
        <w:t>E</w:t>
      </w:r>
      <w:r w:rsidRPr="00506405">
        <w:rPr>
          <w:rFonts w:ascii="Times New Roman" w:eastAsia="SimSun" w:hAnsi="SimSun" w:cs="Times New Roman"/>
          <w:b/>
          <w:bCs/>
          <w:kern w:val="2"/>
          <w:szCs w:val="20"/>
        </w:rPr>
        <w:t>xtended Data Table</w:t>
      </w:r>
      <w:r w:rsidR="007E5774">
        <w:rPr>
          <w:rFonts w:ascii="Times New Roman" w:eastAsia="SimSun" w:hAnsi="SimSun" w:cs="Times New Roman"/>
          <w:b/>
          <w:bCs/>
          <w:kern w:val="2"/>
          <w:szCs w:val="20"/>
        </w:rPr>
        <w:t>2</w:t>
      </w:r>
      <w:r w:rsidRPr="00506405">
        <w:rPr>
          <w:rFonts w:ascii="Times New Roman" w:eastAsia="SimSun" w:hAnsi="SimSun" w:cs="Times New Roman"/>
          <w:b/>
          <w:bCs/>
          <w:kern w:val="2"/>
          <w:szCs w:val="20"/>
        </w:rPr>
        <w:t>|</w:t>
      </w:r>
      <w:r w:rsidRPr="00506405">
        <w:rPr>
          <w:rFonts w:ascii="Times New Roman" w:eastAsia="SimSun" w:hAnsi="SimSun" w:cs="Times New Roman" w:hint="eastAsia"/>
          <w:b/>
          <w:bCs/>
          <w:kern w:val="2"/>
          <w:szCs w:val="20"/>
        </w:rPr>
        <w:t xml:space="preserve"> </w:t>
      </w:r>
      <w:r w:rsidRPr="00506405">
        <w:rPr>
          <w:rFonts w:ascii="Times New Roman" w:eastAsia="SimSun" w:hAnsi="SimSun" w:cs="Times New Roman"/>
          <w:b/>
          <w:bCs/>
          <w:kern w:val="2"/>
          <w:szCs w:val="20"/>
        </w:rPr>
        <w:t>Hematology test index table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483"/>
        <w:gridCol w:w="1288"/>
        <w:gridCol w:w="3735"/>
      </w:tblGrid>
      <w:tr w:rsidR="00506405" w:rsidRPr="00E27F47" w:rsidTr="00506405">
        <w:trPr>
          <w:trHeight w:val="397"/>
          <w:jc w:val="center"/>
        </w:trPr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:rsidR="00506405" w:rsidRPr="008F1F30" w:rsidRDefault="00506405" w:rsidP="00506405">
            <w:r w:rsidRPr="008F1F30">
              <w:t>Indicator name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>
              <w:rPr>
                <w:rFonts w:hAnsi="SimSun"/>
                <w:sz w:val="24"/>
                <w:szCs w:val="24"/>
              </w:rPr>
              <w:t>A</w:t>
            </w:r>
            <w:r w:rsidRPr="00506405">
              <w:rPr>
                <w:rFonts w:hAnsi="SimSun"/>
                <w:sz w:val="24"/>
                <w:szCs w:val="24"/>
              </w:rPr>
              <w:t>bbreviation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>
              <w:rPr>
                <w:rFonts w:hAnsi="SimSun"/>
                <w:sz w:val="24"/>
                <w:szCs w:val="24"/>
              </w:rPr>
              <w:t>U</w:t>
            </w:r>
            <w:r w:rsidRPr="00506405">
              <w:rPr>
                <w:rFonts w:hAnsi="SimSun"/>
                <w:sz w:val="24"/>
                <w:szCs w:val="24"/>
              </w:rPr>
              <w:t>nit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05" w:rsidRPr="0026192D" w:rsidRDefault="00506405" w:rsidP="00506405">
            <w:r w:rsidRPr="0026192D">
              <w:t>Detection method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  <w:tcBorders>
              <w:top w:val="single" w:sz="4" w:space="0" w:color="auto"/>
            </w:tcBorders>
          </w:tcPr>
          <w:p w:rsidR="00506405" w:rsidRPr="008F1F30" w:rsidRDefault="00506405" w:rsidP="00506405">
            <w:r w:rsidRPr="008F1F30">
              <w:t>White blood cell count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WBC</w:t>
            </w:r>
          </w:p>
        </w:tc>
        <w:tc>
          <w:tcPr>
            <w:tcW w:w="688" w:type="pct"/>
            <w:tcBorders>
              <w:top w:val="single" w:sz="4" w:space="0" w:color="auto"/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10</w:t>
            </w:r>
            <w:r w:rsidRPr="00D14253">
              <w:rPr>
                <w:sz w:val="24"/>
                <w:szCs w:val="24"/>
                <w:vertAlign w:val="superscript"/>
              </w:rPr>
              <w:t>9</w:t>
            </w:r>
            <w:r w:rsidRPr="00D14253">
              <w:rPr>
                <w:sz w:val="24"/>
                <w:szCs w:val="24"/>
              </w:rPr>
              <w:t>/L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</w:tcBorders>
          </w:tcPr>
          <w:p w:rsidR="00506405" w:rsidRPr="0026192D" w:rsidRDefault="00506405" w:rsidP="00506405">
            <w:r w:rsidRPr="0026192D">
              <w:t>Peroxidase staining / two-dimensional laser scanning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Neutrophil</w:t>
            </w:r>
          </w:p>
        </w:tc>
        <w:tc>
          <w:tcPr>
            <w:tcW w:w="792" w:type="pct"/>
            <w:vAlign w:val="center"/>
          </w:tcPr>
          <w:p w:rsidR="00506405" w:rsidRPr="00506405" w:rsidRDefault="00506405" w:rsidP="005064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405">
              <w:rPr>
                <w:color w:val="000000" w:themeColor="text1"/>
                <w:sz w:val="24"/>
                <w:szCs w:val="24"/>
              </w:rPr>
              <w:t>NEUT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(NEUT / WBC) * 100%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Lymphocyte</w:t>
            </w:r>
          </w:p>
        </w:tc>
        <w:tc>
          <w:tcPr>
            <w:tcW w:w="792" w:type="pct"/>
            <w:vAlign w:val="center"/>
          </w:tcPr>
          <w:p w:rsidR="00506405" w:rsidRPr="00506405" w:rsidRDefault="00506405" w:rsidP="005064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405">
              <w:rPr>
                <w:color w:val="000000" w:themeColor="text1"/>
                <w:sz w:val="24"/>
                <w:szCs w:val="24"/>
              </w:rPr>
              <w:t>LYMP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(LYMP / WBC) * 100%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Monocyte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MONO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(MONO / WBC) * 100%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Eosinophil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EO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(EOS / WBC) * 100%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Basophil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BASO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(BASO / WBC) * 100%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Red blood cell count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RBC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10</w:t>
            </w:r>
            <w:r w:rsidRPr="00D14253">
              <w:rPr>
                <w:sz w:val="24"/>
                <w:szCs w:val="24"/>
                <w:vertAlign w:val="superscript"/>
              </w:rPr>
              <w:t>12</w:t>
            </w:r>
            <w:r w:rsidRPr="00D14253">
              <w:rPr>
                <w:sz w:val="24"/>
                <w:szCs w:val="24"/>
              </w:rPr>
              <w:t>/L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Optical laser scattering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Hemoglobin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g/dL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Peroxidase staining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Hematocrit</w:t>
            </w:r>
          </w:p>
        </w:tc>
        <w:tc>
          <w:tcPr>
            <w:tcW w:w="792" w:type="pct"/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proofErr w:type="spellStart"/>
            <w:r w:rsidRPr="00D14253"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%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(MCV × RBC) / 10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Mean red blood cell volume</w:t>
            </w:r>
          </w:p>
        </w:tc>
        <w:tc>
          <w:tcPr>
            <w:tcW w:w="792" w:type="pct"/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MCV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proofErr w:type="spellStart"/>
            <w:r w:rsidRPr="00D14253">
              <w:rPr>
                <w:sz w:val="24"/>
                <w:szCs w:val="24"/>
              </w:rPr>
              <w:t>fL</w:t>
            </w:r>
            <w:proofErr w:type="spellEnd"/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Optical laser scattering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Pr="008F1F30" w:rsidRDefault="00506405" w:rsidP="00506405">
            <w:r w:rsidRPr="008F1F30">
              <w:t>Mean hemoglobin content</w:t>
            </w:r>
          </w:p>
        </w:tc>
        <w:tc>
          <w:tcPr>
            <w:tcW w:w="792" w:type="pct"/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MCH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proofErr w:type="spellStart"/>
            <w:r w:rsidRPr="00D14253">
              <w:rPr>
                <w:sz w:val="24"/>
                <w:szCs w:val="24"/>
              </w:rPr>
              <w:t>Pg</w:t>
            </w:r>
            <w:proofErr w:type="spellEnd"/>
          </w:p>
        </w:tc>
        <w:tc>
          <w:tcPr>
            <w:tcW w:w="1995" w:type="pct"/>
            <w:tcBorders>
              <w:left w:val="nil"/>
            </w:tcBorders>
          </w:tcPr>
          <w:p w:rsidR="00506405" w:rsidRPr="0026192D" w:rsidRDefault="00506405" w:rsidP="00506405">
            <w:r w:rsidRPr="0026192D">
              <w:t>Calculation: HGB / RBC * 103</w:t>
            </w:r>
          </w:p>
        </w:tc>
      </w:tr>
      <w:tr w:rsidR="00506405" w:rsidRPr="00E27F47" w:rsidTr="00506405">
        <w:trPr>
          <w:trHeight w:val="397"/>
          <w:jc w:val="center"/>
        </w:trPr>
        <w:tc>
          <w:tcPr>
            <w:tcW w:w="1525" w:type="pct"/>
          </w:tcPr>
          <w:p w:rsidR="00506405" w:rsidRDefault="00506405" w:rsidP="00506405">
            <w:r w:rsidRPr="008F1F30">
              <w:t>Mean hemoglobin concentration</w:t>
            </w:r>
          </w:p>
        </w:tc>
        <w:tc>
          <w:tcPr>
            <w:tcW w:w="792" w:type="pct"/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MCHC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g/dL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Default="00506405" w:rsidP="00506405">
            <w:r w:rsidRPr="0026192D">
              <w:t>Calculation: HGB / (MCV * RBC) * 106</w:t>
            </w:r>
          </w:p>
        </w:tc>
      </w:tr>
      <w:tr w:rsidR="00506405" w:rsidRPr="00E27F47" w:rsidTr="007E5774">
        <w:trPr>
          <w:trHeight w:val="397"/>
          <w:jc w:val="center"/>
        </w:trPr>
        <w:tc>
          <w:tcPr>
            <w:tcW w:w="1525" w:type="pct"/>
          </w:tcPr>
          <w:p w:rsidR="00506405" w:rsidRPr="00557470" w:rsidRDefault="00506405" w:rsidP="00506405">
            <w:r w:rsidRPr="00557470">
              <w:t>Platelet count</w:t>
            </w:r>
          </w:p>
        </w:tc>
        <w:tc>
          <w:tcPr>
            <w:tcW w:w="792" w:type="pct"/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PLT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Pr="009A58D6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10</w:t>
            </w:r>
            <w:r w:rsidRPr="00D14253">
              <w:rPr>
                <w:sz w:val="24"/>
                <w:szCs w:val="24"/>
                <w:vertAlign w:val="superscript"/>
              </w:rPr>
              <w:t>9</w:t>
            </w:r>
            <w:r w:rsidRPr="00D14253">
              <w:rPr>
                <w:sz w:val="24"/>
                <w:szCs w:val="24"/>
              </w:rPr>
              <w:t>/L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Pr="009C3C3C" w:rsidRDefault="00506405" w:rsidP="00506405">
            <w:r w:rsidRPr="009C3C3C">
              <w:t>Optical laser scattering</w:t>
            </w:r>
          </w:p>
        </w:tc>
      </w:tr>
      <w:tr w:rsidR="00506405" w:rsidRPr="00E27F47" w:rsidTr="00737915">
        <w:trPr>
          <w:trHeight w:val="397"/>
          <w:jc w:val="center"/>
        </w:trPr>
        <w:tc>
          <w:tcPr>
            <w:tcW w:w="1525" w:type="pct"/>
          </w:tcPr>
          <w:p w:rsidR="00506405" w:rsidRDefault="00506405" w:rsidP="00506405">
            <w:r w:rsidRPr="00557470">
              <w:t>Reticulocyte count</w:t>
            </w:r>
          </w:p>
        </w:tc>
        <w:tc>
          <w:tcPr>
            <w:tcW w:w="792" w:type="pct"/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RET</w:t>
            </w:r>
          </w:p>
        </w:tc>
        <w:tc>
          <w:tcPr>
            <w:tcW w:w="688" w:type="pct"/>
            <w:tcBorders>
              <w:right w:val="nil"/>
            </w:tcBorders>
            <w:vAlign w:val="center"/>
          </w:tcPr>
          <w:p w:rsidR="00506405" w:rsidRDefault="00506405" w:rsidP="00506405">
            <w:pPr>
              <w:jc w:val="center"/>
              <w:rPr>
                <w:sz w:val="24"/>
                <w:szCs w:val="24"/>
              </w:rPr>
            </w:pPr>
            <w:r w:rsidRPr="00D14253">
              <w:rPr>
                <w:sz w:val="24"/>
                <w:szCs w:val="24"/>
              </w:rPr>
              <w:t>10</w:t>
            </w:r>
            <w:r w:rsidRPr="00D14253">
              <w:rPr>
                <w:sz w:val="24"/>
                <w:szCs w:val="24"/>
                <w:vertAlign w:val="superscript"/>
              </w:rPr>
              <w:t>9</w:t>
            </w:r>
            <w:r w:rsidRPr="00D14253">
              <w:rPr>
                <w:sz w:val="24"/>
                <w:szCs w:val="24"/>
              </w:rPr>
              <w:t>/L</w:t>
            </w:r>
          </w:p>
        </w:tc>
        <w:tc>
          <w:tcPr>
            <w:tcW w:w="1995" w:type="pct"/>
            <w:tcBorders>
              <w:left w:val="nil"/>
            </w:tcBorders>
          </w:tcPr>
          <w:p w:rsidR="00506405" w:rsidRDefault="00506405" w:rsidP="00506405">
            <w:r w:rsidRPr="009C3C3C">
              <w:t>Optical laser scattering</w:t>
            </w:r>
          </w:p>
        </w:tc>
      </w:tr>
    </w:tbl>
    <w:p w:rsidR="00737915" w:rsidRDefault="00737915" w:rsidP="00737915">
      <w:pPr>
        <w:pStyle w:val="Heading2"/>
        <w:snapToGrid w:val="0"/>
        <w:spacing w:after="100" w:afterAutospacing="1" w:line="240" w:lineRule="auto"/>
        <w:rPr>
          <w:rFonts w:ascii="Times New Roman" w:eastAsia="SimSun" w:hAnsi="SimSun"/>
          <w:bCs/>
          <w:kern w:val="2"/>
          <w:sz w:val="24"/>
        </w:rPr>
      </w:pPr>
    </w:p>
    <w:p w:rsidR="00737915" w:rsidRPr="00737915" w:rsidRDefault="00737915" w:rsidP="00737915">
      <w:pPr>
        <w:pStyle w:val="NormalIndent"/>
      </w:pPr>
    </w:p>
    <w:p w:rsidR="00737915" w:rsidRPr="00F14629" w:rsidRDefault="00737915" w:rsidP="00737915">
      <w:pPr>
        <w:pStyle w:val="Heading2"/>
        <w:snapToGrid w:val="0"/>
        <w:spacing w:after="100" w:afterAutospacing="1" w:line="240" w:lineRule="auto"/>
        <w:rPr>
          <w:rFonts w:ascii="Times New Roman" w:eastAsia="SimSun" w:hAnsi="SimSun"/>
          <w:bCs/>
          <w:kern w:val="2"/>
          <w:sz w:val="24"/>
        </w:rPr>
      </w:pPr>
      <w:r>
        <w:rPr>
          <w:rFonts w:ascii="Times New Roman" w:eastAsia="SimSun" w:hAnsi="SimSun"/>
          <w:bCs/>
          <w:kern w:val="2"/>
          <w:sz w:val="24"/>
        </w:rPr>
        <w:t>Ex</w:t>
      </w:r>
      <w:r>
        <w:rPr>
          <w:rFonts w:ascii="Times New Roman" w:eastAsia="SimSun" w:hAnsi="SimSun" w:hint="eastAsia"/>
          <w:bCs/>
          <w:kern w:val="2"/>
          <w:sz w:val="24"/>
        </w:rPr>
        <w:t>ten</w:t>
      </w:r>
      <w:r>
        <w:rPr>
          <w:rFonts w:ascii="Times New Roman" w:eastAsia="SimSun" w:hAnsi="SimSun"/>
          <w:bCs/>
          <w:kern w:val="2"/>
          <w:sz w:val="24"/>
        </w:rPr>
        <w:t>ded Data T</w:t>
      </w:r>
      <w:r>
        <w:rPr>
          <w:rFonts w:ascii="Times New Roman" w:eastAsia="SimSun" w:hAnsi="SimSun" w:hint="eastAsia"/>
          <w:bCs/>
          <w:kern w:val="2"/>
          <w:sz w:val="24"/>
        </w:rPr>
        <w:t>able</w:t>
      </w:r>
      <w:r>
        <w:rPr>
          <w:rFonts w:ascii="Times New Roman" w:eastAsia="SimSun" w:hAnsi="SimSun"/>
          <w:bCs/>
          <w:kern w:val="2"/>
          <w:sz w:val="24"/>
        </w:rPr>
        <w:t xml:space="preserve">3| </w:t>
      </w:r>
      <w:r w:rsidRPr="00F14629">
        <w:rPr>
          <w:rFonts w:ascii="Times New Roman" w:eastAsia="SimSun" w:hAnsi="SimSun" w:hint="eastAsia"/>
          <w:bCs/>
          <w:kern w:val="2"/>
          <w:sz w:val="24"/>
        </w:rPr>
        <w:t>E</w:t>
      </w:r>
      <w:r w:rsidRPr="00F14629">
        <w:rPr>
          <w:rFonts w:ascii="Times New Roman" w:eastAsia="SimSun" w:hAnsi="SimSun"/>
          <w:bCs/>
          <w:kern w:val="2"/>
          <w:sz w:val="24"/>
        </w:rPr>
        <w:t>ffect of single administration of different paclitaxel preparations on animal body weight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841"/>
        <w:gridCol w:w="1490"/>
        <w:gridCol w:w="1784"/>
        <w:gridCol w:w="1756"/>
        <w:gridCol w:w="1756"/>
      </w:tblGrid>
      <w:tr w:rsidR="00737915" w:rsidRPr="00F14629" w:rsidTr="00481AF0">
        <w:trPr>
          <w:trHeight w:val="214"/>
          <w:jc w:val="center"/>
        </w:trPr>
        <w:tc>
          <w:tcPr>
            <w:tcW w:w="92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Group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 w:hint="eastAsia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Sex</w:t>
            </w:r>
          </w:p>
        </w:tc>
        <w:tc>
          <w:tcPr>
            <w:tcW w:w="3625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W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eight</w:t>
            </w: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(g)</w:t>
            </w:r>
          </w:p>
        </w:tc>
      </w:tr>
      <w:tr w:rsidR="00737915" w:rsidRPr="00F14629" w:rsidTr="00481AF0">
        <w:trPr>
          <w:trHeight w:val="359"/>
          <w:jc w:val="center"/>
        </w:trPr>
        <w:tc>
          <w:tcPr>
            <w:tcW w:w="92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D1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D3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D5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 w:hint="eastAsia"/>
                <w:kern w:val="2"/>
                <w:szCs w:val="20"/>
              </w:rPr>
              <w:t>D7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Control group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♂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241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264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285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306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9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Intravenous paclitaxel injection group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♂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240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244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265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285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low dose group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♂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240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267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281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296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15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high dose group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239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253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270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284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15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Control group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208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224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237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247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24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Intravenous paclitaxel injection group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♀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207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195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210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spacing w:line="360" w:lineRule="auto"/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219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13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nil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low dose group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♀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208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213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12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219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223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6</w:t>
            </w:r>
          </w:p>
        </w:tc>
      </w:tr>
      <w:tr w:rsidR="00737915" w:rsidRPr="00F14629" w:rsidTr="00481AF0">
        <w:trPr>
          <w:trHeight w:val="486"/>
          <w:jc w:val="center"/>
        </w:trPr>
        <w:tc>
          <w:tcPr>
            <w:tcW w:w="92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915" w:rsidRPr="00883923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883923">
              <w:rPr>
                <w:rFonts w:ascii="Times New Roman" w:eastAsia="SimSun" w:hAnsi="SimSun" w:cs="Times New Roman"/>
                <w:kern w:val="2"/>
                <w:szCs w:val="20"/>
              </w:rPr>
              <w:t>INEI high dose group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210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222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218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915" w:rsidRPr="00F14629" w:rsidRDefault="00737915" w:rsidP="00481AF0">
            <w:pPr>
              <w:tabs>
                <w:tab w:val="left" w:pos="3240"/>
              </w:tabs>
              <w:jc w:val="center"/>
              <w:rPr>
                <w:rFonts w:ascii="Times New Roman" w:eastAsia="SimSun" w:hAnsi="SimSun" w:cs="Times New Roman"/>
                <w:kern w:val="2"/>
                <w:szCs w:val="20"/>
              </w:rPr>
            </w:pP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228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±</w:t>
            </w:r>
            <w:r w:rsidRPr="00F14629">
              <w:rPr>
                <w:rFonts w:ascii="Times New Roman" w:eastAsia="SimSun" w:hAnsi="SimSun" w:cs="Times New Roman"/>
                <w:kern w:val="2"/>
                <w:szCs w:val="20"/>
              </w:rPr>
              <w:t>12</w:t>
            </w:r>
          </w:p>
        </w:tc>
      </w:tr>
    </w:tbl>
    <w:p w:rsidR="00737915" w:rsidRDefault="00737915" w:rsidP="00737915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bookmarkStart w:id="0" w:name="_GoBack"/>
      <w:bookmarkEnd w:id="0"/>
      <w:r w:rsidRPr="00F14629">
        <w:rPr>
          <w:rFonts w:ascii="Times New Roman" w:eastAsia="SimSun" w:hAnsi="SimSun" w:cs="Times New Roman"/>
          <w:kern w:val="2"/>
          <w:szCs w:val="20"/>
        </w:rPr>
        <w:t xml:space="preserve">Note: Compared with the control group, all P&gt; 0.05; compared with </w:t>
      </w:r>
      <w:r w:rsidRPr="00883923">
        <w:rPr>
          <w:rFonts w:ascii="Times New Roman" w:eastAsia="SimSun" w:hAnsi="SimSun" w:cs="Times New Roman"/>
          <w:kern w:val="2"/>
          <w:szCs w:val="20"/>
        </w:rPr>
        <w:t>Intravenous paclitaxel injection group</w:t>
      </w:r>
      <w:r w:rsidRPr="00F14629">
        <w:rPr>
          <w:rFonts w:ascii="Times New Roman" w:eastAsia="SimSun" w:hAnsi="SimSun" w:cs="Times New Roman"/>
          <w:kern w:val="2"/>
          <w:szCs w:val="20"/>
        </w:rPr>
        <w:t>, all P&gt; 0.05.</w:t>
      </w:r>
    </w:p>
    <w:p w:rsidR="00737915" w:rsidRDefault="00737915" w:rsidP="00737915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F14629" w:rsidRDefault="0069436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/>
          <w:b/>
          <w:bCs/>
          <w:noProof/>
          <w:kern w:val="2"/>
          <w:szCs w:val="20"/>
        </w:rPr>
        <w:lastRenderedPageBreak/>
        <w:drawing>
          <wp:inline distT="0" distB="0" distL="0" distR="0" wp14:anchorId="67F7713A" wp14:editId="1ABFAA32">
            <wp:extent cx="5943600" cy="33547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2-12 at 16.26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65" w:rsidRDefault="0069436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694365" w:rsidRDefault="0069436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694365" w:rsidRDefault="0069436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/>
          <w:noProof/>
          <w:kern w:val="2"/>
          <w:szCs w:val="20"/>
        </w:rPr>
        <w:drawing>
          <wp:inline distT="0" distB="0" distL="0" distR="0">
            <wp:extent cx="5943600" cy="324294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2-12 at 16.33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65" w:rsidRDefault="0069436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 w:hint="eastAsia"/>
          <w:noProof/>
          <w:kern w:val="2"/>
          <w:szCs w:val="20"/>
        </w:rPr>
        <w:lastRenderedPageBreak/>
        <w:drawing>
          <wp:inline distT="0" distB="0" distL="0" distR="0">
            <wp:extent cx="5943600" cy="312864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2-12 at 16.43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96" w:rsidRDefault="00737915">
      <w:pPr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 w:hint="eastAsia"/>
          <w:noProof/>
          <w:kern w:val="2"/>
          <w:szCs w:val="20"/>
        </w:rPr>
        <w:drawing>
          <wp:anchor distT="0" distB="0" distL="114300" distR="114300" simplePos="0" relativeHeight="251658240" behindDoc="1" locked="0" layoutInCell="1" allowOverlap="1" wp14:anchorId="347B0BA7">
            <wp:simplePos x="0" y="0"/>
            <wp:positionH relativeFrom="column">
              <wp:posOffset>-216064</wp:posOffset>
            </wp:positionH>
            <wp:positionV relativeFrom="paragraph">
              <wp:posOffset>66675</wp:posOffset>
            </wp:positionV>
            <wp:extent cx="6251759" cy="2428568"/>
            <wp:effectExtent l="0" t="0" r="0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12 at 16.43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759" cy="24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996">
        <w:rPr>
          <w:rFonts w:ascii="Times New Roman" w:eastAsia="SimSun" w:hAnsi="SimSun" w:cs="Times New Roman"/>
          <w:kern w:val="2"/>
          <w:szCs w:val="20"/>
        </w:rPr>
        <w:br w:type="page"/>
      </w:r>
    </w:p>
    <w:p w:rsidR="00A95996" w:rsidRDefault="0073791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 w:hint="eastAsia"/>
          <w:noProof/>
          <w:kern w:val="2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113767</wp:posOffset>
            </wp:positionH>
            <wp:positionV relativeFrom="paragraph">
              <wp:posOffset>-134681</wp:posOffset>
            </wp:positionV>
            <wp:extent cx="5732206" cy="2720961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2-12 at 17.12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06" cy="272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737915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  <w:r>
        <w:rPr>
          <w:rFonts w:ascii="Times New Roman" w:eastAsia="SimSun" w:hAnsi="SimSun" w:cs="Times New Roman"/>
          <w:noProof/>
          <w:kern w:val="2"/>
          <w:szCs w:val="20"/>
        </w:rPr>
        <w:drawing>
          <wp:anchor distT="0" distB="0" distL="114300" distR="114300" simplePos="0" relativeHeight="251660288" behindDoc="1" locked="0" layoutInCell="1" allowOverlap="1" wp14:anchorId="2569C8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123565"/>
            <wp:effectExtent l="0" t="0" r="0" b="635"/>
            <wp:wrapNone/>
            <wp:docPr id="13" name="Picture 1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2-12 at 17.13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95996" w:rsidRDefault="00A95996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16348" w:rsidRDefault="00A16348" w:rsidP="00F14629">
      <w:pPr>
        <w:tabs>
          <w:tab w:val="left" w:pos="3240"/>
        </w:tabs>
        <w:rPr>
          <w:rFonts w:ascii="Times New Roman" w:eastAsia="SimSun" w:hAnsi="SimSun" w:cs="Times New Roman"/>
          <w:kern w:val="2"/>
          <w:szCs w:val="20"/>
        </w:rPr>
      </w:pPr>
    </w:p>
    <w:p w:rsidR="00A16348" w:rsidRDefault="00A16348" w:rsidP="00A16348">
      <w:pPr>
        <w:pStyle w:val="NormalIndent"/>
        <w:ind w:firstLine="480"/>
        <w:rPr>
          <w:sz w:val="24"/>
          <w:szCs w:val="24"/>
        </w:rPr>
      </w:pPr>
    </w:p>
    <w:p w:rsidR="00A16348" w:rsidRPr="00694365" w:rsidRDefault="00737915" w:rsidP="00F14629">
      <w:pPr>
        <w:tabs>
          <w:tab w:val="left" w:pos="3240"/>
        </w:tabs>
        <w:rPr>
          <w:rFonts w:ascii="Times New Roman" w:eastAsia="SimSun" w:hAnsi="SimSun" w:cs="Times New Roman" w:hint="eastAsia"/>
          <w:kern w:val="2"/>
          <w:szCs w:val="20"/>
        </w:rPr>
      </w:pPr>
      <w:r>
        <w:rPr>
          <w:rFonts w:ascii="Times New Roman" w:eastAsia="SimSun" w:hAnsi="SimSun" w:cs="Times New Roman" w:hint="eastAsia"/>
          <w:noProof/>
          <w:kern w:val="2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4269274">
            <wp:simplePos x="0" y="0"/>
            <wp:positionH relativeFrom="column">
              <wp:posOffset>49407</wp:posOffset>
            </wp:positionH>
            <wp:positionV relativeFrom="paragraph">
              <wp:posOffset>3316830</wp:posOffset>
            </wp:positionV>
            <wp:extent cx="5943600" cy="3123565"/>
            <wp:effectExtent l="0" t="0" r="0" b="635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2-12 at 17.14.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SimSun" w:cs="Times New Roman" w:hint="eastAsia"/>
          <w:noProof/>
          <w:kern w:val="2"/>
          <w:szCs w:val="20"/>
        </w:rPr>
        <w:drawing>
          <wp:inline distT="0" distB="0" distL="0" distR="0" wp14:anchorId="76F87CFB" wp14:editId="35DF99BA">
            <wp:extent cx="5943600" cy="3123565"/>
            <wp:effectExtent l="0" t="0" r="0" b="63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2-12 at 17.13.4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348" w:rsidRPr="00694365" w:rsidSect="005C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D9"/>
    <w:rsid w:val="00000D9C"/>
    <w:rsid w:val="000A37BC"/>
    <w:rsid w:val="002E478E"/>
    <w:rsid w:val="003D0AC7"/>
    <w:rsid w:val="00506405"/>
    <w:rsid w:val="00515BE4"/>
    <w:rsid w:val="005523C2"/>
    <w:rsid w:val="005C376B"/>
    <w:rsid w:val="00621102"/>
    <w:rsid w:val="00694365"/>
    <w:rsid w:val="00737915"/>
    <w:rsid w:val="00793C3C"/>
    <w:rsid w:val="007E5774"/>
    <w:rsid w:val="00883923"/>
    <w:rsid w:val="00A16348"/>
    <w:rsid w:val="00A95996"/>
    <w:rsid w:val="00AB3ADF"/>
    <w:rsid w:val="00DB5A56"/>
    <w:rsid w:val="00DD6777"/>
    <w:rsid w:val="00EE41DF"/>
    <w:rsid w:val="00F14629"/>
    <w:rsid w:val="00F92789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51AB"/>
  <w15:chartTrackingRefBased/>
  <w15:docId w15:val="{C2E08FFD-E431-3C46-BBBD-D5330B8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Indent"/>
    <w:link w:val="Heading2Char"/>
    <w:qFormat/>
    <w:rsid w:val="00F14629"/>
    <w:pPr>
      <w:keepNext/>
      <w:keepLines/>
      <w:widowControl w:val="0"/>
      <w:adjustRightInd w:val="0"/>
      <w:spacing w:before="260" w:after="260" w:line="416" w:lineRule="atLeast"/>
      <w:textAlignment w:val="baseline"/>
      <w:outlineLvl w:val="1"/>
    </w:pPr>
    <w:rPr>
      <w:rFonts w:ascii="Arial" w:eastAsia="SimHei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特点"/>
    <w:basedOn w:val="Normal"/>
    <w:rsid w:val="00FE22D9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F14629"/>
    <w:rPr>
      <w:rFonts w:ascii="Arial" w:eastAsia="SimHei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629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59"/>
    <w:rsid w:val="00F14629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Pengcheng (Campus)</dc:creator>
  <cp:keywords/>
  <dc:description/>
  <cp:lastModifiedBy>Zhang, Pengcheng (Campus)</cp:lastModifiedBy>
  <cp:revision>1</cp:revision>
  <dcterms:created xsi:type="dcterms:W3CDTF">2020-02-12T20:49:00Z</dcterms:created>
  <dcterms:modified xsi:type="dcterms:W3CDTF">2020-02-14T18:03:00Z</dcterms:modified>
</cp:coreProperties>
</file>