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AF6" w:rsidRPr="00B369D8" w:rsidRDefault="009E1AF6" w:rsidP="009E1AF6">
      <w:pPr>
        <w:ind w:firstLine="708"/>
        <w:rPr>
          <w:rFonts w:ascii="Arial" w:hAnsi="Arial" w:cs="Arial"/>
          <w:lang w:val="en-GB"/>
        </w:rPr>
      </w:pPr>
      <w:bookmarkStart w:id="0" w:name="_GoBack"/>
      <w:bookmarkEnd w:id="0"/>
    </w:p>
    <w:p w:rsidR="009E1AF6" w:rsidRPr="00B369D8" w:rsidRDefault="00FE1225" w:rsidP="00B369D8">
      <w:pPr>
        <w:rPr>
          <w:rFonts w:ascii="Arial" w:hAnsi="Arial" w:cs="Arial"/>
          <w:b/>
          <w:lang w:val="en-GB"/>
        </w:rPr>
      </w:pPr>
      <w:r w:rsidRPr="00B369D8">
        <w:rPr>
          <w:rFonts w:ascii="Arial" w:hAnsi="Arial" w:cs="Arial"/>
          <w:b/>
          <w:lang w:val="en-GB"/>
        </w:rPr>
        <w:t xml:space="preserve">Supplementary table </w:t>
      </w:r>
      <w:r w:rsidR="00075A2C" w:rsidRPr="00B369D8">
        <w:rPr>
          <w:rFonts w:ascii="Arial" w:hAnsi="Arial" w:cs="Arial"/>
          <w:b/>
          <w:lang w:val="en-GB"/>
        </w:rPr>
        <w:t>A.</w:t>
      </w:r>
      <w:r w:rsidRPr="00B369D8">
        <w:rPr>
          <w:rFonts w:ascii="Arial" w:hAnsi="Arial" w:cs="Arial"/>
          <w:b/>
          <w:lang w:val="en-GB"/>
        </w:rPr>
        <w:t>1</w:t>
      </w:r>
      <w:r w:rsidR="009E1AF6" w:rsidRPr="00B369D8">
        <w:rPr>
          <w:rFonts w:ascii="Arial" w:hAnsi="Arial" w:cs="Arial"/>
          <w:lang w:val="en-GB"/>
        </w:rPr>
        <w:t xml:space="preserve">. </w:t>
      </w:r>
      <w:r w:rsidR="009E1AF6" w:rsidRPr="00B369D8">
        <w:rPr>
          <w:rFonts w:ascii="Arial" w:hAnsi="Arial" w:cs="Arial"/>
          <w:b/>
          <w:lang w:val="en-GB"/>
        </w:rPr>
        <w:t>Area under the curve for test methods on 1.5T and 3T MRI</w:t>
      </w:r>
    </w:p>
    <w:p w:rsidR="009E1AF6" w:rsidRPr="00B369D8" w:rsidRDefault="009E1AF6" w:rsidP="009E1AF6">
      <w:pPr>
        <w:ind w:firstLine="708"/>
        <w:rPr>
          <w:rFonts w:ascii="Arial" w:hAnsi="Arial" w:cs="Arial"/>
          <w:lang w:val="en-GB"/>
        </w:rPr>
      </w:pPr>
    </w:p>
    <w:tbl>
      <w:tblPr>
        <w:tblStyle w:val="TableGrid"/>
        <w:tblW w:w="0" w:type="auto"/>
        <w:tblLook w:val="04A0" w:firstRow="1" w:lastRow="0" w:firstColumn="1" w:lastColumn="0" w:noHBand="0" w:noVBand="1"/>
      </w:tblPr>
      <w:tblGrid>
        <w:gridCol w:w="4361"/>
        <w:gridCol w:w="2268"/>
        <w:gridCol w:w="2268"/>
      </w:tblGrid>
      <w:tr w:rsidR="009E1AF6" w:rsidRPr="00B369D8" w:rsidTr="00470579">
        <w:tc>
          <w:tcPr>
            <w:tcW w:w="4361" w:type="dxa"/>
            <w:tcBorders>
              <w:top w:val="single" w:sz="8" w:space="0" w:color="FFFFFF" w:themeColor="background1"/>
              <w:left w:val="single" w:sz="8" w:space="0" w:color="FFFFFF" w:themeColor="background1"/>
              <w:bottom w:val="single" w:sz="12" w:space="0" w:color="auto"/>
              <w:right w:val="single" w:sz="12" w:space="0" w:color="auto"/>
            </w:tcBorders>
          </w:tcPr>
          <w:p w:rsidR="009E1AF6" w:rsidRPr="00B369D8" w:rsidRDefault="009E1AF6" w:rsidP="00470579">
            <w:pPr>
              <w:rPr>
                <w:rFonts w:ascii="Arial" w:hAnsi="Arial" w:cs="Arial"/>
                <w:lang w:val="en-GB"/>
              </w:rPr>
            </w:pPr>
          </w:p>
        </w:tc>
        <w:tc>
          <w:tcPr>
            <w:tcW w:w="2268" w:type="dxa"/>
            <w:tcBorders>
              <w:top w:val="single" w:sz="8" w:space="0" w:color="FFFFFF" w:themeColor="background1"/>
              <w:left w:val="single" w:sz="12" w:space="0" w:color="auto"/>
              <w:bottom w:val="single" w:sz="12" w:space="0" w:color="auto"/>
              <w:right w:val="single" w:sz="12" w:space="0" w:color="auto"/>
            </w:tcBorders>
          </w:tcPr>
          <w:p w:rsidR="009E1AF6" w:rsidRPr="00B369D8" w:rsidRDefault="00CA07E2" w:rsidP="00470579">
            <w:pPr>
              <w:jc w:val="center"/>
              <w:rPr>
                <w:rFonts w:ascii="Arial" w:hAnsi="Arial" w:cs="Arial"/>
                <w:lang w:val="en-GB"/>
              </w:rPr>
            </w:pPr>
            <w:r w:rsidRPr="00B369D8">
              <w:rPr>
                <w:rFonts w:ascii="Arial" w:hAnsi="Arial" w:cs="Arial"/>
                <w:lang w:val="en-GB"/>
              </w:rPr>
              <w:t>1.5</w:t>
            </w:r>
            <w:r w:rsidR="009E1AF6" w:rsidRPr="00B369D8">
              <w:rPr>
                <w:rFonts w:ascii="Arial" w:hAnsi="Arial" w:cs="Arial"/>
                <w:lang w:val="en-GB"/>
              </w:rPr>
              <w:t>T (n=72)</w:t>
            </w:r>
          </w:p>
          <w:p w:rsidR="009E1AF6" w:rsidRPr="00B369D8" w:rsidRDefault="009E1AF6" w:rsidP="00470579">
            <w:pPr>
              <w:jc w:val="center"/>
              <w:rPr>
                <w:rFonts w:ascii="Arial" w:hAnsi="Arial" w:cs="Arial"/>
                <w:lang w:val="en-GB"/>
              </w:rPr>
            </w:pPr>
            <w:r w:rsidRPr="00B369D8">
              <w:rPr>
                <w:rFonts w:ascii="Arial" w:hAnsi="Arial" w:cs="Arial"/>
                <w:lang w:val="en-GB"/>
              </w:rPr>
              <w:t>AUC (95% CI)</w:t>
            </w:r>
          </w:p>
        </w:tc>
        <w:tc>
          <w:tcPr>
            <w:tcW w:w="2268" w:type="dxa"/>
            <w:tcBorders>
              <w:top w:val="single" w:sz="8" w:space="0" w:color="FFFFFF" w:themeColor="background1"/>
              <w:left w:val="single" w:sz="12" w:space="0" w:color="auto"/>
              <w:bottom w:val="single" w:sz="12" w:space="0" w:color="auto"/>
              <w:right w:val="single" w:sz="8" w:space="0" w:color="FFFFFF" w:themeColor="background1"/>
            </w:tcBorders>
          </w:tcPr>
          <w:p w:rsidR="009E1AF6" w:rsidRPr="00B369D8" w:rsidRDefault="00CA07E2" w:rsidP="00470579">
            <w:pPr>
              <w:jc w:val="center"/>
              <w:rPr>
                <w:rFonts w:ascii="Arial" w:hAnsi="Arial" w:cs="Arial"/>
                <w:lang w:val="en-GB"/>
              </w:rPr>
            </w:pPr>
            <w:r w:rsidRPr="00B369D8">
              <w:rPr>
                <w:rFonts w:ascii="Arial" w:hAnsi="Arial" w:cs="Arial"/>
                <w:lang w:val="en-GB"/>
              </w:rPr>
              <w:t>3</w:t>
            </w:r>
            <w:r w:rsidR="009E1AF6" w:rsidRPr="00B369D8">
              <w:rPr>
                <w:rFonts w:ascii="Arial" w:hAnsi="Arial" w:cs="Arial"/>
                <w:lang w:val="en-GB"/>
              </w:rPr>
              <w:t>T (n= 52)</w:t>
            </w:r>
          </w:p>
          <w:p w:rsidR="009E1AF6" w:rsidRPr="00B369D8" w:rsidRDefault="009E1AF6" w:rsidP="00470579">
            <w:pPr>
              <w:jc w:val="center"/>
              <w:rPr>
                <w:rFonts w:ascii="Arial" w:hAnsi="Arial" w:cs="Arial"/>
                <w:lang w:val="en-GB"/>
              </w:rPr>
            </w:pPr>
            <w:r w:rsidRPr="00B369D8">
              <w:rPr>
                <w:rFonts w:ascii="Arial" w:hAnsi="Arial" w:cs="Arial"/>
                <w:lang w:val="en-GB"/>
              </w:rPr>
              <w:t>AUC (95% CI)</w:t>
            </w:r>
          </w:p>
        </w:tc>
      </w:tr>
      <w:tr w:rsidR="009E1AF6" w:rsidRPr="00B369D8" w:rsidTr="00470579">
        <w:tc>
          <w:tcPr>
            <w:tcW w:w="4361" w:type="dxa"/>
            <w:tcBorders>
              <w:top w:val="single" w:sz="12" w:space="0" w:color="auto"/>
              <w:left w:val="single" w:sz="8" w:space="0" w:color="FFFFFF" w:themeColor="background1"/>
              <w:bottom w:val="single" w:sz="12" w:space="0" w:color="FFFFFF" w:themeColor="background1"/>
              <w:right w:val="single" w:sz="12" w:space="0" w:color="auto"/>
            </w:tcBorders>
          </w:tcPr>
          <w:p w:rsidR="009E1AF6" w:rsidRPr="00B369D8" w:rsidRDefault="009E1AF6" w:rsidP="00470579">
            <w:pPr>
              <w:rPr>
                <w:rFonts w:ascii="Arial" w:hAnsi="Arial" w:cs="Arial"/>
                <w:lang w:val="en-GB"/>
              </w:rPr>
            </w:pPr>
            <w:r w:rsidRPr="00B369D8">
              <w:rPr>
                <w:rFonts w:ascii="Arial" w:hAnsi="Arial" w:cs="Arial"/>
                <w:lang w:val="en-GB"/>
              </w:rPr>
              <w:t>Original Gentry classification</w:t>
            </w:r>
          </w:p>
        </w:tc>
        <w:tc>
          <w:tcPr>
            <w:tcW w:w="2268" w:type="dxa"/>
            <w:tcBorders>
              <w:top w:val="single" w:sz="12" w:space="0" w:color="auto"/>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0.58 (0.45-0.71)</w:t>
            </w:r>
          </w:p>
        </w:tc>
        <w:tc>
          <w:tcPr>
            <w:tcW w:w="2268" w:type="dxa"/>
            <w:tcBorders>
              <w:top w:val="single" w:sz="12" w:space="0" w:color="auto"/>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0.70 (0.55-0.84)</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12" w:space="0" w:color="FFFFFF" w:themeColor="background1"/>
              <w:right w:val="single" w:sz="12" w:space="0" w:color="auto"/>
            </w:tcBorders>
          </w:tcPr>
          <w:p w:rsidR="009E1AF6" w:rsidRPr="00B369D8" w:rsidRDefault="009E1AF6" w:rsidP="00FC6DA3">
            <w:pPr>
              <w:rPr>
                <w:rFonts w:ascii="Arial" w:hAnsi="Arial" w:cs="Arial"/>
                <w:lang w:val="en-GB"/>
              </w:rPr>
            </w:pPr>
            <w:r w:rsidRPr="00B369D8">
              <w:rPr>
                <w:rFonts w:ascii="Arial" w:hAnsi="Arial" w:cs="Arial"/>
                <w:lang w:val="en-GB"/>
              </w:rPr>
              <w:t xml:space="preserve">Total number of </w:t>
            </w:r>
            <w:r w:rsidR="00FC6DA3" w:rsidRPr="00B369D8">
              <w:rPr>
                <w:rFonts w:ascii="Arial" w:hAnsi="Arial" w:cs="Arial"/>
                <w:lang w:val="en-GB"/>
              </w:rPr>
              <w:t>T</w:t>
            </w:r>
            <w:r w:rsidRPr="00B369D8">
              <w:rPr>
                <w:rFonts w:ascii="Arial" w:hAnsi="Arial" w:cs="Arial"/>
                <w:lang w:val="en-GB"/>
              </w:rPr>
              <w:t>AI lesions</w:t>
            </w:r>
          </w:p>
        </w:tc>
        <w:tc>
          <w:tcPr>
            <w:tcW w:w="2268" w:type="dxa"/>
            <w:tcBorders>
              <w:top w:val="single" w:sz="12" w:space="0" w:color="FFFFFF" w:themeColor="background1"/>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0.68 (0.56-0.80)</w:t>
            </w:r>
          </w:p>
        </w:tc>
        <w:tc>
          <w:tcPr>
            <w:tcW w:w="2268" w:type="dxa"/>
            <w:tcBorders>
              <w:top w:val="single" w:sz="12" w:space="0" w:color="FFFFFF" w:themeColor="background1"/>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0.69 (0.55-0.84)</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12" w:space="0" w:color="FFFFFF" w:themeColor="background1"/>
              <w:right w:val="single" w:sz="12" w:space="0" w:color="auto"/>
            </w:tcBorders>
          </w:tcPr>
          <w:p w:rsidR="009E1AF6" w:rsidRPr="00B369D8" w:rsidRDefault="009E1AF6" w:rsidP="00470579">
            <w:pPr>
              <w:rPr>
                <w:rFonts w:ascii="Arial" w:hAnsi="Arial" w:cs="Arial"/>
                <w:lang w:val="en-GB"/>
              </w:rPr>
            </w:pPr>
            <w:r w:rsidRPr="00B369D8">
              <w:rPr>
                <w:rFonts w:ascii="Arial" w:hAnsi="Arial" w:cs="Arial"/>
                <w:lang w:val="en-GB"/>
              </w:rPr>
              <w:t>Corpus callosum single or multiple lesions</w:t>
            </w:r>
          </w:p>
        </w:tc>
        <w:tc>
          <w:tcPr>
            <w:tcW w:w="2268" w:type="dxa"/>
            <w:tcBorders>
              <w:top w:val="single" w:sz="12" w:space="0" w:color="FFFFFF" w:themeColor="background1"/>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0.58 (0.44-0.71)</w:t>
            </w:r>
          </w:p>
        </w:tc>
        <w:tc>
          <w:tcPr>
            <w:tcW w:w="2268" w:type="dxa"/>
            <w:tcBorders>
              <w:top w:val="single" w:sz="12" w:space="0" w:color="FFFFFF" w:themeColor="background1"/>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0.75 (0.61-0.89)</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12" w:space="0" w:color="FFFFFF" w:themeColor="background1"/>
              <w:right w:val="single" w:sz="12" w:space="0" w:color="auto"/>
            </w:tcBorders>
          </w:tcPr>
          <w:p w:rsidR="009E1AF6" w:rsidRPr="00B369D8" w:rsidRDefault="009E1AF6" w:rsidP="00470579">
            <w:pPr>
              <w:rPr>
                <w:rFonts w:ascii="Arial" w:hAnsi="Arial" w:cs="Arial"/>
                <w:lang w:val="en-GB"/>
              </w:rPr>
            </w:pPr>
            <w:r w:rsidRPr="00B369D8">
              <w:rPr>
                <w:rFonts w:ascii="Arial" w:hAnsi="Arial" w:cs="Arial"/>
                <w:lang w:val="en-GB"/>
              </w:rPr>
              <w:t>Gentry revised 1</w:t>
            </w:r>
          </w:p>
        </w:tc>
        <w:tc>
          <w:tcPr>
            <w:tcW w:w="2268" w:type="dxa"/>
            <w:tcBorders>
              <w:top w:val="single" w:sz="12" w:space="0" w:color="FFFFFF" w:themeColor="background1"/>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0.58 (0.45-0.72)</w:t>
            </w:r>
          </w:p>
        </w:tc>
        <w:tc>
          <w:tcPr>
            <w:tcW w:w="2268" w:type="dxa"/>
            <w:tcBorders>
              <w:top w:val="single" w:sz="12" w:space="0" w:color="FFFFFF" w:themeColor="background1"/>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0.76 (0.63-0.90)</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12" w:space="0" w:color="FFFFFF" w:themeColor="background1"/>
              <w:right w:val="single" w:sz="12" w:space="0" w:color="auto"/>
            </w:tcBorders>
          </w:tcPr>
          <w:p w:rsidR="009E1AF6" w:rsidRPr="00B369D8" w:rsidRDefault="009E1AF6" w:rsidP="00470579">
            <w:pPr>
              <w:rPr>
                <w:rFonts w:ascii="Arial" w:hAnsi="Arial" w:cs="Arial"/>
                <w:lang w:val="en-GB"/>
              </w:rPr>
            </w:pPr>
            <w:r w:rsidRPr="00B369D8">
              <w:rPr>
                <w:rFonts w:ascii="Arial" w:hAnsi="Arial" w:cs="Arial"/>
                <w:lang w:val="en-GB"/>
              </w:rPr>
              <w:t>Gentry revised 2</w:t>
            </w:r>
          </w:p>
        </w:tc>
        <w:tc>
          <w:tcPr>
            <w:tcW w:w="2268" w:type="dxa"/>
            <w:tcBorders>
              <w:top w:val="single" w:sz="12" w:space="0" w:color="FFFFFF" w:themeColor="background1"/>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0.64 (0.51-0.77)</w:t>
            </w:r>
          </w:p>
        </w:tc>
        <w:tc>
          <w:tcPr>
            <w:tcW w:w="2268" w:type="dxa"/>
            <w:tcBorders>
              <w:top w:val="single" w:sz="12" w:space="0" w:color="FFFFFF" w:themeColor="background1"/>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0.68 (0.53-0.82)</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12" w:space="0" w:color="FFFFFF" w:themeColor="background1"/>
              <w:right w:val="single" w:sz="12" w:space="0" w:color="auto"/>
            </w:tcBorders>
          </w:tcPr>
          <w:p w:rsidR="009E1AF6" w:rsidRPr="00B369D8" w:rsidRDefault="009E1AF6" w:rsidP="00470579">
            <w:pPr>
              <w:rPr>
                <w:rFonts w:ascii="Arial" w:hAnsi="Arial" w:cs="Arial"/>
                <w:lang w:val="en-GB"/>
              </w:rPr>
            </w:pPr>
            <w:r w:rsidRPr="00B369D8">
              <w:rPr>
                <w:rFonts w:ascii="Arial" w:hAnsi="Arial" w:cs="Arial"/>
                <w:lang w:val="en-GB"/>
              </w:rPr>
              <w:t>Gentry revised 3</w:t>
            </w:r>
          </w:p>
        </w:tc>
        <w:tc>
          <w:tcPr>
            <w:tcW w:w="2268" w:type="dxa"/>
            <w:tcBorders>
              <w:top w:val="single" w:sz="12" w:space="0" w:color="FFFFFF" w:themeColor="background1"/>
              <w:left w:val="single" w:sz="12" w:space="0" w:color="auto"/>
              <w:bottom w:val="single" w:sz="12"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0.62 (0.49-0.75)</w:t>
            </w:r>
          </w:p>
        </w:tc>
        <w:tc>
          <w:tcPr>
            <w:tcW w:w="2268" w:type="dxa"/>
            <w:tcBorders>
              <w:top w:val="single" w:sz="12" w:space="0" w:color="FFFFFF" w:themeColor="background1"/>
              <w:left w:val="single" w:sz="12" w:space="0" w:color="auto"/>
              <w:bottom w:val="single" w:sz="12"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0.70 (0.55-0.84)</w:t>
            </w:r>
          </w:p>
          <w:p w:rsidR="009E1AF6" w:rsidRPr="00B369D8" w:rsidRDefault="009E1AF6" w:rsidP="00470579">
            <w:pPr>
              <w:jc w:val="center"/>
              <w:rPr>
                <w:rFonts w:ascii="Arial" w:hAnsi="Arial" w:cs="Arial"/>
                <w:lang w:val="en-GB"/>
              </w:rPr>
            </w:pPr>
          </w:p>
        </w:tc>
      </w:tr>
      <w:tr w:rsidR="009E1AF6" w:rsidRPr="00B369D8" w:rsidTr="00470579">
        <w:tc>
          <w:tcPr>
            <w:tcW w:w="4361" w:type="dxa"/>
            <w:tcBorders>
              <w:top w:val="single" w:sz="12" w:space="0" w:color="FFFFFF" w:themeColor="background1"/>
              <w:left w:val="single" w:sz="8" w:space="0" w:color="FFFFFF" w:themeColor="background1"/>
              <w:bottom w:val="single" w:sz="8" w:space="0" w:color="FFFFFF" w:themeColor="background1"/>
              <w:right w:val="single" w:sz="12" w:space="0" w:color="auto"/>
            </w:tcBorders>
          </w:tcPr>
          <w:p w:rsidR="009E1AF6" w:rsidRPr="00B369D8" w:rsidRDefault="009529A2" w:rsidP="00470579">
            <w:pPr>
              <w:rPr>
                <w:rFonts w:ascii="Arial" w:hAnsi="Arial" w:cs="Arial"/>
                <w:lang w:val="en-GB"/>
              </w:rPr>
            </w:pPr>
            <w:r w:rsidRPr="00B369D8">
              <w:rPr>
                <w:rFonts w:ascii="Arial" w:hAnsi="Arial" w:cs="Arial"/>
                <w:lang w:val="en-GB"/>
              </w:rPr>
              <w:t>6-l</w:t>
            </w:r>
            <w:r w:rsidR="009E1AF6" w:rsidRPr="00B369D8">
              <w:rPr>
                <w:rFonts w:ascii="Arial" w:hAnsi="Arial" w:cs="Arial"/>
                <w:lang w:val="en-GB"/>
              </w:rPr>
              <w:t>ocation</w:t>
            </w:r>
          </w:p>
        </w:tc>
        <w:tc>
          <w:tcPr>
            <w:tcW w:w="2268" w:type="dxa"/>
            <w:tcBorders>
              <w:top w:val="single" w:sz="12" w:space="0" w:color="FFFFFF" w:themeColor="background1"/>
              <w:left w:val="single" w:sz="12" w:space="0" w:color="auto"/>
              <w:bottom w:val="single" w:sz="8" w:space="0" w:color="FFFFFF" w:themeColor="background1"/>
              <w:right w:val="single" w:sz="12" w:space="0" w:color="auto"/>
            </w:tcBorders>
          </w:tcPr>
          <w:p w:rsidR="009E1AF6" w:rsidRPr="00B369D8" w:rsidRDefault="009E1AF6" w:rsidP="00470579">
            <w:pPr>
              <w:jc w:val="center"/>
              <w:rPr>
                <w:rFonts w:ascii="Arial" w:hAnsi="Arial" w:cs="Arial"/>
                <w:lang w:val="en-GB"/>
              </w:rPr>
            </w:pPr>
            <w:r w:rsidRPr="00B369D8">
              <w:rPr>
                <w:rFonts w:ascii="Arial" w:hAnsi="Arial" w:cs="Arial"/>
                <w:lang w:val="en-GB"/>
              </w:rPr>
              <w:t>0.70 (0.57-0.82)</w:t>
            </w:r>
          </w:p>
        </w:tc>
        <w:tc>
          <w:tcPr>
            <w:tcW w:w="2268" w:type="dxa"/>
            <w:tcBorders>
              <w:top w:val="single" w:sz="12" w:space="0" w:color="FFFFFF" w:themeColor="background1"/>
              <w:left w:val="single" w:sz="12" w:space="0" w:color="auto"/>
              <w:bottom w:val="single" w:sz="8" w:space="0" w:color="FFFFFF" w:themeColor="background1"/>
              <w:right w:val="single" w:sz="8" w:space="0" w:color="FFFFFF" w:themeColor="background1"/>
            </w:tcBorders>
          </w:tcPr>
          <w:p w:rsidR="009E1AF6" w:rsidRPr="00B369D8" w:rsidRDefault="009E1AF6" w:rsidP="00470579">
            <w:pPr>
              <w:jc w:val="center"/>
              <w:rPr>
                <w:rFonts w:ascii="Arial" w:hAnsi="Arial" w:cs="Arial"/>
                <w:lang w:val="en-GB"/>
              </w:rPr>
            </w:pPr>
            <w:r w:rsidRPr="00B369D8">
              <w:rPr>
                <w:rFonts w:ascii="Arial" w:hAnsi="Arial" w:cs="Arial"/>
                <w:lang w:val="en-GB"/>
              </w:rPr>
              <w:t>0.75 (0.61-0.88)</w:t>
            </w:r>
          </w:p>
        </w:tc>
      </w:tr>
    </w:tbl>
    <w:p w:rsidR="009E1AF6" w:rsidRPr="00B369D8" w:rsidRDefault="009E1AF6" w:rsidP="009E1AF6">
      <w:pPr>
        <w:ind w:firstLine="708"/>
        <w:rPr>
          <w:rFonts w:ascii="Arial" w:hAnsi="Arial" w:cs="Arial"/>
          <w:lang w:val="en-GB"/>
        </w:rPr>
      </w:pPr>
    </w:p>
    <w:p w:rsidR="00565C3F" w:rsidRPr="00B369D8" w:rsidRDefault="00565C3F">
      <w:pPr>
        <w:rPr>
          <w:rFonts w:ascii="Arial" w:hAnsi="Arial" w:cs="Arial"/>
        </w:rPr>
      </w:pPr>
    </w:p>
    <w:p w:rsidR="00CA07E2" w:rsidRPr="00B369D8" w:rsidRDefault="00CA07E2">
      <w:pPr>
        <w:rPr>
          <w:rFonts w:ascii="Arial" w:hAnsi="Arial" w:cs="Arial"/>
          <w:lang w:val="en-GB"/>
        </w:rPr>
      </w:pPr>
      <w:r w:rsidRPr="00B369D8">
        <w:rPr>
          <w:rFonts w:ascii="Arial" w:hAnsi="Arial" w:cs="Arial"/>
          <w:lang w:val="en-GB"/>
        </w:rPr>
        <w:t xml:space="preserve">Legend: </w:t>
      </w:r>
      <w:r w:rsidR="009529A2" w:rsidRPr="00B369D8">
        <w:rPr>
          <w:rFonts w:ascii="Arial" w:hAnsi="Arial" w:cs="Arial"/>
          <w:lang w:val="en-GB"/>
        </w:rPr>
        <w:t>The reference te</w:t>
      </w:r>
      <w:r w:rsidR="00FC6DA3" w:rsidRPr="00B369D8">
        <w:rPr>
          <w:rFonts w:ascii="Arial" w:hAnsi="Arial" w:cs="Arial"/>
          <w:lang w:val="en-GB"/>
        </w:rPr>
        <w:t>st and the methods for grading traumatic axonal injury (T</w:t>
      </w:r>
      <w:r w:rsidR="009529A2" w:rsidRPr="00B369D8">
        <w:rPr>
          <w:rFonts w:ascii="Arial" w:hAnsi="Arial" w:cs="Arial"/>
          <w:lang w:val="en-GB"/>
        </w:rPr>
        <w:t>AI</w:t>
      </w:r>
      <w:r w:rsidR="00FC6DA3" w:rsidRPr="00B369D8">
        <w:rPr>
          <w:rFonts w:ascii="Arial" w:hAnsi="Arial" w:cs="Arial"/>
          <w:lang w:val="en-GB"/>
        </w:rPr>
        <w:t>)</w:t>
      </w:r>
      <w:r w:rsidR="009529A2" w:rsidRPr="00B369D8">
        <w:rPr>
          <w:rFonts w:ascii="Arial" w:hAnsi="Arial" w:cs="Arial"/>
          <w:lang w:val="en-GB"/>
        </w:rPr>
        <w:t xml:space="preserve"> with a higher area under the curve in comparison to the reference test</w:t>
      </w:r>
      <w:r w:rsidRPr="00B369D8">
        <w:rPr>
          <w:rFonts w:ascii="Arial" w:hAnsi="Arial" w:cs="Arial"/>
          <w:lang w:val="en-GB"/>
        </w:rPr>
        <w:t>s were applied on a 1.5T MRI (n=72) o</w:t>
      </w:r>
      <w:r w:rsidR="009529A2" w:rsidRPr="00B369D8">
        <w:rPr>
          <w:rFonts w:ascii="Arial" w:hAnsi="Arial" w:cs="Arial"/>
          <w:lang w:val="en-GB"/>
        </w:rPr>
        <w:t>r</w:t>
      </w:r>
      <w:r w:rsidRPr="00B369D8">
        <w:rPr>
          <w:rFonts w:ascii="Arial" w:hAnsi="Arial" w:cs="Arial"/>
          <w:lang w:val="en-GB"/>
        </w:rPr>
        <w:t xml:space="preserve"> 3T (n=52) MRI. The outcome prediction for several methods was compared between both MR field strengths. The area under the curve (AUC) was higher for all methods on the 3T MRI, however there was no statistical significant difference. </w:t>
      </w:r>
    </w:p>
    <w:sectPr w:rsidR="00CA07E2" w:rsidRPr="00B3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F6"/>
    <w:rsid w:val="0003431B"/>
    <w:rsid w:val="00075A2C"/>
    <w:rsid w:val="00081A5C"/>
    <w:rsid w:val="000D01F7"/>
    <w:rsid w:val="00123848"/>
    <w:rsid w:val="001A6F80"/>
    <w:rsid w:val="001D6FAF"/>
    <w:rsid w:val="00255086"/>
    <w:rsid w:val="002C4EFC"/>
    <w:rsid w:val="002D2A8A"/>
    <w:rsid w:val="002F638D"/>
    <w:rsid w:val="00322A90"/>
    <w:rsid w:val="00327EDC"/>
    <w:rsid w:val="00373DA2"/>
    <w:rsid w:val="00382F63"/>
    <w:rsid w:val="003A28B1"/>
    <w:rsid w:val="003B21C2"/>
    <w:rsid w:val="003C409D"/>
    <w:rsid w:val="00415424"/>
    <w:rsid w:val="004426EE"/>
    <w:rsid w:val="00470579"/>
    <w:rsid w:val="00472D96"/>
    <w:rsid w:val="00565C3F"/>
    <w:rsid w:val="005A142A"/>
    <w:rsid w:val="005E27B2"/>
    <w:rsid w:val="00605C6A"/>
    <w:rsid w:val="006251D0"/>
    <w:rsid w:val="00661758"/>
    <w:rsid w:val="00696A89"/>
    <w:rsid w:val="006A5502"/>
    <w:rsid w:val="006D511C"/>
    <w:rsid w:val="00750E50"/>
    <w:rsid w:val="00807E67"/>
    <w:rsid w:val="00906810"/>
    <w:rsid w:val="00916C37"/>
    <w:rsid w:val="00932074"/>
    <w:rsid w:val="009529A2"/>
    <w:rsid w:val="0099376B"/>
    <w:rsid w:val="009C5F62"/>
    <w:rsid w:val="009E1AF6"/>
    <w:rsid w:val="009F02F4"/>
    <w:rsid w:val="00AA7EF0"/>
    <w:rsid w:val="00B369D8"/>
    <w:rsid w:val="00CA07E2"/>
    <w:rsid w:val="00D4167C"/>
    <w:rsid w:val="00D9666D"/>
    <w:rsid w:val="00E8076D"/>
    <w:rsid w:val="00EA4947"/>
    <w:rsid w:val="00F24F2F"/>
    <w:rsid w:val="00F55ED1"/>
    <w:rsid w:val="00F72FBC"/>
    <w:rsid w:val="00FC6DA3"/>
    <w:rsid w:val="00FE1225"/>
    <w:rsid w:val="00FF1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4A00D-0EA7-4852-AD9E-B648B46B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F6"/>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A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4947"/>
    <w:pPr>
      <w:spacing w:after="0" w:line="240" w:lineRule="auto"/>
    </w:pPr>
  </w:style>
  <w:style w:type="paragraph" w:styleId="NormalWeb">
    <w:name w:val="Normal (Web)"/>
    <w:basedOn w:val="Normal"/>
    <w:uiPriority w:val="99"/>
    <w:semiHidden/>
    <w:unhideWhenUsed/>
    <w:rsid w:val="005A142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4058">
      <w:bodyDiv w:val="1"/>
      <w:marLeft w:val="0"/>
      <w:marRight w:val="0"/>
      <w:marTop w:val="0"/>
      <w:marBottom w:val="0"/>
      <w:divBdr>
        <w:top w:val="none" w:sz="0" w:space="0" w:color="auto"/>
        <w:left w:val="none" w:sz="0" w:space="0" w:color="auto"/>
        <w:bottom w:val="none" w:sz="0" w:space="0" w:color="auto"/>
        <w:right w:val="none" w:sz="0" w:space="0" w:color="auto"/>
      </w:divBdr>
    </w:div>
    <w:div w:id="20256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ETZ</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Eijck, Marleen van</dc:creator>
  <cp:keywords/>
  <dc:description/>
  <cp:lastModifiedBy>Parag Sharma Ishwar Lal Sharma, Integra-PDY, IN</cp:lastModifiedBy>
  <cp:revision>2</cp:revision>
  <dcterms:created xsi:type="dcterms:W3CDTF">2020-03-19T20:08:00Z</dcterms:created>
  <dcterms:modified xsi:type="dcterms:W3CDTF">2020-03-19T20:08:00Z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57</vt:lpwstr>
  </property>
  <property fmtid="{D5CDD505-2E9C-101B-9397-08002B2CF9AE}" pid="3" name="WnCSubscriberId">
    <vt:lpwstr>7089</vt:lpwstr>
  </property>
  <property fmtid="{D5CDD505-2E9C-101B-9397-08002B2CF9AE}" pid="4" name="WnCOutputStyleId">
    <vt:lpwstr>399</vt:lpwstr>
  </property>
  <property fmtid="{D5CDD505-2E9C-101B-9397-08002B2CF9AE}" pid="5" name="RWProductId">
    <vt:lpwstr>WnC</vt:lpwstr>
  </property>
  <property fmtid="{D5CDD505-2E9C-101B-9397-08002B2CF9AE}" pid="6" name="WnC4Folder">
    <vt:lpwstr>Documents///Supplementary Tables</vt:lpwstr>
  </property>
</Properties>
</file>