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CE0A" w14:textId="00B57E8A" w:rsidR="00015583" w:rsidRDefault="00015583" w:rsidP="00015583">
      <w:pPr>
        <w:pStyle w:val="Commentsontablesorfigures"/>
        <w:jc w:val="center"/>
        <w:rPr>
          <w:rFonts w:cs="Arial"/>
          <w:i w:val="0"/>
          <w:iCs/>
          <w:color w:val="auto"/>
          <w:sz w:val="36"/>
          <w:szCs w:val="48"/>
        </w:rPr>
      </w:pPr>
      <w:r>
        <w:rPr>
          <w:i w:val="0"/>
          <w:iCs/>
          <w:sz w:val="36"/>
          <w:szCs w:val="48"/>
        </w:rPr>
        <w:t xml:space="preserve">Beyond national climate action: the impact of region, </w:t>
      </w:r>
      <w:r w:rsidR="00DB035B">
        <w:rPr>
          <w:i w:val="0"/>
          <w:iCs/>
          <w:sz w:val="36"/>
          <w:szCs w:val="48"/>
        </w:rPr>
        <w:t xml:space="preserve">city, </w:t>
      </w:r>
      <w:r>
        <w:rPr>
          <w:i w:val="0"/>
          <w:iCs/>
          <w:sz w:val="36"/>
          <w:szCs w:val="48"/>
        </w:rPr>
        <w:t>and business commitments on global greenhouse gas emissions</w:t>
      </w:r>
    </w:p>
    <w:p w14:paraId="38742A4D" w14:textId="77777777" w:rsidR="00015583" w:rsidRDefault="00015583" w:rsidP="00015583">
      <w:pPr>
        <w:pStyle w:val="FirstPageText"/>
        <w:spacing w:line="360" w:lineRule="auto"/>
        <w:jc w:val="center"/>
      </w:pPr>
    </w:p>
    <w:p w14:paraId="5B87AF8D" w14:textId="77777777" w:rsidR="00015583" w:rsidRDefault="00015583" w:rsidP="00015583">
      <w:pPr>
        <w:spacing w:line="360" w:lineRule="auto"/>
        <w:jc w:val="center"/>
        <w:rPr>
          <w:rFonts w:cs="Arial"/>
          <w:b/>
          <w:bCs/>
          <w:color w:val="auto"/>
          <w:lang w:eastAsia="ja-JP"/>
        </w:rPr>
      </w:pPr>
      <w:r>
        <w:rPr>
          <w:rFonts w:cs="Arial"/>
          <w:b/>
          <w:bCs/>
          <w:color w:val="auto"/>
        </w:rPr>
        <w:t>Takeshi Kuramochi</w:t>
      </w:r>
      <w:r>
        <w:rPr>
          <w:rFonts w:cs="Arial"/>
          <w:b/>
          <w:bCs/>
          <w:color w:val="auto"/>
          <w:vertAlign w:val="superscript"/>
        </w:rPr>
        <w:t>1,</w:t>
      </w:r>
      <w:proofErr w:type="gramStart"/>
      <w:r>
        <w:rPr>
          <w:rFonts w:cs="Arial"/>
          <w:b/>
          <w:bCs/>
          <w:color w:val="auto"/>
          <w:vertAlign w:val="superscript"/>
        </w:rPr>
        <w:t>2,*</w:t>
      </w:r>
      <w:proofErr w:type="gramEnd"/>
      <w:r>
        <w:rPr>
          <w:rFonts w:cs="Arial"/>
          <w:b/>
          <w:bCs/>
          <w:color w:val="auto"/>
        </w:rPr>
        <w:t xml:space="preserve">, </w:t>
      </w:r>
      <w:r>
        <w:rPr>
          <w:rFonts w:cs="Arial"/>
          <w:b/>
          <w:bCs/>
          <w:color w:val="auto"/>
          <w:lang w:eastAsia="ja-JP"/>
        </w:rPr>
        <w:t>Mark Roelfsema</w:t>
      </w:r>
      <w:r>
        <w:rPr>
          <w:rFonts w:cs="Arial"/>
          <w:b/>
          <w:bCs/>
          <w:color w:val="auto"/>
          <w:vertAlign w:val="superscript"/>
          <w:lang w:eastAsia="ja-JP"/>
        </w:rPr>
        <w:t>3</w:t>
      </w:r>
      <w:r>
        <w:rPr>
          <w:rFonts w:cs="Arial"/>
          <w:b/>
          <w:bCs/>
          <w:color w:val="auto"/>
          <w:lang w:eastAsia="ja-JP"/>
        </w:rPr>
        <w:t xml:space="preserve">, </w:t>
      </w:r>
      <w:r>
        <w:rPr>
          <w:rFonts w:cs="Arial"/>
          <w:b/>
          <w:bCs/>
          <w:color w:val="auto"/>
        </w:rPr>
        <w:t>Angel Hsu</w:t>
      </w:r>
      <w:r>
        <w:rPr>
          <w:rFonts w:cs="Arial"/>
          <w:b/>
          <w:bCs/>
          <w:color w:val="auto"/>
          <w:vertAlign w:val="superscript"/>
        </w:rPr>
        <w:t>4</w:t>
      </w:r>
      <w:r>
        <w:rPr>
          <w:rFonts w:cs="Arial"/>
          <w:b/>
          <w:bCs/>
          <w:color w:val="auto"/>
        </w:rPr>
        <w:t>, Swithin Lui</w:t>
      </w:r>
      <w:r>
        <w:rPr>
          <w:rFonts w:cs="Arial"/>
          <w:b/>
          <w:bCs/>
          <w:color w:val="auto"/>
          <w:vertAlign w:val="superscript"/>
        </w:rPr>
        <w:t>1</w:t>
      </w:r>
      <w:r>
        <w:rPr>
          <w:rFonts w:cs="Arial"/>
          <w:b/>
          <w:bCs/>
          <w:color w:val="auto"/>
        </w:rPr>
        <w:t>, Amy Weinfurter</w:t>
      </w:r>
      <w:r>
        <w:rPr>
          <w:rFonts w:cs="Arial"/>
          <w:b/>
          <w:bCs/>
          <w:color w:val="auto"/>
          <w:vertAlign w:val="superscript"/>
        </w:rPr>
        <w:t>4</w:t>
      </w:r>
      <w:r>
        <w:rPr>
          <w:rFonts w:cs="Arial"/>
          <w:b/>
          <w:bCs/>
          <w:color w:val="auto"/>
        </w:rPr>
        <w:t xml:space="preserve">, </w:t>
      </w:r>
      <w:r>
        <w:rPr>
          <w:rFonts w:cs="Arial"/>
          <w:b/>
          <w:bCs/>
          <w:color w:val="auto"/>
          <w:lang w:eastAsia="ja-JP"/>
        </w:rPr>
        <w:t>Sander Chan</w:t>
      </w:r>
      <w:r>
        <w:rPr>
          <w:rFonts w:cs="Arial"/>
          <w:b/>
          <w:bCs/>
          <w:color w:val="auto"/>
          <w:vertAlign w:val="superscript"/>
          <w:lang w:eastAsia="ja-JP"/>
        </w:rPr>
        <w:t>2,5</w:t>
      </w:r>
      <w:r>
        <w:rPr>
          <w:rFonts w:cs="Arial"/>
          <w:b/>
          <w:bCs/>
          <w:color w:val="auto"/>
          <w:lang w:eastAsia="ja-JP"/>
        </w:rPr>
        <w:t>, Thomas Hale</w:t>
      </w:r>
      <w:r>
        <w:rPr>
          <w:rFonts w:cs="Arial"/>
          <w:b/>
          <w:bCs/>
          <w:color w:val="auto"/>
          <w:vertAlign w:val="superscript"/>
          <w:lang w:eastAsia="ja-JP"/>
        </w:rPr>
        <w:t>6</w:t>
      </w:r>
      <w:r>
        <w:rPr>
          <w:rFonts w:cs="Arial"/>
          <w:b/>
          <w:bCs/>
          <w:color w:val="auto"/>
          <w:lang w:eastAsia="ja-JP"/>
        </w:rPr>
        <w:t>, Andrew Clapper</w:t>
      </w:r>
      <w:r>
        <w:rPr>
          <w:rFonts w:cs="Arial"/>
          <w:b/>
          <w:bCs/>
          <w:color w:val="auto"/>
          <w:vertAlign w:val="superscript"/>
          <w:lang w:eastAsia="ja-JP"/>
        </w:rPr>
        <w:t>7</w:t>
      </w:r>
      <w:r>
        <w:rPr>
          <w:rFonts w:cs="Arial"/>
          <w:b/>
          <w:bCs/>
          <w:color w:val="auto"/>
          <w:lang w:eastAsia="ja-JP"/>
        </w:rPr>
        <w:t>, Andres Chang</w:t>
      </w:r>
      <w:r>
        <w:rPr>
          <w:rFonts w:cs="Arial"/>
          <w:b/>
          <w:bCs/>
          <w:color w:val="auto"/>
          <w:vertAlign w:val="superscript"/>
          <w:lang w:eastAsia="ja-JP"/>
        </w:rPr>
        <w:t>7</w:t>
      </w:r>
      <w:r>
        <w:rPr>
          <w:rFonts w:cs="Arial"/>
          <w:b/>
          <w:bCs/>
          <w:color w:val="auto"/>
          <w:lang w:eastAsia="ja-JP"/>
        </w:rPr>
        <w:t xml:space="preserve">, </w:t>
      </w:r>
      <w:r>
        <w:rPr>
          <w:rFonts w:cs="Arial"/>
          <w:b/>
          <w:bCs/>
          <w:color w:val="auto"/>
        </w:rPr>
        <w:t>Niklas Höhne</w:t>
      </w:r>
      <w:r>
        <w:rPr>
          <w:rFonts w:cs="Arial"/>
          <w:b/>
          <w:bCs/>
          <w:color w:val="auto"/>
          <w:vertAlign w:val="superscript"/>
        </w:rPr>
        <w:t>1,8</w:t>
      </w:r>
    </w:p>
    <w:p w14:paraId="7F669D6B" w14:textId="77777777" w:rsidR="00015583" w:rsidRDefault="00015583" w:rsidP="00015583">
      <w:pPr>
        <w:spacing w:line="240" w:lineRule="auto"/>
        <w:jc w:val="center"/>
        <w:rPr>
          <w:rFonts w:cs="Arial"/>
          <w:color w:val="auto"/>
        </w:rPr>
      </w:pPr>
      <w:r>
        <w:rPr>
          <w:rFonts w:cs="Arial"/>
          <w:color w:val="auto"/>
          <w:vertAlign w:val="superscript"/>
        </w:rPr>
        <w:t>1</w:t>
      </w:r>
      <w:r>
        <w:rPr>
          <w:rFonts w:cs="Arial"/>
          <w:color w:val="auto"/>
        </w:rPr>
        <w:t xml:space="preserve"> NewClimate Institute, Cologne, Germany</w:t>
      </w:r>
    </w:p>
    <w:p w14:paraId="1EB212FA" w14:textId="77777777" w:rsidR="00015583" w:rsidRDefault="00015583" w:rsidP="00015583">
      <w:pPr>
        <w:spacing w:line="240" w:lineRule="auto"/>
        <w:jc w:val="center"/>
        <w:rPr>
          <w:rFonts w:cs="Arial"/>
          <w:color w:val="auto"/>
        </w:rPr>
      </w:pPr>
      <w:r>
        <w:rPr>
          <w:rFonts w:cs="Arial"/>
          <w:color w:val="auto"/>
          <w:vertAlign w:val="superscript"/>
        </w:rPr>
        <w:t>2</w:t>
      </w:r>
      <w:r>
        <w:rPr>
          <w:rFonts w:cs="Arial"/>
          <w:color w:val="auto"/>
        </w:rPr>
        <w:t xml:space="preserve"> Copernicus Institute of Sustainable Development, Utrecht, the Netherlands</w:t>
      </w:r>
    </w:p>
    <w:p w14:paraId="308EB319" w14:textId="77777777" w:rsidR="00015583" w:rsidRDefault="00015583" w:rsidP="00015583">
      <w:pPr>
        <w:spacing w:line="240" w:lineRule="auto"/>
        <w:jc w:val="center"/>
        <w:rPr>
          <w:rFonts w:cs="Arial"/>
          <w:color w:val="auto"/>
        </w:rPr>
      </w:pPr>
      <w:r>
        <w:rPr>
          <w:rFonts w:cs="Arial"/>
          <w:color w:val="auto"/>
          <w:vertAlign w:val="superscript"/>
        </w:rPr>
        <w:t>3</w:t>
      </w:r>
      <w:r>
        <w:rPr>
          <w:rFonts w:cs="Arial"/>
          <w:color w:val="auto"/>
        </w:rPr>
        <w:t xml:space="preserve"> PBL Netherlands Environmental Assessment Agency, the Hague, the Netherlands</w:t>
      </w:r>
    </w:p>
    <w:p w14:paraId="6D799B59" w14:textId="77777777" w:rsidR="00015583" w:rsidRDefault="00015583" w:rsidP="00015583">
      <w:pPr>
        <w:spacing w:line="240" w:lineRule="auto"/>
        <w:jc w:val="center"/>
        <w:rPr>
          <w:rFonts w:cs="Arial"/>
          <w:color w:val="auto"/>
          <w:lang w:val="de-DE"/>
        </w:rPr>
      </w:pPr>
      <w:r>
        <w:rPr>
          <w:rFonts w:cs="Arial"/>
          <w:color w:val="auto"/>
          <w:vertAlign w:val="superscript"/>
          <w:lang w:val="de-DE"/>
        </w:rPr>
        <w:t>4</w:t>
      </w:r>
      <w:r>
        <w:rPr>
          <w:rFonts w:cs="Arial"/>
          <w:color w:val="auto"/>
          <w:lang w:val="de-DE"/>
        </w:rPr>
        <w:t xml:space="preserve"> Yale-NUS College, Singapore</w:t>
      </w:r>
    </w:p>
    <w:p w14:paraId="6D499A4B" w14:textId="77777777" w:rsidR="00015583" w:rsidRDefault="00015583" w:rsidP="00015583">
      <w:pPr>
        <w:spacing w:line="240" w:lineRule="auto"/>
        <w:jc w:val="center"/>
        <w:rPr>
          <w:rFonts w:cs="Arial"/>
          <w:color w:val="auto"/>
          <w:lang w:val="de-DE"/>
        </w:rPr>
      </w:pPr>
      <w:r>
        <w:rPr>
          <w:rFonts w:cs="Arial"/>
          <w:color w:val="auto"/>
          <w:vertAlign w:val="superscript"/>
          <w:lang w:val="de-DE"/>
        </w:rPr>
        <w:t>5</w:t>
      </w:r>
      <w:r>
        <w:rPr>
          <w:rFonts w:cs="Arial"/>
          <w:color w:val="auto"/>
          <w:lang w:val="de-DE"/>
        </w:rPr>
        <w:t xml:space="preserve"> German Development Institute/Deutsches Institut für Entwicklungspolitik (DIE), Bonn, Germany</w:t>
      </w:r>
    </w:p>
    <w:p w14:paraId="3BB11DEA" w14:textId="77777777" w:rsidR="00015583" w:rsidRDefault="00015583" w:rsidP="00015583">
      <w:pPr>
        <w:spacing w:line="240" w:lineRule="auto"/>
        <w:jc w:val="center"/>
        <w:rPr>
          <w:rFonts w:cs="Arial"/>
          <w:color w:val="auto"/>
          <w:lang w:val="en-US"/>
        </w:rPr>
      </w:pPr>
      <w:r>
        <w:rPr>
          <w:rFonts w:cs="Arial"/>
          <w:color w:val="auto"/>
          <w:vertAlign w:val="superscript"/>
          <w:lang w:val="en-US"/>
        </w:rPr>
        <w:t>6</w:t>
      </w:r>
      <w:r>
        <w:rPr>
          <w:rFonts w:cs="Arial"/>
          <w:color w:val="auto"/>
          <w:lang w:val="en-US"/>
        </w:rPr>
        <w:t xml:space="preserve"> </w:t>
      </w:r>
      <w:proofErr w:type="spellStart"/>
      <w:r>
        <w:rPr>
          <w:rFonts w:cs="Arial"/>
          <w:color w:val="auto"/>
          <w:lang w:val="en-US"/>
        </w:rPr>
        <w:t>Blavatnik</w:t>
      </w:r>
      <w:proofErr w:type="spellEnd"/>
      <w:r>
        <w:rPr>
          <w:rFonts w:cs="Arial"/>
          <w:color w:val="auto"/>
          <w:lang w:val="en-US"/>
        </w:rPr>
        <w:t xml:space="preserve"> School of Government, University of Oxford, Oxford, UK</w:t>
      </w:r>
    </w:p>
    <w:p w14:paraId="14D57ECA" w14:textId="77777777" w:rsidR="00015583" w:rsidRDefault="00015583" w:rsidP="00015583">
      <w:pPr>
        <w:spacing w:line="240" w:lineRule="auto"/>
        <w:jc w:val="center"/>
        <w:rPr>
          <w:rFonts w:cs="Arial"/>
          <w:color w:val="auto"/>
          <w:lang w:val="en-US"/>
        </w:rPr>
      </w:pPr>
      <w:r>
        <w:rPr>
          <w:rFonts w:cs="Arial"/>
          <w:color w:val="auto"/>
          <w:vertAlign w:val="superscript"/>
          <w:lang w:val="en-US"/>
        </w:rPr>
        <w:t>7</w:t>
      </w:r>
      <w:r>
        <w:rPr>
          <w:rFonts w:cs="Arial"/>
          <w:color w:val="auto"/>
          <w:lang w:val="en-US"/>
        </w:rPr>
        <w:t xml:space="preserve"> CDP, New York, USA</w:t>
      </w:r>
    </w:p>
    <w:p w14:paraId="5D6DCA9F" w14:textId="77777777" w:rsidR="00015583" w:rsidRDefault="00015583" w:rsidP="00015583">
      <w:pPr>
        <w:spacing w:line="240" w:lineRule="auto"/>
        <w:jc w:val="center"/>
        <w:rPr>
          <w:rFonts w:cs="Arial"/>
          <w:color w:val="auto"/>
          <w:lang w:val="en-US"/>
        </w:rPr>
      </w:pPr>
      <w:r>
        <w:rPr>
          <w:rFonts w:cs="Arial"/>
          <w:color w:val="auto"/>
          <w:vertAlign w:val="superscript"/>
          <w:lang w:val="en-US"/>
        </w:rPr>
        <w:t>8</w:t>
      </w:r>
      <w:r>
        <w:rPr>
          <w:rFonts w:cs="Arial"/>
          <w:color w:val="auto"/>
          <w:lang w:val="en-US"/>
        </w:rPr>
        <w:t xml:space="preserve"> Environmental Systems Analysis Group, Wageningen University and Research Centre, Wageningen, The Netherlands</w:t>
      </w:r>
    </w:p>
    <w:p w14:paraId="3D815098" w14:textId="705E3EFC" w:rsidR="005F281B" w:rsidRDefault="00015583" w:rsidP="00015583">
      <w:pPr>
        <w:spacing w:line="240" w:lineRule="auto"/>
        <w:jc w:val="center"/>
      </w:pPr>
      <w:r>
        <w:rPr>
          <w:rFonts w:cs="Arial"/>
          <w:color w:val="auto"/>
          <w:lang w:val="en-US"/>
        </w:rPr>
        <w:t xml:space="preserve">* Corresponding author. E-mail: </w:t>
      </w:r>
      <w:hyperlink r:id="rId11" w:history="1">
        <w:r>
          <w:rPr>
            <w:rStyle w:val="Hyperlink"/>
            <w:rFonts w:cs="Arial"/>
            <w:lang w:val="en-US"/>
          </w:rPr>
          <w:t>t.kuramochi@newclimate.org</w:t>
        </w:r>
      </w:hyperlink>
    </w:p>
    <w:p w14:paraId="6AA343FA" w14:textId="77777777" w:rsidR="00015583" w:rsidRPr="00015583" w:rsidRDefault="00015583" w:rsidP="00015583">
      <w:pPr>
        <w:spacing w:line="240" w:lineRule="auto"/>
        <w:jc w:val="center"/>
        <w:rPr>
          <w:rFonts w:cs="Arial"/>
          <w:color w:val="auto"/>
          <w:lang w:val="en-US"/>
        </w:rPr>
      </w:pPr>
    </w:p>
    <w:p w14:paraId="24FDB9AD" w14:textId="77777777" w:rsidR="005F281B" w:rsidRDefault="005F281B" w:rsidP="005F281B">
      <w:pPr>
        <w:pStyle w:val="Subtitle"/>
        <w:spacing w:line="360" w:lineRule="auto"/>
        <w:jc w:val="center"/>
      </w:pPr>
      <w:r w:rsidRPr="005F281B">
        <w:t>Supplemental online material</w:t>
      </w:r>
    </w:p>
    <w:p w14:paraId="34C8EF40" w14:textId="77777777" w:rsidR="005F281B" w:rsidRDefault="005F281B" w:rsidP="005F281B"/>
    <w:sdt>
      <w:sdtPr>
        <w:rPr>
          <w:rFonts w:ascii="Arial" w:eastAsiaTheme="minorEastAsia" w:hAnsi="Arial" w:cstheme="minorBidi"/>
          <w:color w:val="000000" w:themeColor="text1"/>
          <w:sz w:val="20"/>
          <w:szCs w:val="22"/>
          <w:lang w:val="en-GB"/>
        </w:rPr>
        <w:id w:val="628203771"/>
        <w:docPartObj>
          <w:docPartGallery w:val="Table of Contents"/>
          <w:docPartUnique/>
        </w:docPartObj>
      </w:sdtPr>
      <w:sdtEndPr>
        <w:rPr>
          <w:b/>
          <w:bCs/>
          <w:noProof/>
        </w:rPr>
      </w:sdtEndPr>
      <w:sdtContent>
        <w:p w14:paraId="1B8F3614" w14:textId="77777777" w:rsidR="005F281B" w:rsidRPr="005F281B" w:rsidRDefault="005F281B">
          <w:pPr>
            <w:pStyle w:val="TOCHeading"/>
            <w:rPr>
              <w:rFonts w:ascii="Arial" w:hAnsi="Arial" w:cs="Arial"/>
              <w:color w:val="auto"/>
            </w:rPr>
          </w:pPr>
          <w:r w:rsidRPr="005F281B">
            <w:rPr>
              <w:rFonts w:ascii="Arial" w:hAnsi="Arial" w:cs="Arial"/>
              <w:color w:val="auto"/>
            </w:rPr>
            <w:t>Table of Contents</w:t>
          </w:r>
        </w:p>
        <w:p w14:paraId="29A06B7F" w14:textId="0379AB56" w:rsidR="00015583" w:rsidRDefault="005F281B">
          <w:pPr>
            <w:pStyle w:val="TOC1"/>
            <w:tabs>
              <w:tab w:val="right" w:leader="dot" w:pos="9016"/>
            </w:tabs>
            <w:rPr>
              <w:rFonts w:asciiTheme="minorHAnsi" w:hAnsiTheme="minorHAnsi"/>
              <w:noProof/>
              <w:color w:val="auto"/>
              <w:sz w:val="22"/>
              <w:lang w:eastAsia="ja-JP"/>
            </w:rPr>
          </w:pPr>
          <w:r>
            <w:fldChar w:fldCharType="begin"/>
          </w:r>
          <w:r>
            <w:instrText xml:space="preserve"> TOC \o "1-3" \h \z \u </w:instrText>
          </w:r>
          <w:r>
            <w:fldChar w:fldCharType="separate"/>
          </w:r>
          <w:hyperlink w:anchor="_Toc34169184" w:history="1">
            <w:r w:rsidR="00015583" w:rsidRPr="005514F1">
              <w:rPr>
                <w:rStyle w:val="Hyperlink"/>
                <w:noProof/>
              </w:rPr>
              <w:t>S1: Detailed methods on the subnational actors’ commitments dataset preparation</w:t>
            </w:r>
            <w:r w:rsidR="00015583">
              <w:rPr>
                <w:noProof/>
                <w:webHidden/>
              </w:rPr>
              <w:tab/>
            </w:r>
            <w:r w:rsidR="00015583">
              <w:rPr>
                <w:noProof/>
                <w:webHidden/>
              </w:rPr>
              <w:fldChar w:fldCharType="begin"/>
            </w:r>
            <w:r w:rsidR="00015583">
              <w:rPr>
                <w:noProof/>
                <w:webHidden/>
              </w:rPr>
              <w:instrText xml:space="preserve"> PAGEREF _Toc34169184 \h </w:instrText>
            </w:r>
            <w:r w:rsidR="00015583">
              <w:rPr>
                <w:noProof/>
                <w:webHidden/>
              </w:rPr>
            </w:r>
            <w:r w:rsidR="00015583">
              <w:rPr>
                <w:noProof/>
                <w:webHidden/>
              </w:rPr>
              <w:fldChar w:fldCharType="separate"/>
            </w:r>
            <w:r w:rsidR="00015583">
              <w:rPr>
                <w:noProof/>
                <w:webHidden/>
              </w:rPr>
              <w:t>2</w:t>
            </w:r>
            <w:r w:rsidR="00015583">
              <w:rPr>
                <w:noProof/>
                <w:webHidden/>
              </w:rPr>
              <w:fldChar w:fldCharType="end"/>
            </w:r>
          </w:hyperlink>
        </w:p>
        <w:p w14:paraId="0A48A136" w14:textId="563FDF7A" w:rsidR="00015583" w:rsidRDefault="00DB035B">
          <w:pPr>
            <w:pStyle w:val="TOC1"/>
            <w:tabs>
              <w:tab w:val="right" w:leader="dot" w:pos="9016"/>
            </w:tabs>
            <w:rPr>
              <w:rFonts w:asciiTheme="minorHAnsi" w:hAnsiTheme="minorHAnsi"/>
              <w:noProof/>
              <w:color w:val="auto"/>
              <w:sz w:val="22"/>
              <w:lang w:eastAsia="ja-JP"/>
            </w:rPr>
          </w:pPr>
          <w:hyperlink w:anchor="_Toc34169185" w:history="1">
            <w:r w:rsidR="00015583" w:rsidRPr="005514F1">
              <w:rPr>
                <w:rStyle w:val="Hyperlink"/>
                <w:noProof/>
              </w:rPr>
              <w:t>S2: Detailed methods on the companies’ commitments dataset preparation</w:t>
            </w:r>
            <w:r w:rsidR="00015583">
              <w:rPr>
                <w:noProof/>
                <w:webHidden/>
              </w:rPr>
              <w:tab/>
            </w:r>
            <w:r w:rsidR="00015583">
              <w:rPr>
                <w:noProof/>
                <w:webHidden/>
              </w:rPr>
              <w:fldChar w:fldCharType="begin"/>
            </w:r>
            <w:r w:rsidR="00015583">
              <w:rPr>
                <w:noProof/>
                <w:webHidden/>
              </w:rPr>
              <w:instrText xml:space="preserve"> PAGEREF _Toc34169185 \h </w:instrText>
            </w:r>
            <w:r w:rsidR="00015583">
              <w:rPr>
                <w:noProof/>
                <w:webHidden/>
              </w:rPr>
            </w:r>
            <w:r w:rsidR="00015583">
              <w:rPr>
                <w:noProof/>
                <w:webHidden/>
              </w:rPr>
              <w:fldChar w:fldCharType="separate"/>
            </w:r>
            <w:r w:rsidR="00015583">
              <w:rPr>
                <w:noProof/>
                <w:webHidden/>
              </w:rPr>
              <w:t>6</w:t>
            </w:r>
            <w:r w:rsidR="00015583">
              <w:rPr>
                <w:noProof/>
                <w:webHidden/>
              </w:rPr>
              <w:fldChar w:fldCharType="end"/>
            </w:r>
          </w:hyperlink>
        </w:p>
        <w:p w14:paraId="1F5D3F54" w14:textId="7CFBA754" w:rsidR="00015583" w:rsidRDefault="00DB035B">
          <w:pPr>
            <w:pStyle w:val="TOC1"/>
            <w:tabs>
              <w:tab w:val="right" w:leader="dot" w:pos="9016"/>
            </w:tabs>
            <w:rPr>
              <w:rFonts w:asciiTheme="minorHAnsi" w:hAnsiTheme="minorHAnsi"/>
              <w:noProof/>
              <w:color w:val="auto"/>
              <w:sz w:val="22"/>
              <w:lang w:eastAsia="ja-JP"/>
            </w:rPr>
          </w:pPr>
          <w:hyperlink w:anchor="_Toc34169186" w:history="1">
            <w:r w:rsidR="00015583" w:rsidRPr="005514F1">
              <w:rPr>
                <w:rStyle w:val="Hyperlink"/>
                <w:noProof/>
              </w:rPr>
              <w:t xml:space="preserve">S3: Additional information on the calculation of net aggregate GHG impact </w:t>
            </w:r>
            <w:r w:rsidR="00015583" w:rsidRPr="005514F1">
              <w:rPr>
                <w:rStyle w:val="Hyperlink"/>
                <w:rFonts w:cs="Arial"/>
                <w:noProof/>
              </w:rPr>
              <w:t>of commitments</w:t>
            </w:r>
            <w:r w:rsidR="00015583">
              <w:rPr>
                <w:noProof/>
                <w:webHidden/>
              </w:rPr>
              <w:tab/>
            </w:r>
            <w:r w:rsidR="00015583">
              <w:rPr>
                <w:noProof/>
                <w:webHidden/>
              </w:rPr>
              <w:fldChar w:fldCharType="begin"/>
            </w:r>
            <w:r w:rsidR="00015583">
              <w:rPr>
                <w:noProof/>
                <w:webHidden/>
              </w:rPr>
              <w:instrText xml:space="preserve"> PAGEREF _Toc34169186 \h </w:instrText>
            </w:r>
            <w:r w:rsidR="00015583">
              <w:rPr>
                <w:noProof/>
                <w:webHidden/>
              </w:rPr>
            </w:r>
            <w:r w:rsidR="00015583">
              <w:rPr>
                <w:noProof/>
                <w:webHidden/>
              </w:rPr>
              <w:fldChar w:fldCharType="separate"/>
            </w:r>
            <w:r w:rsidR="00015583">
              <w:rPr>
                <w:noProof/>
                <w:webHidden/>
              </w:rPr>
              <w:t>8</w:t>
            </w:r>
            <w:r w:rsidR="00015583">
              <w:rPr>
                <w:noProof/>
                <w:webHidden/>
              </w:rPr>
              <w:fldChar w:fldCharType="end"/>
            </w:r>
          </w:hyperlink>
        </w:p>
        <w:p w14:paraId="57534185" w14:textId="24678E9D" w:rsidR="00015583" w:rsidRDefault="00DB035B">
          <w:pPr>
            <w:pStyle w:val="TOC2"/>
            <w:tabs>
              <w:tab w:val="right" w:leader="dot" w:pos="9016"/>
            </w:tabs>
            <w:rPr>
              <w:rFonts w:asciiTheme="minorHAnsi" w:hAnsiTheme="minorHAnsi"/>
              <w:noProof/>
              <w:color w:val="auto"/>
              <w:sz w:val="22"/>
              <w:lang w:eastAsia="ja-JP"/>
            </w:rPr>
          </w:pPr>
          <w:hyperlink w:anchor="_Toc34169187" w:history="1">
            <w:r w:rsidR="00015583" w:rsidRPr="005514F1">
              <w:rPr>
                <w:rStyle w:val="Hyperlink"/>
                <w:noProof/>
              </w:rPr>
              <w:t>S3.1: Quantification of total emissions from subnational actors and companies with commitments after accounting for overlaps</w:t>
            </w:r>
            <w:r w:rsidR="00015583">
              <w:rPr>
                <w:noProof/>
                <w:webHidden/>
              </w:rPr>
              <w:tab/>
            </w:r>
            <w:r w:rsidR="00015583">
              <w:rPr>
                <w:noProof/>
                <w:webHidden/>
              </w:rPr>
              <w:fldChar w:fldCharType="begin"/>
            </w:r>
            <w:r w:rsidR="00015583">
              <w:rPr>
                <w:noProof/>
                <w:webHidden/>
              </w:rPr>
              <w:instrText xml:space="preserve"> PAGEREF _Toc34169187 \h </w:instrText>
            </w:r>
            <w:r w:rsidR="00015583">
              <w:rPr>
                <w:noProof/>
                <w:webHidden/>
              </w:rPr>
            </w:r>
            <w:r w:rsidR="00015583">
              <w:rPr>
                <w:noProof/>
                <w:webHidden/>
              </w:rPr>
              <w:fldChar w:fldCharType="separate"/>
            </w:r>
            <w:r w:rsidR="00015583">
              <w:rPr>
                <w:noProof/>
                <w:webHidden/>
              </w:rPr>
              <w:t>8</w:t>
            </w:r>
            <w:r w:rsidR="00015583">
              <w:rPr>
                <w:noProof/>
                <w:webHidden/>
              </w:rPr>
              <w:fldChar w:fldCharType="end"/>
            </w:r>
          </w:hyperlink>
        </w:p>
        <w:p w14:paraId="30057A83" w14:textId="0AD07D34" w:rsidR="00015583" w:rsidRDefault="00DB035B">
          <w:pPr>
            <w:pStyle w:val="TOC2"/>
            <w:tabs>
              <w:tab w:val="right" w:leader="dot" w:pos="9016"/>
            </w:tabs>
            <w:rPr>
              <w:rFonts w:asciiTheme="minorHAnsi" w:hAnsiTheme="minorHAnsi"/>
              <w:noProof/>
              <w:color w:val="auto"/>
              <w:sz w:val="22"/>
              <w:lang w:eastAsia="ja-JP"/>
            </w:rPr>
          </w:pPr>
          <w:hyperlink w:anchor="_Toc34169188" w:history="1">
            <w:r w:rsidR="00015583" w:rsidRPr="005514F1">
              <w:rPr>
                <w:rStyle w:val="Hyperlink"/>
                <w:noProof/>
              </w:rPr>
              <w:t>S3.2: Share of electricity-related GHG emissions in total direct and electricity-related GHG emissions from cities</w:t>
            </w:r>
            <w:r w:rsidR="00015583">
              <w:rPr>
                <w:noProof/>
                <w:webHidden/>
              </w:rPr>
              <w:tab/>
            </w:r>
            <w:r w:rsidR="00015583">
              <w:rPr>
                <w:noProof/>
                <w:webHidden/>
              </w:rPr>
              <w:fldChar w:fldCharType="begin"/>
            </w:r>
            <w:r w:rsidR="00015583">
              <w:rPr>
                <w:noProof/>
                <w:webHidden/>
              </w:rPr>
              <w:instrText xml:space="preserve"> PAGEREF _Toc34169188 \h </w:instrText>
            </w:r>
            <w:r w:rsidR="00015583">
              <w:rPr>
                <w:noProof/>
                <w:webHidden/>
              </w:rPr>
            </w:r>
            <w:r w:rsidR="00015583">
              <w:rPr>
                <w:noProof/>
                <w:webHidden/>
              </w:rPr>
              <w:fldChar w:fldCharType="separate"/>
            </w:r>
            <w:r w:rsidR="00015583">
              <w:rPr>
                <w:noProof/>
                <w:webHidden/>
              </w:rPr>
              <w:t>9</w:t>
            </w:r>
            <w:r w:rsidR="00015583">
              <w:rPr>
                <w:noProof/>
                <w:webHidden/>
              </w:rPr>
              <w:fldChar w:fldCharType="end"/>
            </w:r>
          </w:hyperlink>
        </w:p>
        <w:p w14:paraId="5D39BC58" w14:textId="25E114E5" w:rsidR="00015583" w:rsidRDefault="00DB035B">
          <w:pPr>
            <w:pStyle w:val="TOC2"/>
            <w:tabs>
              <w:tab w:val="right" w:leader="dot" w:pos="9016"/>
            </w:tabs>
            <w:rPr>
              <w:rFonts w:asciiTheme="minorHAnsi" w:hAnsiTheme="minorHAnsi"/>
              <w:noProof/>
              <w:color w:val="auto"/>
              <w:sz w:val="22"/>
              <w:lang w:eastAsia="ja-JP"/>
            </w:rPr>
          </w:pPr>
          <w:hyperlink w:anchor="_Toc34169189" w:history="1">
            <w:r w:rsidR="00015583" w:rsidRPr="005514F1">
              <w:rPr>
                <w:rStyle w:val="Hyperlink"/>
                <w:noProof/>
              </w:rPr>
              <w:t>S3.3: Detailed description of the “partial effect” method</w:t>
            </w:r>
            <w:r w:rsidR="00015583">
              <w:rPr>
                <w:noProof/>
                <w:webHidden/>
              </w:rPr>
              <w:tab/>
            </w:r>
            <w:r w:rsidR="00015583">
              <w:rPr>
                <w:noProof/>
                <w:webHidden/>
              </w:rPr>
              <w:fldChar w:fldCharType="begin"/>
            </w:r>
            <w:r w:rsidR="00015583">
              <w:rPr>
                <w:noProof/>
                <w:webHidden/>
              </w:rPr>
              <w:instrText xml:space="preserve"> PAGEREF _Toc34169189 \h </w:instrText>
            </w:r>
            <w:r w:rsidR="00015583">
              <w:rPr>
                <w:noProof/>
                <w:webHidden/>
              </w:rPr>
            </w:r>
            <w:r w:rsidR="00015583">
              <w:rPr>
                <w:noProof/>
                <w:webHidden/>
              </w:rPr>
              <w:fldChar w:fldCharType="separate"/>
            </w:r>
            <w:r w:rsidR="00015583">
              <w:rPr>
                <w:noProof/>
                <w:webHidden/>
              </w:rPr>
              <w:t>10</w:t>
            </w:r>
            <w:r w:rsidR="00015583">
              <w:rPr>
                <w:noProof/>
                <w:webHidden/>
              </w:rPr>
              <w:fldChar w:fldCharType="end"/>
            </w:r>
          </w:hyperlink>
        </w:p>
        <w:p w14:paraId="0AFB641F" w14:textId="472C738A" w:rsidR="00015583" w:rsidRDefault="00DB035B">
          <w:pPr>
            <w:pStyle w:val="TOC2"/>
            <w:tabs>
              <w:tab w:val="right" w:leader="dot" w:pos="9016"/>
            </w:tabs>
            <w:rPr>
              <w:rFonts w:asciiTheme="minorHAnsi" w:hAnsiTheme="minorHAnsi"/>
              <w:noProof/>
              <w:color w:val="auto"/>
              <w:sz w:val="22"/>
              <w:lang w:eastAsia="ja-JP"/>
            </w:rPr>
          </w:pPr>
          <w:hyperlink w:anchor="_Toc34169190" w:history="1">
            <w:r w:rsidR="00015583" w:rsidRPr="005514F1">
              <w:rPr>
                <w:rStyle w:val="Hyperlink"/>
                <w:noProof/>
              </w:rPr>
              <w:t>S3.4: Detailed description of the “partial conservative effect” method</w:t>
            </w:r>
            <w:r w:rsidR="00015583">
              <w:rPr>
                <w:noProof/>
                <w:webHidden/>
              </w:rPr>
              <w:tab/>
            </w:r>
            <w:r w:rsidR="00015583">
              <w:rPr>
                <w:noProof/>
                <w:webHidden/>
              </w:rPr>
              <w:fldChar w:fldCharType="begin"/>
            </w:r>
            <w:r w:rsidR="00015583">
              <w:rPr>
                <w:noProof/>
                <w:webHidden/>
              </w:rPr>
              <w:instrText xml:space="preserve"> PAGEREF _Toc34169190 \h </w:instrText>
            </w:r>
            <w:r w:rsidR="00015583">
              <w:rPr>
                <w:noProof/>
                <w:webHidden/>
              </w:rPr>
            </w:r>
            <w:r w:rsidR="00015583">
              <w:rPr>
                <w:noProof/>
                <w:webHidden/>
              </w:rPr>
              <w:fldChar w:fldCharType="separate"/>
            </w:r>
            <w:r w:rsidR="00015583">
              <w:rPr>
                <w:noProof/>
                <w:webHidden/>
              </w:rPr>
              <w:t>11</w:t>
            </w:r>
            <w:r w:rsidR="00015583">
              <w:rPr>
                <w:noProof/>
                <w:webHidden/>
              </w:rPr>
              <w:fldChar w:fldCharType="end"/>
            </w:r>
          </w:hyperlink>
        </w:p>
        <w:p w14:paraId="693CBF2B" w14:textId="5E867D17" w:rsidR="00015583" w:rsidRDefault="00DB035B">
          <w:pPr>
            <w:pStyle w:val="TOC1"/>
            <w:tabs>
              <w:tab w:val="right" w:leader="dot" w:pos="9016"/>
            </w:tabs>
            <w:rPr>
              <w:rFonts w:asciiTheme="minorHAnsi" w:hAnsiTheme="minorHAnsi"/>
              <w:noProof/>
              <w:color w:val="auto"/>
              <w:sz w:val="22"/>
              <w:lang w:eastAsia="ja-JP"/>
            </w:rPr>
          </w:pPr>
          <w:hyperlink w:anchor="_Toc34169191" w:history="1">
            <w:r w:rsidR="00015583" w:rsidRPr="005514F1">
              <w:rPr>
                <w:rStyle w:val="Hyperlink"/>
                <w:noProof/>
              </w:rPr>
              <w:t>S4: Supplementary data on the GHG emissions coverage per actor group</w:t>
            </w:r>
            <w:r w:rsidR="00015583">
              <w:rPr>
                <w:noProof/>
                <w:webHidden/>
              </w:rPr>
              <w:tab/>
            </w:r>
            <w:r w:rsidR="00015583">
              <w:rPr>
                <w:noProof/>
                <w:webHidden/>
              </w:rPr>
              <w:fldChar w:fldCharType="begin"/>
            </w:r>
            <w:r w:rsidR="00015583">
              <w:rPr>
                <w:noProof/>
                <w:webHidden/>
              </w:rPr>
              <w:instrText xml:space="preserve"> PAGEREF _Toc34169191 \h </w:instrText>
            </w:r>
            <w:r w:rsidR="00015583">
              <w:rPr>
                <w:noProof/>
                <w:webHidden/>
              </w:rPr>
            </w:r>
            <w:r w:rsidR="00015583">
              <w:rPr>
                <w:noProof/>
                <w:webHidden/>
              </w:rPr>
              <w:fldChar w:fldCharType="separate"/>
            </w:r>
            <w:r w:rsidR="00015583">
              <w:rPr>
                <w:noProof/>
                <w:webHidden/>
              </w:rPr>
              <w:t>15</w:t>
            </w:r>
            <w:r w:rsidR="00015583">
              <w:rPr>
                <w:noProof/>
                <w:webHidden/>
              </w:rPr>
              <w:fldChar w:fldCharType="end"/>
            </w:r>
          </w:hyperlink>
        </w:p>
        <w:p w14:paraId="5A7EC084" w14:textId="2FA421AF" w:rsidR="00015583" w:rsidRDefault="00DB035B">
          <w:pPr>
            <w:pStyle w:val="TOC2"/>
            <w:tabs>
              <w:tab w:val="right" w:leader="dot" w:pos="9016"/>
            </w:tabs>
            <w:rPr>
              <w:rFonts w:asciiTheme="minorHAnsi" w:hAnsiTheme="minorHAnsi"/>
              <w:noProof/>
              <w:color w:val="auto"/>
              <w:sz w:val="22"/>
              <w:lang w:eastAsia="ja-JP"/>
            </w:rPr>
          </w:pPr>
          <w:hyperlink w:anchor="_Toc34169192" w:history="1">
            <w:r w:rsidR="00015583" w:rsidRPr="005514F1">
              <w:rPr>
                <w:rStyle w:val="Hyperlink"/>
                <w:noProof/>
              </w:rPr>
              <w:t>S4.1: Regions and cities</w:t>
            </w:r>
            <w:r w:rsidR="00015583">
              <w:rPr>
                <w:noProof/>
                <w:webHidden/>
              </w:rPr>
              <w:tab/>
            </w:r>
            <w:r w:rsidR="00015583">
              <w:rPr>
                <w:noProof/>
                <w:webHidden/>
              </w:rPr>
              <w:fldChar w:fldCharType="begin"/>
            </w:r>
            <w:r w:rsidR="00015583">
              <w:rPr>
                <w:noProof/>
                <w:webHidden/>
              </w:rPr>
              <w:instrText xml:space="preserve"> PAGEREF _Toc34169192 \h </w:instrText>
            </w:r>
            <w:r w:rsidR="00015583">
              <w:rPr>
                <w:noProof/>
                <w:webHidden/>
              </w:rPr>
            </w:r>
            <w:r w:rsidR="00015583">
              <w:rPr>
                <w:noProof/>
                <w:webHidden/>
              </w:rPr>
              <w:fldChar w:fldCharType="separate"/>
            </w:r>
            <w:r w:rsidR="00015583">
              <w:rPr>
                <w:noProof/>
                <w:webHidden/>
              </w:rPr>
              <w:t>15</w:t>
            </w:r>
            <w:r w:rsidR="00015583">
              <w:rPr>
                <w:noProof/>
                <w:webHidden/>
              </w:rPr>
              <w:fldChar w:fldCharType="end"/>
            </w:r>
          </w:hyperlink>
        </w:p>
        <w:p w14:paraId="4BAC775F" w14:textId="3BD26C7D" w:rsidR="00015583" w:rsidRDefault="00DB035B">
          <w:pPr>
            <w:pStyle w:val="TOC2"/>
            <w:tabs>
              <w:tab w:val="right" w:leader="dot" w:pos="9016"/>
            </w:tabs>
            <w:rPr>
              <w:rFonts w:asciiTheme="minorHAnsi" w:hAnsiTheme="minorHAnsi"/>
              <w:noProof/>
              <w:color w:val="auto"/>
              <w:sz w:val="22"/>
              <w:lang w:eastAsia="ja-JP"/>
            </w:rPr>
          </w:pPr>
          <w:hyperlink w:anchor="_Toc34169193" w:history="1">
            <w:r w:rsidR="00015583" w:rsidRPr="005514F1">
              <w:rPr>
                <w:rStyle w:val="Hyperlink"/>
                <w:noProof/>
              </w:rPr>
              <w:t>S4.2: Companies</w:t>
            </w:r>
            <w:r w:rsidR="00015583">
              <w:rPr>
                <w:noProof/>
                <w:webHidden/>
              </w:rPr>
              <w:tab/>
            </w:r>
            <w:r w:rsidR="00015583">
              <w:rPr>
                <w:noProof/>
                <w:webHidden/>
              </w:rPr>
              <w:fldChar w:fldCharType="begin"/>
            </w:r>
            <w:r w:rsidR="00015583">
              <w:rPr>
                <w:noProof/>
                <w:webHidden/>
              </w:rPr>
              <w:instrText xml:space="preserve"> PAGEREF _Toc34169193 \h </w:instrText>
            </w:r>
            <w:r w:rsidR="00015583">
              <w:rPr>
                <w:noProof/>
                <w:webHidden/>
              </w:rPr>
            </w:r>
            <w:r w:rsidR="00015583">
              <w:rPr>
                <w:noProof/>
                <w:webHidden/>
              </w:rPr>
              <w:fldChar w:fldCharType="separate"/>
            </w:r>
            <w:r w:rsidR="00015583">
              <w:rPr>
                <w:noProof/>
                <w:webHidden/>
              </w:rPr>
              <w:t>16</w:t>
            </w:r>
            <w:r w:rsidR="00015583">
              <w:rPr>
                <w:noProof/>
                <w:webHidden/>
              </w:rPr>
              <w:fldChar w:fldCharType="end"/>
            </w:r>
          </w:hyperlink>
        </w:p>
        <w:p w14:paraId="326C552C" w14:textId="11F581BF" w:rsidR="00015583" w:rsidRDefault="00DB035B">
          <w:pPr>
            <w:pStyle w:val="TOC1"/>
            <w:tabs>
              <w:tab w:val="right" w:leader="dot" w:pos="9016"/>
            </w:tabs>
            <w:rPr>
              <w:rFonts w:asciiTheme="minorHAnsi" w:hAnsiTheme="minorHAnsi"/>
              <w:noProof/>
              <w:color w:val="auto"/>
              <w:sz w:val="22"/>
              <w:lang w:eastAsia="ja-JP"/>
            </w:rPr>
          </w:pPr>
          <w:hyperlink w:anchor="_Toc34169194" w:history="1">
            <w:r w:rsidR="00015583" w:rsidRPr="005514F1">
              <w:rPr>
                <w:rStyle w:val="Hyperlink"/>
                <w:noProof/>
              </w:rPr>
              <w:t>References</w:t>
            </w:r>
            <w:r w:rsidR="00015583">
              <w:rPr>
                <w:noProof/>
                <w:webHidden/>
              </w:rPr>
              <w:tab/>
            </w:r>
            <w:r w:rsidR="00015583">
              <w:rPr>
                <w:noProof/>
                <w:webHidden/>
              </w:rPr>
              <w:fldChar w:fldCharType="begin"/>
            </w:r>
            <w:r w:rsidR="00015583">
              <w:rPr>
                <w:noProof/>
                <w:webHidden/>
              </w:rPr>
              <w:instrText xml:space="preserve"> PAGEREF _Toc34169194 \h </w:instrText>
            </w:r>
            <w:r w:rsidR="00015583">
              <w:rPr>
                <w:noProof/>
                <w:webHidden/>
              </w:rPr>
            </w:r>
            <w:r w:rsidR="00015583">
              <w:rPr>
                <w:noProof/>
                <w:webHidden/>
              </w:rPr>
              <w:fldChar w:fldCharType="separate"/>
            </w:r>
            <w:r w:rsidR="00015583">
              <w:rPr>
                <w:noProof/>
                <w:webHidden/>
              </w:rPr>
              <w:t>18</w:t>
            </w:r>
            <w:r w:rsidR="00015583">
              <w:rPr>
                <w:noProof/>
                <w:webHidden/>
              </w:rPr>
              <w:fldChar w:fldCharType="end"/>
            </w:r>
          </w:hyperlink>
        </w:p>
        <w:p w14:paraId="0B77B69B" w14:textId="010C54C7" w:rsidR="005F281B" w:rsidRDefault="005F281B">
          <w:r>
            <w:rPr>
              <w:b/>
              <w:bCs/>
              <w:noProof/>
            </w:rPr>
            <w:fldChar w:fldCharType="end"/>
          </w:r>
        </w:p>
      </w:sdtContent>
    </w:sdt>
    <w:p w14:paraId="0AA4FDED" w14:textId="77777777" w:rsidR="005F281B" w:rsidRPr="005F281B" w:rsidRDefault="005F281B" w:rsidP="005F281B"/>
    <w:p w14:paraId="3D208904" w14:textId="77777777" w:rsidR="005F281B" w:rsidRPr="00E668FC" w:rsidRDefault="005F281B" w:rsidP="005F281B">
      <w:pPr>
        <w:pStyle w:val="Heading1"/>
        <w:numPr>
          <w:ilvl w:val="0"/>
          <w:numId w:val="0"/>
        </w:numPr>
        <w:ind w:left="432" w:hanging="432"/>
      </w:pPr>
      <w:bookmarkStart w:id="0" w:name="_Toc34169184"/>
      <w:r>
        <w:lastRenderedPageBreak/>
        <w:t>S1</w:t>
      </w:r>
      <w:r w:rsidRPr="00E668FC">
        <w:t>: Detailed methods on the subnational actors’ commitments dataset preparation</w:t>
      </w:r>
      <w:bookmarkEnd w:id="0"/>
    </w:p>
    <w:p w14:paraId="24352989" w14:textId="77777777" w:rsidR="005F281B" w:rsidRPr="00E668FC" w:rsidRDefault="005F281B" w:rsidP="005F281B"/>
    <w:p w14:paraId="26872066" w14:textId="5A124849" w:rsidR="005F281B" w:rsidRDefault="154EABF8" w:rsidP="005F281B">
      <w:pPr>
        <w:autoSpaceDE w:val="0"/>
        <w:autoSpaceDN w:val="0"/>
        <w:adjustRightInd w:val="0"/>
        <w:spacing w:after="0" w:line="360" w:lineRule="auto"/>
        <w:rPr>
          <w:lang w:eastAsia="ja-JP"/>
        </w:rPr>
      </w:pPr>
      <w:r w:rsidRPr="154EABF8">
        <w:rPr>
          <w:lang w:eastAsia="ja-JP"/>
        </w:rPr>
        <w:t>Cities are local governments that are administrative units of a specific geographical territory. In our analysis, the term “cities” includes towns, urban communities, districts, and counties, as defined by the actors themselves and often also defined in the country’s legal system. Regions are</w:t>
      </w:r>
      <w:r w:rsidRPr="154EABF8">
        <w:rPr>
          <w:sz w:val="18"/>
          <w:szCs w:val="18"/>
          <w:lang w:eastAsia="ja-JP"/>
        </w:rPr>
        <w:t xml:space="preserve"> s</w:t>
      </w:r>
      <w:r w:rsidRPr="154EABF8">
        <w:rPr>
          <w:lang w:eastAsia="ja-JP"/>
        </w:rPr>
        <w:t>ubnational administrative units that are generally broader in population and in scope than cities. They usually have separate governing bodies from national and city governments but encompass lower administrative levels of government; often, they are the first administrative level below the national government. “Regions” in this report includes US and Indian states, German Länder, and Chinese provinces. Regions can also include councils of subnational governments acting together.</w:t>
      </w:r>
    </w:p>
    <w:p w14:paraId="28F2A24D" w14:textId="77777777" w:rsidR="005F281B" w:rsidRDefault="005F281B" w:rsidP="005F281B">
      <w:pPr>
        <w:autoSpaceDE w:val="0"/>
        <w:autoSpaceDN w:val="0"/>
        <w:adjustRightInd w:val="0"/>
        <w:spacing w:after="0" w:line="360" w:lineRule="auto"/>
        <w:rPr>
          <w:lang w:eastAsia="ja-JP"/>
        </w:rPr>
      </w:pPr>
    </w:p>
    <w:p w14:paraId="7F49351E" w14:textId="694C0FF4" w:rsidR="005F281B" w:rsidRPr="00E668FC" w:rsidRDefault="154EABF8" w:rsidP="154EABF8">
      <w:pPr>
        <w:spacing w:line="360" w:lineRule="auto"/>
      </w:pPr>
      <w:r>
        <w:t xml:space="preserve">The emissions inventory totals and data for quantifiable climate commitments used for the calculations were mostly self-reported by entities through one of the reporting platforms presented in </w:t>
      </w:r>
      <w:r w:rsidR="005F281B">
        <w:fldChar w:fldCharType="begin"/>
      </w:r>
      <w:r w:rsidR="005F281B">
        <w:instrText xml:space="preserve"> REF _Ref21619427 \h </w:instrText>
      </w:r>
      <w:r w:rsidR="005F281B">
        <w:fldChar w:fldCharType="separate"/>
      </w:r>
      <w:r w:rsidR="00B35840">
        <w:t>Table S-</w:t>
      </w:r>
      <w:r w:rsidR="00B35840">
        <w:rPr>
          <w:noProof/>
        </w:rPr>
        <w:t>1</w:t>
      </w:r>
      <w:r w:rsidR="005F281B">
        <w:fldChar w:fldCharType="end"/>
      </w:r>
      <w:r>
        <w:t xml:space="preserve">. </w:t>
      </w:r>
    </w:p>
    <w:p w14:paraId="3687B53D" w14:textId="781F49A1" w:rsidR="005F281B" w:rsidRPr="00E668FC" w:rsidRDefault="005F281B" w:rsidP="005F281B">
      <w:pPr>
        <w:pStyle w:val="Caption"/>
        <w:rPr>
          <w:color w:val="auto"/>
        </w:rPr>
      </w:pPr>
      <w:bookmarkStart w:id="1" w:name="_Ref21619427"/>
      <w:r>
        <w:t>Table S-</w:t>
      </w:r>
      <w:r>
        <w:fldChar w:fldCharType="begin"/>
      </w:r>
      <w:r>
        <w:instrText xml:space="preserve"> SEQ Table_S- \* ARABIC </w:instrText>
      </w:r>
      <w:r>
        <w:fldChar w:fldCharType="separate"/>
      </w:r>
      <w:r w:rsidR="00B35840">
        <w:rPr>
          <w:noProof/>
        </w:rPr>
        <w:t>1</w:t>
      </w:r>
      <w:r>
        <w:fldChar w:fldCharType="end"/>
      </w:r>
      <w:bookmarkEnd w:id="1"/>
      <w:r w:rsidRPr="00E668FC">
        <w:t xml:space="preserve">: Data sources for individual </w:t>
      </w:r>
      <w:r w:rsidR="00DB035B">
        <w:t>non-state and subnational</w:t>
      </w:r>
      <w:r w:rsidRPr="00E668FC">
        <w:t xml:space="preserve"> actor commitments</w:t>
      </w:r>
    </w:p>
    <w:tbl>
      <w:tblPr>
        <w:tblStyle w:val="NewClimateTableGrey"/>
        <w:tblW w:w="0" w:type="auto"/>
        <w:tblInd w:w="198" w:type="dxa"/>
        <w:tblLook w:val="04A0" w:firstRow="1" w:lastRow="0" w:firstColumn="1" w:lastColumn="0" w:noHBand="0" w:noVBand="1"/>
      </w:tblPr>
      <w:tblGrid>
        <w:gridCol w:w="1879"/>
        <w:gridCol w:w="6949"/>
      </w:tblGrid>
      <w:tr w:rsidR="005F281B" w:rsidRPr="00E668FC" w14:paraId="00A9B27E" w14:textId="77777777" w:rsidTr="154EABF8">
        <w:trPr>
          <w:cnfStyle w:val="100000000000" w:firstRow="1" w:lastRow="0" w:firstColumn="0" w:lastColumn="0" w:oddVBand="0" w:evenVBand="0" w:oddHBand="0" w:evenHBand="0" w:firstRowFirstColumn="0" w:firstRowLastColumn="0" w:lastRowFirstColumn="0" w:lastRowLastColumn="0"/>
          <w:trHeight w:val="196"/>
          <w:tblHeader/>
        </w:trPr>
        <w:tc>
          <w:tcPr>
            <w:cnfStyle w:val="001000000000" w:firstRow="0" w:lastRow="0" w:firstColumn="1" w:lastColumn="0" w:oddVBand="0" w:evenVBand="0" w:oddHBand="0" w:evenHBand="0" w:firstRowFirstColumn="0" w:firstRowLastColumn="0" w:lastRowFirstColumn="0" w:lastRowLastColumn="0"/>
            <w:tcW w:w="1879" w:type="dxa"/>
          </w:tcPr>
          <w:p w14:paraId="0F40AA06" w14:textId="77777777" w:rsidR="005F281B" w:rsidRPr="00E668FC" w:rsidRDefault="005F281B" w:rsidP="0097511D">
            <w:pPr>
              <w:spacing w:line="360" w:lineRule="auto"/>
              <w:jc w:val="left"/>
              <w:rPr>
                <w:rFonts w:cs="Arial"/>
                <w:color w:val="auto"/>
              </w:rPr>
            </w:pPr>
            <w:r w:rsidRPr="00E668FC">
              <w:rPr>
                <w:rFonts w:cs="Arial"/>
                <w:color w:val="auto"/>
              </w:rPr>
              <w:t xml:space="preserve">Climate Action Platform </w:t>
            </w:r>
          </w:p>
        </w:tc>
        <w:tc>
          <w:tcPr>
            <w:tcW w:w="6949" w:type="dxa"/>
          </w:tcPr>
          <w:p w14:paraId="3EC758E2" w14:textId="77777777" w:rsidR="005F281B" w:rsidRPr="00E668FC" w:rsidRDefault="005F281B" w:rsidP="0097511D">
            <w:pPr>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Data source</w:t>
            </w:r>
          </w:p>
        </w:tc>
      </w:tr>
      <w:tr w:rsidR="005F281B" w:rsidRPr="00E668FC" w14:paraId="625CC01B" w14:textId="77777777" w:rsidTr="154EABF8">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879" w:type="dxa"/>
          </w:tcPr>
          <w:p w14:paraId="09313DD4" w14:textId="77777777" w:rsidR="005F281B" w:rsidRPr="00E668FC" w:rsidRDefault="005F281B" w:rsidP="0097511D">
            <w:pPr>
              <w:spacing w:line="360" w:lineRule="auto"/>
              <w:jc w:val="left"/>
              <w:rPr>
                <w:rFonts w:eastAsia="Arial" w:cs="Arial"/>
                <w:bCs/>
                <w:color w:val="auto"/>
              </w:rPr>
            </w:pPr>
            <w:r w:rsidRPr="00E668FC">
              <w:rPr>
                <w:rFonts w:eastAsia="Arial" w:cs="Arial"/>
                <w:bCs/>
                <w:color w:val="auto"/>
              </w:rPr>
              <w:t>Alliance of Pioneer Peaking Cities</w:t>
            </w:r>
          </w:p>
        </w:tc>
        <w:tc>
          <w:tcPr>
            <w:tcW w:w="6949" w:type="dxa"/>
          </w:tcPr>
          <w:p w14:paraId="411DAE61"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E668FC">
              <w:rPr>
                <w:rFonts w:eastAsia="Arial" w:cs="Arial"/>
                <w:color w:val="auto"/>
              </w:rPr>
              <w:t xml:space="preserve">Alliance of Pioneer Peaking Cities (2016). Accessed from: http://www.huanjing100.com/p-1307.html. </w:t>
            </w:r>
          </w:p>
          <w:p w14:paraId="2AB7A5B4"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u w:val="single"/>
              </w:rPr>
            </w:pPr>
            <w:r w:rsidRPr="00E668FC">
              <w:rPr>
                <w:rFonts w:eastAsia="Arial" w:cs="Arial"/>
                <w:color w:val="auto"/>
              </w:rPr>
              <w:t>Peak emissions years were used in the calculation of the cities’ projected carbon emissions.</w:t>
            </w:r>
          </w:p>
        </w:tc>
      </w:tr>
      <w:tr w:rsidR="005F281B" w:rsidRPr="00E668FC" w14:paraId="0686ED9B" w14:textId="77777777" w:rsidTr="154EABF8">
        <w:trPr>
          <w:trHeight w:val="420"/>
        </w:trPr>
        <w:tc>
          <w:tcPr>
            <w:cnfStyle w:val="001000000000" w:firstRow="0" w:lastRow="0" w:firstColumn="1" w:lastColumn="0" w:oddVBand="0" w:evenVBand="0" w:oddHBand="0" w:evenHBand="0" w:firstRowFirstColumn="0" w:firstRowLastColumn="0" w:lastRowFirstColumn="0" w:lastRowLastColumn="0"/>
            <w:tcW w:w="1879" w:type="dxa"/>
          </w:tcPr>
          <w:p w14:paraId="1B42C439" w14:textId="77777777" w:rsidR="005F281B" w:rsidRPr="00E668FC" w:rsidRDefault="005F281B" w:rsidP="0097511D">
            <w:pPr>
              <w:spacing w:line="360" w:lineRule="auto"/>
              <w:jc w:val="left"/>
              <w:rPr>
                <w:rFonts w:cs="Arial"/>
                <w:color w:val="auto"/>
              </w:rPr>
            </w:pPr>
            <w:r w:rsidRPr="00E668FC">
              <w:rPr>
                <w:rFonts w:cs="Arial"/>
                <w:color w:val="auto"/>
              </w:rPr>
              <w:t>C40 Cities for Climate Leadership Group</w:t>
            </w:r>
          </w:p>
        </w:tc>
        <w:tc>
          <w:tcPr>
            <w:tcW w:w="6949" w:type="dxa"/>
          </w:tcPr>
          <w:p w14:paraId="6B6E6E36"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 xml:space="preserve">C40 Cities for Climate Leadership. Accessed June 2019 from: </w:t>
            </w:r>
            <w:r w:rsidRPr="00E668FC">
              <w:rPr>
                <w:rFonts w:eastAsia="Arial" w:cs="Arial"/>
                <w:color w:val="auto"/>
                <w:u w:val="single"/>
              </w:rPr>
              <w:t>https://www.c40.org/cities</w:t>
            </w:r>
            <w:r w:rsidRPr="00E668FC">
              <w:rPr>
                <w:rFonts w:eastAsia="Arial" w:cs="Arial"/>
                <w:color w:val="auto"/>
              </w:rPr>
              <w:t>.</w:t>
            </w:r>
          </w:p>
        </w:tc>
      </w:tr>
      <w:tr w:rsidR="005F281B" w:rsidRPr="00E668FC" w14:paraId="7F88B023" w14:textId="77777777" w:rsidTr="154EABF8">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879" w:type="dxa"/>
          </w:tcPr>
          <w:p w14:paraId="0155FAA6" w14:textId="77777777" w:rsidR="005F281B" w:rsidRPr="00E668FC" w:rsidRDefault="005F281B" w:rsidP="0097511D">
            <w:pPr>
              <w:spacing w:line="360" w:lineRule="auto"/>
              <w:jc w:val="left"/>
              <w:rPr>
                <w:rFonts w:cs="Arial"/>
                <w:color w:val="auto"/>
              </w:rPr>
            </w:pPr>
            <w:r w:rsidRPr="00E668FC">
              <w:rPr>
                <w:rFonts w:cs="Arial"/>
                <w:color w:val="auto"/>
              </w:rPr>
              <w:t xml:space="preserve">ICLEI Local Governments for Sustainability </w:t>
            </w:r>
            <w:proofErr w:type="spellStart"/>
            <w:r w:rsidRPr="00E668FC">
              <w:rPr>
                <w:rFonts w:eastAsia="Arial" w:cs="Arial"/>
                <w:color w:val="auto"/>
              </w:rPr>
              <w:t>carbon</w:t>
            </w:r>
            <w:r w:rsidRPr="00E668FC">
              <w:rPr>
                <w:rFonts w:eastAsia="Arial" w:cs="Arial"/>
                <w:i/>
                <w:iCs/>
                <w:color w:val="auto"/>
              </w:rPr>
              <w:t>n</w:t>
            </w:r>
            <w:proofErr w:type="spellEnd"/>
            <w:r w:rsidRPr="00E668FC">
              <w:rPr>
                <w:rFonts w:eastAsia="Arial" w:cs="Arial"/>
                <w:color w:val="auto"/>
                <w:vertAlign w:val="superscript"/>
              </w:rPr>
              <w:t>®</w:t>
            </w:r>
            <w:r w:rsidRPr="00E668FC">
              <w:rPr>
                <w:rFonts w:cs="Arial"/>
                <w:color w:val="auto"/>
              </w:rPr>
              <w:t xml:space="preserve"> Climate Registry</w:t>
            </w:r>
          </w:p>
        </w:tc>
        <w:tc>
          <w:tcPr>
            <w:tcW w:w="6949" w:type="dxa"/>
          </w:tcPr>
          <w:p w14:paraId="5A7D73A4" w14:textId="77777777" w:rsidR="005F281B" w:rsidRPr="00E668FC" w:rsidRDefault="154EABF8"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154EABF8">
              <w:rPr>
                <w:rFonts w:eastAsia="Arial" w:cs="Arial"/>
                <w:color w:val="auto"/>
              </w:rPr>
              <w:t xml:space="preserve">ICLEI Local Governments for Sustainability </w:t>
            </w:r>
            <w:proofErr w:type="spellStart"/>
            <w:r w:rsidRPr="154EABF8">
              <w:rPr>
                <w:rFonts w:eastAsia="Arial" w:cs="Arial"/>
                <w:color w:val="auto"/>
              </w:rPr>
              <w:t>carbon</w:t>
            </w:r>
            <w:r w:rsidRPr="154EABF8">
              <w:rPr>
                <w:rFonts w:eastAsia="Arial" w:cs="Arial"/>
                <w:i/>
                <w:iCs/>
                <w:color w:val="auto"/>
              </w:rPr>
              <w:t>n</w:t>
            </w:r>
            <w:proofErr w:type="spellEnd"/>
            <w:r w:rsidRPr="154EABF8">
              <w:rPr>
                <w:rFonts w:eastAsia="Arial" w:cs="Arial"/>
                <w:color w:val="auto"/>
                <w:vertAlign w:val="superscript"/>
              </w:rPr>
              <w:t>®</w:t>
            </w:r>
            <w:r w:rsidRPr="154EABF8">
              <w:rPr>
                <w:rFonts w:cs="Arial"/>
                <w:color w:val="auto"/>
              </w:rPr>
              <w:t xml:space="preserve"> </w:t>
            </w:r>
            <w:r w:rsidRPr="154EABF8">
              <w:rPr>
                <w:rFonts w:eastAsia="Arial" w:cs="Arial"/>
                <w:color w:val="auto"/>
              </w:rPr>
              <w:t>Climate Registry (</w:t>
            </w:r>
            <w:r w:rsidRPr="154EABF8">
              <w:rPr>
                <w:rFonts w:eastAsia="Arial" w:cs="Arial"/>
                <w:color w:val="auto"/>
                <w:u w:val="single"/>
              </w:rPr>
              <w:t>www.carbonn.org</w:t>
            </w:r>
            <w:r w:rsidRPr="154EABF8">
              <w:rPr>
                <w:rFonts w:eastAsia="Arial" w:cs="Arial"/>
                <w:color w:val="auto"/>
              </w:rPr>
              <w:t xml:space="preserve">). (Data provided directly by ICLEI in June 2019).  Individual targets and action plans for </w:t>
            </w:r>
            <w:proofErr w:type="spellStart"/>
            <w:r w:rsidRPr="154EABF8">
              <w:rPr>
                <w:rFonts w:eastAsia="Arial" w:cs="Arial"/>
                <w:color w:val="auto"/>
              </w:rPr>
              <w:t>carbon</w:t>
            </w:r>
            <w:r w:rsidRPr="00B10E43">
              <w:rPr>
                <w:rFonts w:eastAsia="Arial" w:cs="Arial"/>
                <w:i/>
                <w:iCs/>
                <w:color w:val="auto"/>
              </w:rPr>
              <w:t>n</w:t>
            </w:r>
            <w:proofErr w:type="spellEnd"/>
            <w:r w:rsidRPr="154EABF8">
              <w:rPr>
                <w:rFonts w:eastAsia="Arial" w:cs="Arial"/>
                <w:color w:val="auto"/>
              </w:rPr>
              <w:t xml:space="preserve"> participants based on 2018 GPC Inventory responses. </w:t>
            </w:r>
          </w:p>
          <w:p w14:paraId="19CA4368"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E668FC">
              <w:rPr>
                <w:rFonts w:eastAsia="Arial" w:cs="Arial"/>
                <w:color w:val="auto"/>
              </w:rPr>
              <w:t xml:space="preserve">In cases where baseline information for participating actors was absent, it was supplemented with baseline information from data collected from </w:t>
            </w:r>
            <w:proofErr w:type="spellStart"/>
            <w:r w:rsidRPr="00E668FC">
              <w:rPr>
                <w:rFonts w:eastAsia="Arial" w:cs="Arial"/>
                <w:color w:val="auto"/>
              </w:rPr>
              <w:t>carbon</w:t>
            </w:r>
            <w:r w:rsidRPr="00E668FC">
              <w:rPr>
                <w:rFonts w:eastAsia="Arial" w:cs="Arial"/>
                <w:i/>
                <w:iCs/>
                <w:color w:val="auto"/>
              </w:rPr>
              <w:t>n</w:t>
            </w:r>
            <w:r w:rsidRPr="00E668FC">
              <w:rPr>
                <w:rFonts w:eastAsia="Arial" w:cs="Arial"/>
                <w:color w:val="auto"/>
              </w:rPr>
              <w:t>’s</w:t>
            </w:r>
            <w:proofErr w:type="spellEnd"/>
            <w:r w:rsidRPr="00E668FC">
              <w:rPr>
                <w:rFonts w:eastAsia="Arial" w:cs="Arial"/>
                <w:color w:val="auto"/>
              </w:rPr>
              <w:t xml:space="preserve"> reporting members (individual targets, action plans, and progress data) in March 2018.</w:t>
            </w:r>
          </w:p>
        </w:tc>
      </w:tr>
      <w:tr w:rsidR="005F281B" w:rsidRPr="00E668FC" w14:paraId="7AAA179D" w14:textId="77777777" w:rsidTr="154EABF8">
        <w:trPr>
          <w:trHeight w:val="890"/>
        </w:trPr>
        <w:tc>
          <w:tcPr>
            <w:cnfStyle w:val="001000000000" w:firstRow="0" w:lastRow="0" w:firstColumn="1" w:lastColumn="0" w:oddVBand="0" w:evenVBand="0" w:oddHBand="0" w:evenHBand="0" w:firstRowFirstColumn="0" w:firstRowLastColumn="0" w:lastRowFirstColumn="0" w:lastRowLastColumn="0"/>
            <w:tcW w:w="1879" w:type="dxa"/>
          </w:tcPr>
          <w:p w14:paraId="39DA3A3B" w14:textId="77777777" w:rsidR="005F281B" w:rsidRPr="00E668FC" w:rsidRDefault="005F281B" w:rsidP="0097511D">
            <w:pPr>
              <w:spacing w:line="360" w:lineRule="auto"/>
              <w:jc w:val="left"/>
              <w:rPr>
                <w:rFonts w:cs="Arial"/>
                <w:color w:val="auto"/>
              </w:rPr>
            </w:pPr>
            <w:r w:rsidRPr="00E668FC">
              <w:rPr>
                <w:rFonts w:cs="Arial"/>
                <w:color w:val="auto"/>
              </w:rPr>
              <w:t xml:space="preserve">CDP Cities </w:t>
            </w:r>
          </w:p>
        </w:tc>
        <w:tc>
          <w:tcPr>
            <w:tcW w:w="6949" w:type="dxa"/>
          </w:tcPr>
          <w:p w14:paraId="03F8CBAB"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 xml:space="preserve">CDP. (2019). 2018 Cities Emissions Reduction Targets; 2018_Cities Community-wide Emissions Map; 2018 Cities Renewable Energy Targets Map.csv; 2018 City-wide </w:t>
            </w:r>
            <w:proofErr w:type="spellStart"/>
            <w:r w:rsidRPr="00E668FC">
              <w:rPr>
                <w:rFonts w:eastAsia="Arial" w:cs="Arial"/>
                <w:color w:val="auto"/>
              </w:rPr>
              <w:t>Electricity_Mix</w:t>
            </w:r>
            <w:proofErr w:type="spellEnd"/>
            <w:r w:rsidRPr="00E668FC">
              <w:rPr>
                <w:rFonts w:eastAsia="Arial" w:cs="Arial"/>
                <w:color w:val="auto"/>
              </w:rPr>
              <w:t xml:space="preserve">. Accessed May 2019 from: </w:t>
            </w:r>
            <w:r w:rsidRPr="00E668FC">
              <w:rPr>
                <w:rFonts w:eastAsia="Arial" w:cs="Arial"/>
                <w:color w:val="auto"/>
                <w:u w:val="single"/>
              </w:rPr>
              <w:t>www.data.cdp.net</w:t>
            </w:r>
            <w:r w:rsidRPr="00E668FC">
              <w:rPr>
                <w:rFonts w:eastAsia="Arial" w:cs="Arial"/>
                <w:color w:val="auto"/>
              </w:rPr>
              <w:t>.</w:t>
            </w:r>
          </w:p>
        </w:tc>
      </w:tr>
      <w:tr w:rsidR="005F281B" w:rsidRPr="00E668FC" w14:paraId="771DFE0B" w14:textId="77777777" w:rsidTr="154EABF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79" w:type="dxa"/>
          </w:tcPr>
          <w:p w14:paraId="6A58E096" w14:textId="77777777" w:rsidR="005F281B" w:rsidRPr="00E668FC" w:rsidRDefault="005F281B" w:rsidP="0097511D">
            <w:pPr>
              <w:spacing w:line="360" w:lineRule="auto"/>
              <w:jc w:val="left"/>
              <w:rPr>
                <w:rFonts w:cs="Arial"/>
                <w:color w:val="auto"/>
              </w:rPr>
            </w:pPr>
            <w:r w:rsidRPr="00E668FC">
              <w:rPr>
                <w:rFonts w:cs="Arial"/>
                <w:color w:val="auto"/>
              </w:rPr>
              <w:lastRenderedPageBreak/>
              <w:t>CDP 2018 Disclosure Survey</w:t>
            </w:r>
          </w:p>
        </w:tc>
        <w:tc>
          <w:tcPr>
            <w:tcW w:w="6949" w:type="dxa"/>
          </w:tcPr>
          <w:p w14:paraId="6EACD2C0" w14:textId="77777777" w:rsidR="005F281B" w:rsidRPr="00E668FC" w:rsidRDefault="154EABF8" w:rsidP="0097511D">
            <w:pPr>
              <w:widowControl w:val="0"/>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u w:val="single"/>
              </w:rPr>
            </w:pPr>
            <w:r w:rsidRPr="154EABF8">
              <w:rPr>
                <w:rFonts w:eastAsia="Arial" w:cs="Arial"/>
                <w:color w:val="auto"/>
              </w:rPr>
              <w:t>CDP. (Provided directly from CDP in July 2019)</w:t>
            </w:r>
            <w:r w:rsidRPr="00B10E43">
              <w:rPr>
                <w:rFonts w:eastAsia="Arial" w:cs="Arial"/>
                <w:color w:val="auto"/>
              </w:rPr>
              <w:t>.</w:t>
            </w:r>
            <w:r w:rsidRPr="154EABF8">
              <w:rPr>
                <w:rFonts w:eastAsia="Arial" w:cs="Arial"/>
                <w:color w:val="auto"/>
              </w:rPr>
              <w:t xml:space="preserve"> </w:t>
            </w:r>
            <w:r w:rsidRPr="154EABF8">
              <w:rPr>
                <w:rFonts w:eastAsia="Arial" w:cs="Arial"/>
                <w:i/>
                <w:iCs/>
                <w:color w:val="auto"/>
              </w:rPr>
              <w:t>GHG emissions and action data for companies based on the 2018 responses</w:t>
            </w:r>
            <w:r w:rsidRPr="154EABF8">
              <w:rPr>
                <w:rFonts w:eastAsia="Arial" w:cs="Arial"/>
                <w:color w:val="auto"/>
              </w:rPr>
              <w:t>.</w:t>
            </w:r>
          </w:p>
        </w:tc>
      </w:tr>
      <w:tr w:rsidR="005F281B" w:rsidRPr="00E668FC" w14:paraId="281A2AC7" w14:textId="77777777" w:rsidTr="154EABF8">
        <w:trPr>
          <w:trHeight w:val="469"/>
        </w:trPr>
        <w:tc>
          <w:tcPr>
            <w:cnfStyle w:val="001000000000" w:firstRow="0" w:lastRow="0" w:firstColumn="1" w:lastColumn="0" w:oddVBand="0" w:evenVBand="0" w:oddHBand="0" w:evenHBand="0" w:firstRowFirstColumn="0" w:firstRowLastColumn="0" w:lastRowFirstColumn="0" w:lastRowLastColumn="0"/>
            <w:tcW w:w="1879" w:type="dxa"/>
          </w:tcPr>
          <w:p w14:paraId="54A7D438" w14:textId="77777777" w:rsidR="005F281B" w:rsidRPr="00E668FC" w:rsidRDefault="005F281B" w:rsidP="0097511D">
            <w:pPr>
              <w:spacing w:line="360" w:lineRule="auto"/>
              <w:jc w:val="left"/>
              <w:rPr>
                <w:rFonts w:cs="Arial"/>
                <w:color w:val="auto"/>
              </w:rPr>
            </w:pPr>
            <w:r w:rsidRPr="00E668FC">
              <w:rPr>
                <w:rFonts w:cs="Arial"/>
                <w:color w:val="auto"/>
              </w:rPr>
              <w:t>Compact of States and Regions</w:t>
            </w:r>
          </w:p>
        </w:tc>
        <w:tc>
          <w:tcPr>
            <w:tcW w:w="6949" w:type="dxa"/>
          </w:tcPr>
          <w:p w14:paraId="45855BA9"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 xml:space="preserve">Compact of States and Regions. (Data provided directly by the Compact of States and Regions in February 2019). </w:t>
            </w:r>
            <w:proofErr w:type="gramStart"/>
            <w:r w:rsidRPr="00E668FC">
              <w:rPr>
                <w:rFonts w:eastAsia="Arial" w:cs="Arial"/>
                <w:color w:val="auto"/>
              </w:rPr>
              <w:t>2018 States and Regions Open Portal Dataset,</w:t>
            </w:r>
            <w:proofErr w:type="gramEnd"/>
            <w:r w:rsidRPr="00E668FC">
              <w:rPr>
                <w:rFonts w:eastAsia="Arial" w:cs="Arial"/>
                <w:color w:val="auto"/>
              </w:rPr>
              <w:t xml:space="preserve"> collected via CDP States and Regions 2018 Information Request. </w:t>
            </w:r>
          </w:p>
        </w:tc>
      </w:tr>
      <w:tr w:rsidR="005F281B" w:rsidRPr="00E668FC" w14:paraId="12BE4988" w14:textId="77777777" w:rsidTr="154EABF8">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79" w:type="dxa"/>
          </w:tcPr>
          <w:p w14:paraId="0EE7D99B" w14:textId="77777777" w:rsidR="005F281B" w:rsidRPr="00E668FC" w:rsidRDefault="005F281B" w:rsidP="0097511D">
            <w:pPr>
              <w:spacing w:line="360" w:lineRule="auto"/>
              <w:jc w:val="left"/>
              <w:rPr>
                <w:rFonts w:cs="Arial"/>
                <w:color w:val="auto"/>
              </w:rPr>
            </w:pPr>
            <w:r w:rsidRPr="00E668FC">
              <w:rPr>
                <w:rFonts w:cs="Arial"/>
                <w:color w:val="auto"/>
              </w:rPr>
              <w:t>EU Covenant of Mayors for Climate &amp; Energy</w:t>
            </w:r>
          </w:p>
        </w:tc>
        <w:tc>
          <w:tcPr>
            <w:tcW w:w="6949" w:type="dxa"/>
          </w:tcPr>
          <w:p w14:paraId="6F93C375"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u w:val="single"/>
              </w:rPr>
            </w:pPr>
            <w:r w:rsidRPr="00E668FC">
              <w:rPr>
                <w:rFonts w:eastAsia="Arial" w:cs="Arial"/>
                <w:color w:val="auto"/>
              </w:rPr>
              <w:t xml:space="preserve">EU Covenant of Mayors for Climate &amp; Energy. Individual targets and emissions data for reporting members. Accessed April 2019 from: </w:t>
            </w:r>
            <w:r w:rsidRPr="00E668FC">
              <w:rPr>
                <w:rFonts w:eastAsia="Arial" w:cs="Arial"/>
                <w:color w:val="auto"/>
                <w:u w:val="single"/>
              </w:rPr>
              <w:t>www.globalcovenantofmayors.org.</w:t>
            </w:r>
          </w:p>
        </w:tc>
      </w:tr>
      <w:tr w:rsidR="005F281B" w:rsidRPr="00E668FC" w14:paraId="6AE33001" w14:textId="77777777" w:rsidTr="154EABF8">
        <w:trPr>
          <w:trHeight w:val="656"/>
        </w:trPr>
        <w:tc>
          <w:tcPr>
            <w:cnfStyle w:val="001000000000" w:firstRow="0" w:lastRow="0" w:firstColumn="1" w:lastColumn="0" w:oddVBand="0" w:evenVBand="0" w:oddHBand="0" w:evenHBand="0" w:firstRowFirstColumn="0" w:firstRowLastColumn="0" w:lastRowFirstColumn="0" w:lastRowLastColumn="0"/>
            <w:tcW w:w="1879" w:type="dxa"/>
          </w:tcPr>
          <w:p w14:paraId="29179AC8" w14:textId="77777777" w:rsidR="005F281B" w:rsidRPr="00E668FC" w:rsidRDefault="005F281B" w:rsidP="0097511D">
            <w:pPr>
              <w:spacing w:line="360" w:lineRule="auto"/>
              <w:jc w:val="left"/>
              <w:rPr>
                <w:rFonts w:cs="Arial"/>
                <w:color w:val="auto"/>
              </w:rPr>
            </w:pPr>
            <w:r w:rsidRPr="00E668FC">
              <w:rPr>
                <w:rFonts w:cs="Arial"/>
                <w:color w:val="auto"/>
              </w:rPr>
              <w:t>Under2 Coalition</w:t>
            </w:r>
          </w:p>
        </w:tc>
        <w:tc>
          <w:tcPr>
            <w:tcW w:w="6949" w:type="dxa"/>
          </w:tcPr>
          <w:p w14:paraId="0999C33A"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 xml:space="preserve">Under2 Coalition (Secretariat </w:t>
            </w:r>
            <w:proofErr w:type="gramStart"/>
            <w:r w:rsidRPr="00E668FC">
              <w:rPr>
                <w:rFonts w:eastAsia="Arial" w:cs="Arial"/>
                <w:color w:val="auto"/>
              </w:rPr>
              <w:t>The</w:t>
            </w:r>
            <w:proofErr w:type="gramEnd"/>
            <w:r w:rsidRPr="00E668FC">
              <w:rPr>
                <w:rFonts w:eastAsia="Arial" w:cs="Arial"/>
                <w:color w:val="auto"/>
              </w:rPr>
              <w:t xml:space="preserve"> Climate Group). Membership and action data collected from signatories’ appendices. Accessed June 2019 from: </w:t>
            </w:r>
            <w:r w:rsidRPr="00E668FC">
              <w:rPr>
                <w:rFonts w:eastAsia="Arial" w:cs="Arial"/>
                <w:color w:val="auto"/>
                <w:u w:val="single"/>
              </w:rPr>
              <w:t>https://www.under2coalition.org/members</w:t>
            </w:r>
            <w:r w:rsidRPr="00E668FC">
              <w:rPr>
                <w:rFonts w:eastAsia="Arial" w:cs="Arial"/>
                <w:color w:val="auto"/>
              </w:rPr>
              <w:t xml:space="preserve">. </w:t>
            </w:r>
          </w:p>
        </w:tc>
      </w:tr>
      <w:tr w:rsidR="005F281B" w:rsidRPr="00E668FC" w14:paraId="1B9E861C" w14:textId="77777777" w:rsidTr="154EABF8">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79" w:type="dxa"/>
          </w:tcPr>
          <w:p w14:paraId="28B58F73" w14:textId="77777777" w:rsidR="005F281B" w:rsidRPr="00E668FC" w:rsidRDefault="005F281B" w:rsidP="0097511D">
            <w:pPr>
              <w:spacing w:line="360" w:lineRule="auto"/>
              <w:jc w:val="left"/>
              <w:rPr>
                <w:rFonts w:cs="Arial"/>
                <w:color w:val="auto"/>
              </w:rPr>
            </w:pPr>
            <w:r w:rsidRPr="00E668FC">
              <w:rPr>
                <w:rFonts w:cs="Arial"/>
                <w:color w:val="auto"/>
              </w:rPr>
              <w:t>Global Covenant of Mayors for Climate &amp; Energy</w:t>
            </w:r>
          </w:p>
        </w:tc>
        <w:tc>
          <w:tcPr>
            <w:tcW w:w="6949" w:type="dxa"/>
          </w:tcPr>
          <w:p w14:paraId="584CF6A2"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E668FC">
              <w:rPr>
                <w:rFonts w:eastAsia="Arial" w:cs="Arial"/>
                <w:color w:val="auto"/>
              </w:rPr>
              <w:t>Global Covenant of Mayors for Climate &amp; Energy. (Data provided directly by Global Covenant of Mayors in June 2019). Individual targets and emissions data for reporting members.</w:t>
            </w:r>
          </w:p>
        </w:tc>
      </w:tr>
      <w:tr w:rsidR="005F281B" w:rsidRPr="00E668FC" w14:paraId="48863DBB" w14:textId="77777777" w:rsidTr="154EABF8">
        <w:trPr>
          <w:trHeight w:val="64"/>
        </w:trPr>
        <w:tc>
          <w:tcPr>
            <w:cnfStyle w:val="001000000000" w:firstRow="0" w:lastRow="0" w:firstColumn="1" w:lastColumn="0" w:oddVBand="0" w:evenVBand="0" w:oddHBand="0" w:evenHBand="0" w:firstRowFirstColumn="0" w:firstRowLastColumn="0" w:lastRowFirstColumn="0" w:lastRowLastColumn="0"/>
            <w:tcW w:w="1879" w:type="dxa"/>
          </w:tcPr>
          <w:p w14:paraId="2B8BB12C" w14:textId="77777777" w:rsidR="005F281B" w:rsidRPr="00E668FC" w:rsidRDefault="005F281B" w:rsidP="0097511D">
            <w:pPr>
              <w:spacing w:line="360" w:lineRule="auto"/>
              <w:jc w:val="left"/>
              <w:rPr>
                <w:rFonts w:cs="Arial"/>
                <w:color w:val="auto"/>
              </w:rPr>
            </w:pPr>
            <w:r w:rsidRPr="00E668FC">
              <w:rPr>
                <w:rFonts w:cs="Arial"/>
                <w:color w:val="auto"/>
              </w:rPr>
              <w:t>US Climate Alliance</w:t>
            </w:r>
          </w:p>
        </w:tc>
        <w:tc>
          <w:tcPr>
            <w:tcW w:w="6949" w:type="dxa"/>
          </w:tcPr>
          <w:p w14:paraId="2918A606"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 xml:space="preserve">U.S. Climate Alliance. Accessed July 2019 from: </w:t>
            </w:r>
            <w:r w:rsidRPr="00E668FC">
              <w:rPr>
                <w:rFonts w:eastAsia="Arial" w:cs="Arial"/>
                <w:color w:val="auto"/>
                <w:u w:val="single"/>
              </w:rPr>
              <w:t xml:space="preserve">https://www.usclimatealliance.org/state-climate-energy-policies. </w:t>
            </w:r>
            <w:r w:rsidRPr="00E668FC">
              <w:rPr>
                <w:rFonts w:eastAsia="Arial" w:cs="Arial"/>
                <w:color w:val="auto"/>
              </w:rPr>
              <w:t xml:space="preserve">  </w:t>
            </w:r>
          </w:p>
          <w:p w14:paraId="31A60122" w14:textId="77777777" w:rsidR="005F281B" w:rsidRPr="00E668FC" w:rsidRDefault="005F281B" w:rsidP="0097511D">
            <w:pPr>
              <w:spacing w:line="360" w:lineRule="auto"/>
              <w:jc w:val="lef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eastAsia="Arial" w:cs="Arial"/>
                <w:color w:val="auto"/>
              </w:rPr>
              <w:t>Information from this source was supplemented through desk research of participants’ climate action targets or plans.</w:t>
            </w:r>
          </w:p>
        </w:tc>
      </w:tr>
      <w:tr w:rsidR="005F281B" w:rsidRPr="00E668FC" w14:paraId="6E13A7B9" w14:textId="77777777" w:rsidTr="154EABF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79" w:type="dxa"/>
          </w:tcPr>
          <w:p w14:paraId="60FB1A9B" w14:textId="77777777" w:rsidR="005F281B" w:rsidRPr="00E668FC" w:rsidRDefault="005F281B" w:rsidP="0097511D">
            <w:pPr>
              <w:spacing w:line="360" w:lineRule="auto"/>
              <w:jc w:val="left"/>
              <w:rPr>
                <w:rFonts w:cs="Arial"/>
                <w:color w:val="auto"/>
              </w:rPr>
            </w:pPr>
            <w:r w:rsidRPr="00E668FC">
              <w:rPr>
                <w:rFonts w:cs="Arial"/>
                <w:color w:val="auto"/>
              </w:rPr>
              <w:t>US Climate Mayors</w:t>
            </w:r>
          </w:p>
        </w:tc>
        <w:tc>
          <w:tcPr>
            <w:tcW w:w="6949" w:type="dxa"/>
          </w:tcPr>
          <w:p w14:paraId="1C3886D3"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E668FC">
              <w:rPr>
                <w:rFonts w:eastAsia="Arial" w:cs="Arial"/>
                <w:color w:val="auto"/>
              </w:rPr>
              <w:t>US Climate Mayors. Accessed July 2019 from: www.climatemayors.org and http://climatemayors.org/actions/climate-action-compendium/.</w:t>
            </w:r>
          </w:p>
          <w:p w14:paraId="3F991050" w14:textId="77777777" w:rsidR="005F281B" w:rsidRPr="00E668FC" w:rsidRDefault="005F281B" w:rsidP="0097511D">
            <w:pPr>
              <w:spacing w:line="360"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E668FC">
              <w:rPr>
                <w:rFonts w:eastAsia="Arial" w:cs="Arial"/>
                <w:color w:val="auto"/>
              </w:rPr>
              <w:t>Information from this source was supplemented through desk research of participants’ climate action targets or plans.</w:t>
            </w:r>
          </w:p>
        </w:tc>
      </w:tr>
    </w:tbl>
    <w:p w14:paraId="03165C2C" w14:textId="77777777" w:rsidR="005F281B" w:rsidRPr="00E668FC" w:rsidRDefault="005F281B" w:rsidP="005F281B">
      <w:pPr>
        <w:spacing w:line="360" w:lineRule="auto"/>
        <w:rPr>
          <w:rFonts w:cs="Arial"/>
          <w:color w:val="auto"/>
        </w:rPr>
      </w:pPr>
    </w:p>
    <w:p w14:paraId="0BDAB01F" w14:textId="77777777" w:rsidR="005F281B" w:rsidRPr="00E668FC" w:rsidRDefault="005F281B" w:rsidP="005F281B">
      <w:pPr>
        <w:pStyle w:val="Heading2"/>
        <w:numPr>
          <w:ilvl w:val="0"/>
          <w:numId w:val="0"/>
        </w:numPr>
        <w:ind w:left="576" w:hanging="576"/>
      </w:pPr>
      <w:r w:rsidRPr="00E668FC">
        <w:br w:type="page"/>
      </w:r>
    </w:p>
    <w:p w14:paraId="5FA34837" w14:textId="77777777" w:rsidR="005F281B" w:rsidRPr="00E668FC" w:rsidRDefault="005F281B" w:rsidP="005F281B">
      <w:pPr>
        <w:autoSpaceDE w:val="0"/>
        <w:autoSpaceDN w:val="0"/>
        <w:adjustRightInd w:val="0"/>
        <w:spacing w:after="0" w:line="360" w:lineRule="auto"/>
        <w:rPr>
          <w:lang w:eastAsia="ja-JP"/>
        </w:rPr>
      </w:pPr>
    </w:p>
    <w:p w14:paraId="1616443C" w14:textId="0E208A2D" w:rsidR="005F281B" w:rsidRPr="00E668FC" w:rsidRDefault="154EABF8" w:rsidP="154EABF8">
      <w:pPr>
        <w:spacing w:line="360" w:lineRule="auto"/>
        <w:rPr>
          <w:rFonts w:eastAsia="Arial" w:cs="Arial"/>
          <w:color w:val="auto"/>
        </w:rPr>
      </w:pPr>
      <w:r w:rsidRPr="154EABF8">
        <w:rPr>
          <w:rFonts w:cs="Arial"/>
          <w:color w:val="auto"/>
        </w:rPr>
        <w:t xml:space="preserve">Different platforms report participants’ climate actions in different formats and to different levels of detail: CDP Cities report the breakdown of direct (scope 1) emissions and electricity use-related (scope 2) emissions of subnational actors, whereas others do not include information on emissions scopes if inventory information is reported by an actor. Climate action platforms also capture different types of targets, that span </w:t>
      </w:r>
      <w:r w:rsidRPr="154EABF8">
        <w:rPr>
          <w:rFonts w:eastAsia="Arial" w:cs="Arial"/>
          <w:color w:val="auto"/>
        </w:rPr>
        <w:t>absolute GHG emissions reduction</w:t>
      </w:r>
      <w:r w:rsidRPr="154EABF8">
        <w:rPr>
          <w:rFonts w:cs="Arial"/>
          <w:color w:val="auto"/>
        </w:rPr>
        <w:t xml:space="preserve">, energy efficiency, renewable energy, and intensity-based targets, among others. </w:t>
      </w:r>
    </w:p>
    <w:p w14:paraId="6F446951" w14:textId="7DB184CF" w:rsidR="005F281B" w:rsidRPr="00E668FC" w:rsidRDefault="154EABF8" w:rsidP="154EABF8">
      <w:pPr>
        <w:spacing w:line="360" w:lineRule="auto"/>
        <w:rPr>
          <w:rFonts w:cs="Arial"/>
          <w:color w:val="auto"/>
        </w:rPr>
      </w:pPr>
      <w:r w:rsidRPr="154EABF8">
        <w:rPr>
          <w:rFonts w:cs="Arial"/>
          <w:color w:val="auto"/>
        </w:rPr>
        <w:t>To address the inconsistencies in each platform’s method of categorising targets and to include as many subnational actors’ targets as possible, we chose the most common targets across platforms. We included region-</w:t>
      </w:r>
      <w:r w:rsidR="005D2E66">
        <w:rPr>
          <w:rFonts w:cs="Arial"/>
          <w:color w:val="auto"/>
        </w:rPr>
        <w:t xml:space="preserve"> or city-</w:t>
      </w:r>
      <w:r w:rsidRPr="154EABF8">
        <w:rPr>
          <w:rFonts w:cs="Arial"/>
          <w:color w:val="auto"/>
        </w:rPr>
        <w:t xml:space="preserve">wide absolute GHG emission reduction targets and quantified emission levels under each target using the following variables: actor's base year scope 1 and scope 2 emissions, the target percent reduction, the target base year, the target year, and the actor’s most recent GHG inventory year and the 2015 inventory scope 1 and scope 2 emissions. Sector-level and government-operations targets for cities and regions were excluded if city- or region-wide emissions reduction targets existed. </w:t>
      </w:r>
      <w:r w:rsidRPr="154EABF8">
        <w:rPr>
          <w:rFonts w:eastAsia="Arial" w:cs="Arial"/>
          <w:color w:val="auto"/>
        </w:rPr>
        <w:t xml:space="preserve">This study did not consider energy efficiency and renewable energy targets without GHG emission reduction targets. </w:t>
      </w:r>
    </w:p>
    <w:p w14:paraId="2E89391F" w14:textId="63589235" w:rsidR="005F281B" w:rsidRPr="00E668FC" w:rsidRDefault="154EABF8" w:rsidP="154EABF8">
      <w:pPr>
        <w:spacing w:line="360" w:lineRule="auto"/>
        <w:rPr>
          <w:rFonts w:cs="Arial"/>
          <w:color w:val="auto"/>
        </w:rPr>
      </w:pPr>
      <w:r w:rsidRPr="154EABF8">
        <w:rPr>
          <w:rFonts w:cs="Arial"/>
          <w:color w:val="auto"/>
        </w:rPr>
        <w:t>In sum, the we have applied the following hierarchy of data selection</w:t>
      </w:r>
      <w:bookmarkStart w:id="2" w:name="_GoBack"/>
      <w:bookmarkEnd w:id="2"/>
      <w:r w:rsidRPr="154EABF8">
        <w:rPr>
          <w:rFonts w:cs="Arial"/>
          <w:color w:val="auto"/>
        </w:rPr>
        <w:t>:</w:t>
      </w:r>
    </w:p>
    <w:p w14:paraId="616114EE" w14:textId="4A27D412" w:rsidR="005F281B" w:rsidRPr="00E668FC" w:rsidRDefault="005D2E66" w:rsidP="005F281B">
      <w:pPr>
        <w:pStyle w:val="ColorfulList-Accent11"/>
        <w:numPr>
          <w:ilvl w:val="0"/>
          <w:numId w:val="2"/>
        </w:numPr>
        <w:spacing w:line="360" w:lineRule="auto"/>
        <w:rPr>
          <w:rFonts w:cs="Arial"/>
          <w:color w:val="auto"/>
          <w:szCs w:val="20"/>
        </w:rPr>
      </w:pPr>
      <w:r>
        <w:rPr>
          <w:rFonts w:cs="Arial"/>
          <w:color w:val="auto"/>
          <w:szCs w:val="20"/>
        </w:rPr>
        <w:t>Region- or c</w:t>
      </w:r>
      <w:r w:rsidR="005F281B" w:rsidRPr="00E668FC">
        <w:rPr>
          <w:rFonts w:cs="Arial"/>
          <w:color w:val="auto"/>
          <w:szCs w:val="20"/>
        </w:rPr>
        <w:t>ity-wide absolute GHG emissions reduction targets, in terms of:</w:t>
      </w:r>
    </w:p>
    <w:p w14:paraId="646CD0EA" w14:textId="77777777" w:rsidR="005F281B" w:rsidRPr="00E668FC" w:rsidRDefault="005F281B" w:rsidP="005F281B">
      <w:pPr>
        <w:pStyle w:val="ColorfulList-Accent11"/>
        <w:numPr>
          <w:ilvl w:val="1"/>
          <w:numId w:val="1"/>
        </w:numPr>
        <w:spacing w:line="360" w:lineRule="auto"/>
        <w:rPr>
          <w:rFonts w:cs="Arial"/>
          <w:color w:val="auto"/>
          <w:szCs w:val="20"/>
        </w:rPr>
      </w:pPr>
      <w:r w:rsidRPr="00E668FC">
        <w:rPr>
          <w:rFonts w:cs="Arial"/>
          <w:color w:val="auto"/>
          <w:szCs w:val="20"/>
        </w:rPr>
        <w:t xml:space="preserve">Absolute emissions reduction </w:t>
      </w:r>
    </w:p>
    <w:p w14:paraId="3D9794C6" w14:textId="77777777" w:rsidR="005F281B" w:rsidRPr="00E668FC" w:rsidRDefault="005F281B" w:rsidP="005F281B">
      <w:pPr>
        <w:pStyle w:val="ColorfulList-Accent11"/>
        <w:numPr>
          <w:ilvl w:val="1"/>
          <w:numId w:val="1"/>
        </w:numPr>
        <w:spacing w:line="360" w:lineRule="auto"/>
        <w:rPr>
          <w:rFonts w:cs="Arial"/>
          <w:color w:val="auto"/>
          <w:szCs w:val="20"/>
        </w:rPr>
      </w:pPr>
      <w:r w:rsidRPr="00E668FC">
        <w:rPr>
          <w:rFonts w:cs="Arial"/>
          <w:color w:val="auto"/>
          <w:szCs w:val="20"/>
        </w:rPr>
        <w:t xml:space="preserve">Reduction relative to base year emissions </w:t>
      </w:r>
    </w:p>
    <w:p w14:paraId="7B333BC1" w14:textId="77777777" w:rsidR="005F281B" w:rsidRPr="00E668FC" w:rsidRDefault="005F281B" w:rsidP="005F281B">
      <w:pPr>
        <w:pStyle w:val="ColorfulList-Accent11"/>
        <w:numPr>
          <w:ilvl w:val="0"/>
          <w:numId w:val="2"/>
        </w:numPr>
        <w:spacing w:line="360" w:lineRule="auto"/>
        <w:rPr>
          <w:rFonts w:cs="Arial"/>
          <w:color w:val="auto"/>
          <w:szCs w:val="20"/>
        </w:rPr>
      </w:pPr>
      <w:r w:rsidRPr="00E668FC">
        <w:rPr>
          <w:rFonts w:cs="Arial"/>
          <w:color w:val="auto"/>
          <w:szCs w:val="20"/>
        </w:rPr>
        <w:t>Government (e.g., direct and indirect GHG emissions from buildings and other government-owned sources) GHG emission reduction targets, in terms of:</w:t>
      </w:r>
    </w:p>
    <w:p w14:paraId="7788546B" w14:textId="77777777" w:rsidR="005F281B" w:rsidRPr="00E668FC" w:rsidRDefault="005F281B" w:rsidP="005F281B">
      <w:pPr>
        <w:pStyle w:val="ColorfulList-Accent11"/>
        <w:numPr>
          <w:ilvl w:val="1"/>
          <w:numId w:val="1"/>
        </w:numPr>
        <w:spacing w:line="360" w:lineRule="auto"/>
        <w:rPr>
          <w:rFonts w:cs="Arial"/>
          <w:color w:val="auto"/>
          <w:szCs w:val="20"/>
        </w:rPr>
      </w:pPr>
      <w:r w:rsidRPr="00E668FC">
        <w:rPr>
          <w:rFonts w:cs="Arial"/>
          <w:color w:val="auto"/>
          <w:szCs w:val="20"/>
        </w:rPr>
        <w:t xml:space="preserve">Absolute emissions reduction </w:t>
      </w:r>
    </w:p>
    <w:p w14:paraId="441B9012" w14:textId="77777777" w:rsidR="005F281B" w:rsidRPr="00E668FC" w:rsidRDefault="005F281B" w:rsidP="005F281B">
      <w:pPr>
        <w:pStyle w:val="ColorfulList-Accent11"/>
        <w:numPr>
          <w:ilvl w:val="1"/>
          <w:numId w:val="1"/>
        </w:numPr>
        <w:spacing w:line="360" w:lineRule="auto"/>
        <w:rPr>
          <w:rFonts w:cs="Arial"/>
          <w:color w:val="auto"/>
          <w:szCs w:val="20"/>
        </w:rPr>
      </w:pPr>
      <w:r w:rsidRPr="00E668FC">
        <w:rPr>
          <w:rFonts w:cs="Arial"/>
          <w:color w:val="auto"/>
          <w:szCs w:val="20"/>
        </w:rPr>
        <w:t>Reduction relative to base year emissions</w:t>
      </w:r>
    </w:p>
    <w:p w14:paraId="7072DE79" w14:textId="77777777" w:rsidR="005F281B" w:rsidRPr="00E668FC" w:rsidRDefault="005F281B" w:rsidP="005F281B">
      <w:pPr>
        <w:spacing w:line="360" w:lineRule="auto"/>
        <w:rPr>
          <w:rFonts w:eastAsia="Arial" w:cs="Arial"/>
          <w:strike/>
          <w:color w:val="auto"/>
        </w:rPr>
      </w:pPr>
      <w:r w:rsidRPr="00E668FC">
        <w:t>We also supplemented data from other sources</w:t>
      </w:r>
      <w:r w:rsidRPr="00A24C28">
        <w:t>.</w:t>
      </w:r>
      <w:r w:rsidRPr="00A24C28">
        <w:rPr>
          <w:rFonts w:eastAsia="Arial" w:cs="Arial"/>
          <w:color w:val="auto"/>
        </w:rPr>
        <w:t xml:space="preserve"> Chinese subnational commitments were derived from the C40 Cities for Climate Leadership Group, the </w:t>
      </w:r>
      <w:proofErr w:type="spellStart"/>
      <w:r w:rsidRPr="00A24C28">
        <w:rPr>
          <w:rFonts w:eastAsia="Arial" w:cs="Arial"/>
          <w:color w:val="auto"/>
        </w:rPr>
        <w:t>iGDP</w:t>
      </w:r>
      <w:proofErr w:type="spellEnd"/>
      <w:r w:rsidRPr="00A24C28">
        <w:rPr>
          <w:rFonts w:eastAsia="Arial" w:cs="Arial"/>
          <w:color w:val="auto"/>
        </w:rPr>
        <w:t xml:space="preserve"> China Policy Mapping Tool </w:t>
      </w:r>
      <w:r w:rsidRPr="00A24C28">
        <w:fldChar w:fldCharType="begin" w:fldLock="1"/>
      </w:r>
      <w:r w:rsidRPr="00A24C28">
        <w:rPr>
          <w:rFonts w:eastAsia="Arial" w:cs="Arial"/>
          <w:color w:val="auto"/>
          <w:szCs w:val="20"/>
        </w:rPr>
        <w:instrText>ADDIN CSL_CITATION {"citationItems":[{"id":"ITEM-1","itemData":{"URL":"http://www.igdp.cn/policy-mapping-tool/","accessed":{"date-parts":[["2019","8","1"]]},"author":[{"dropping-particle":"","family":"IGDP","given":"","non-dropping-particle":"","parse-names":false,"suffix":""}],"id":"ITEM-1","issued":{"date-parts":[["2019"]]},"publisher":"Innovative Green Development Program","title":"China Policy Mapping Tool","type":"webpage"},"uris":["http://www.mendeley.com/documents/?uuid=97241d02-1cae-4558-8e7e-c47c0f2fb1aa"]}],"mendeley":{"formattedCitation":"(IGDP, 2019)","plainTextFormattedCitation":"(IGDP, 2019)","previouslyFormattedCitation":"(IGDP, 2019)"},"properties":{"noteIndex":0},"schema":"https://github.com/citation-style-language/schema/raw/master/csl-citation.json"}</w:instrText>
      </w:r>
      <w:r w:rsidRPr="00A24C28">
        <w:rPr>
          <w:rFonts w:eastAsia="Arial" w:cs="Arial"/>
          <w:color w:val="auto"/>
          <w:szCs w:val="20"/>
        </w:rPr>
        <w:fldChar w:fldCharType="separate"/>
      </w:r>
      <w:r w:rsidRPr="00A24C28">
        <w:rPr>
          <w:rFonts w:eastAsia="Arial" w:cs="Arial"/>
          <w:noProof/>
          <w:color w:val="auto"/>
        </w:rPr>
        <w:t>(IGDP, 2019)</w:t>
      </w:r>
      <w:r w:rsidRPr="00A24C28">
        <w:fldChar w:fldCharType="end"/>
      </w:r>
      <w:r w:rsidRPr="00A24C28">
        <w:rPr>
          <w:rFonts w:eastAsia="Arial" w:cs="Arial"/>
          <w:color w:val="auto"/>
        </w:rPr>
        <w:t xml:space="preserve">, and the Chinese cities and provinces participating in the Alliance of Pioneer Peaking Cities (2016). China's 2012 emissions inventory data (including both scopes 1 and 2) of these cities in 2012 were taken from Liu &amp; Cai </w:t>
      </w:r>
      <w:r w:rsidRPr="00A24C28">
        <w:fldChar w:fldCharType="begin" w:fldLock="1"/>
      </w:r>
      <w:r w:rsidRPr="00A24C28">
        <w:rPr>
          <w:rFonts w:cs="Arial"/>
          <w:color w:val="auto"/>
          <w:szCs w:val="20"/>
        </w:rPr>
        <w:instrText>ADDIN CSL_CITATION {"citationItems":[{"id":"ITEM-1","itemData":{"author":[{"dropping-particle":"","family":"Liu","given":"Zhu","non-dropping-particle":"","parse-names":false,"suffix":""},{"dropping-particle":"","family":"Cai","given":"Bofeng","non-dropping-particle":"","parse-names":false,"suffix":""}],"id":"ITEM-1","issue":"June","issued":{"date-parts":[["2018"]]},"publisher":"Environment and Natural Resources Program, Belfer Center","title":"High-resolution Carbon Emissions Data for Chinese Cities","type":"report"},"suppress-author":1,"uris":["http://www.mendeley.com/documents/?uuid=e574c09a-5985-4026-b5e4-f092e7276e29"]}],"mendeley":{"formattedCitation":"(2018)","plainTextFormattedCitation":"(2018)","previouslyFormattedCitation":"(2018)"},"properties":{"noteIndex":0},"schema":"https://github.com/citation-style-language/schema/raw/master/csl-citation.json"}</w:instrText>
      </w:r>
      <w:r w:rsidRPr="00A24C28">
        <w:rPr>
          <w:rFonts w:cs="Arial"/>
          <w:color w:val="auto"/>
          <w:szCs w:val="20"/>
        </w:rPr>
        <w:fldChar w:fldCharType="separate"/>
      </w:r>
      <w:r w:rsidRPr="00A24C28">
        <w:rPr>
          <w:rFonts w:cs="Arial"/>
          <w:noProof/>
          <w:color w:val="auto"/>
        </w:rPr>
        <w:t>(2018)</w:t>
      </w:r>
      <w:r w:rsidRPr="00A24C28">
        <w:fldChar w:fldCharType="end"/>
      </w:r>
      <w:r w:rsidRPr="00A24C28">
        <w:rPr>
          <w:rFonts w:eastAsia="Arial" w:cs="Arial"/>
          <w:color w:val="auto"/>
        </w:rPr>
        <w:t xml:space="preserve">. GDP data were derived from the China Economic Database </w:t>
      </w:r>
      <w:r w:rsidRPr="00A24C28">
        <w:fldChar w:fldCharType="begin" w:fldLock="1"/>
      </w:r>
      <w:r w:rsidRPr="00A24C28">
        <w:rPr>
          <w:rFonts w:eastAsia="Arial" w:cs="Arial"/>
          <w:color w:val="auto"/>
          <w:szCs w:val="20"/>
        </w:rPr>
        <w:instrText>ADDIN CSL_CITATION {"citationItems":[{"id":"ITEM-1","itemData":{"URL":"https://www.ceicdata.com/en/products/china-economic-database","accessed":{"date-parts":[["2019","8","1"]]},"author":[{"dropping-particle":"","family":"CEIC","given":"","non-dropping-particle":"","parse-names":false,"suffix":""}],"id":"ITEM-1","issued":{"date-parts":[["2019"]]},"publisher":"CEIC Data","title":"China Premium Database","type":"webpage"},"uris":["http://www.mendeley.com/documents/?uuid=370c1895-ce70-4a81-bf65-5ba18bdf1b8a"]}],"mendeley":{"formattedCitation":"(CEIC, 2019)","plainTextFormattedCitation":"(CEIC, 2019)","previouslyFormattedCitation":"(CEIC, 2019)"},"properties":{"noteIndex":0},"schema":"https://github.com/citation-style-language/schema/raw/master/csl-citation.json"}</w:instrText>
      </w:r>
      <w:r w:rsidRPr="00A24C28">
        <w:rPr>
          <w:rFonts w:eastAsia="Arial" w:cs="Arial"/>
          <w:color w:val="auto"/>
          <w:szCs w:val="20"/>
        </w:rPr>
        <w:fldChar w:fldCharType="separate"/>
      </w:r>
      <w:r w:rsidRPr="00A24C28">
        <w:rPr>
          <w:rFonts w:eastAsia="Arial" w:cs="Arial"/>
          <w:noProof/>
          <w:color w:val="auto"/>
        </w:rPr>
        <w:t>(CEIC, 2019)</w:t>
      </w:r>
      <w:r w:rsidRPr="00A24C28">
        <w:fldChar w:fldCharType="end"/>
      </w:r>
      <w:r w:rsidRPr="00A24C28">
        <w:rPr>
          <w:rFonts w:eastAsia="Arial" w:cs="Arial"/>
          <w:color w:val="auto"/>
        </w:rPr>
        <w:t>. For US subnational actors, we filled some data gaps on baseline emissions and climate action commitments through internet desk research of city climate action plans and progress reports.</w:t>
      </w:r>
      <w:r w:rsidRPr="00E668FC">
        <w:rPr>
          <w:rFonts w:eastAsia="Arial" w:cs="Arial"/>
          <w:color w:val="auto"/>
        </w:rPr>
        <w:t xml:space="preserve"> </w:t>
      </w:r>
    </w:p>
    <w:p w14:paraId="01CDC34B" w14:textId="77777777" w:rsidR="005F281B" w:rsidRPr="00E668FC" w:rsidRDefault="005F281B" w:rsidP="005F281B">
      <w:pPr>
        <w:spacing w:line="360" w:lineRule="auto"/>
        <w:rPr>
          <w:rFonts w:cs="Arial"/>
          <w:color w:val="auto"/>
          <w:szCs w:val="20"/>
        </w:rPr>
      </w:pPr>
      <w:r w:rsidRPr="00E668FC">
        <w:rPr>
          <w:rFonts w:cs="Arial"/>
          <w:color w:val="auto"/>
          <w:szCs w:val="20"/>
        </w:rPr>
        <w:t>The emissions data for the subnational commitments was carefully examined for their correctness. We applied filters to exclude commitments with historical per capita GHG emissions lower than 0.2 tCO</w:t>
      </w:r>
      <w:r w:rsidRPr="00E668FC">
        <w:rPr>
          <w:rFonts w:cs="Arial"/>
          <w:color w:val="auto"/>
          <w:szCs w:val="20"/>
          <w:vertAlign w:val="subscript"/>
        </w:rPr>
        <w:t>2</w:t>
      </w:r>
      <w:r w:rsidRPr="00E668FC">
        <w:rPr>
          <w:rFonts w:cs="Arial"/>
          <w:color w:val="auto"/>
          <w:szCs w:val="20"/>
        </w:rPr>
        <w:t>e/capita and higher than 40 tCO</w:t>
      </w:r>
      <w:r w:rsidRPr="00E668FC">
        <w:rPr>
          <w:rFonts w:cs="Arial"/>
          <w:color w:val="auto"/>
          <w:szCs w:val="20"/>
          <w:vertAlign w:val="subscript"/>
        </w:rPr>
        <w:t>2</w:t>
      </w:r>
      <w:r w:rsidRPr="00E668FC">
        <w:rPr>
          <w:rFonts w:cs="Arial"/>
          <w:color w:val="auto"/>
          <w:szCs w:val="20"/>
        </w:rPr>
        <w:t xml:space="preserve">e/capita, with a few exceptions for which were able to verify the correctness of the data </w:t>
      </w:r>
      <w:r w:rsidRPr="00E668FC">
        <w:rPr>
          <w:rFonts w:eastAsia="Arial" w:cs="Arial"/>
          <w:color w:val="auto"/>
          <w:szCs w:val="20"/>
        </w:rPr>
        <w:t>(e.g., many GHG commitments for local government operations, which often had very low per capita GHG emissions values, were still included in the analysis)</w:t>
      </w:r>
      <w:r w:rsidRPr="00E668FC">
        <w:rPr>
          <w:rFonts w:cs="Arial"/>
          <w:color w:val="auto"/>
          <w:szCs w:val="20"/>
        </w:rPr>
        <w:t xml:space="preserve">. </w:t>
      </w:r>
    </w:p>
    <w:p w14:paraId="4DC9C71F" w14:textId="77777777" w:rsidR="005F281B" w:rsidRPr="00E668FC" w:rsidRDefault="005F281B" w:rsidP="005F281B">
      <w:pPr>
        <w:spacing w:line="360" w:lineRule="auto"/>
        <w:rPr>
          <w:rFonts w:cs="Arial"/>
          <w:color w:val="auto"/>
        </w:rPr>
      </w:pPr>
      <w:r w:rsidRPr="00E668FC">
        <w:rPr>
          <w:rFonts w:cs="Arial"/>
          <w:color w:val="auto"/>
        </w:rPr>
        <w:lastRenderedPageBreak/>
        <w:t xml:space="preserve">To calculate the emissions time series for individual subnational actors, we used three tiers of interpolation between the starting year of our projections (=2016) and the quantifiable emissions reduction targets, depending on data reported by individual actors. </w:t>
      </w:r>
    </w:p>
    <w:p w14:paraId="50E8D6EA" w14:textId="77777777" w:rsidR="005F281B" w:rsidRPr="00E668FC" w:rsidRDefault="005F281B" w:rsidP="005F281B">
      <w:pPr>
        <w:numPr>
          <w:ilvl w:val="0"/>
          <w:numId w:val="4"/>
        </w:numPr>
        <w:spacing w:after="0" w:line="360" w:lineRule="auto"/>
        <w:jc w:val="left"/>
        <w:textAlignment w:val="baseline"/>
        <w:rPr>
          <w:rFonts w:eastAsia="Arial" w:cs="Arial"/>
          <w:color w:val="auto"/>
        </w:rPr>
      </w:pPr>
      <w:r w:rsidRPr="00E668FC">
        <w:rPr>
          <w:rFonts w:cs="Arial"/>
          <w:color w:val="auto"/>
        </w:rPr>
        <w:t>Tier 1: if inventory year and inventory emissions are both available, we interpolate between the latest inventory emissions reported</w:t>
      </w:r>
      <w:r w:rsidRPr="00E668FC">
        <w:rPr>
          <w:rFonts w:eastAsia="Arial" w:cs="Arial"/>
          <w:color w:val="auto"/>
        </w:rPr>
        <w:t xml:space="preserve"> </w:t>
      </w:r>
      <w:r w:rsidRPr="00E668FC">
        <w:rPr>
          <w:rFonts w:cs="Arial"/>
          <w:color w:val="auto"/>
        </w:rPr>
        <w:t>and the target year emissions, assuming a constant rate of decrease.</w:t>
      </w:r>
    </w:p>
    <w:p w14:paraId="0F89BA02" w14:textId="77777777" w:rsidR="005F281B" w:rsidRPr="00E668FC" w:rsidRDefault="005F281B" w:rsidP="005F281B">
      <w:pPr>
        <w:numPr>
          <w:ilvl w:val="0"/>
          <w:numId w:val="4"/>
        </w:numPr>
        <w:spacing w:after="0" w:line="360" w:lineRule="auto"/>
        <w:jc w:val="left"/>
        <w:textAlignment w:val="baseline"/>
        <w:rPr>
          <w:rFonts w:eastAsia="Arial" w:cs="Arial"/>
          <w:color w:val="auto"/>
        </w:rPr>
      </w:pPr>
      <w:r w:rsidRPr="00E668FC">
        <w:rPr>
          <w:rFonts w:cs="Arial"/>
          <w:color w:val="auto"/>
        </w:rPr>
        <w:t>Tier 2: if inventory emissions are known but not inventory year, we assume that inventory year is 2010, and apply the same interpolation as Tier 1 (the average year of last inventories was 2013; we assumed an earlier year of 2010 in order to not overestimate the emissions reductions for 2016 and consequently the emissions reductions between 2016 and 2030)</w:t>
      </w:r>
      <w:r w:rsidRPr="00E668FC">
        <w:rPr>
          <w:rFonts w:eastAsia="Arial" w:cs="Arial"/>
          <w:color w:val="auto"/>
        </w:rPr>
        <w:t>.</w:t>
      </w:r>
    </w:p>
    <w:p w14:paraId="31B1A0E4" w14:textId="77777777" w:rsidR="005F281B" w:rsidRPr="00E668FC" w:rsidRDefault="005F281B" w:rsidP="005F281B">
      <w:pPr>
        <w:numPr>
          <w:ilvl w:val="0"/>
          <w:numId w:val="4"/>
        </w:numPr>
        <w:spacing w:after="0" w:line="360" w:lineRule="auto"/>
        <w:jc w:val="left"/>
        <w:textAlignment w:val="baseline"/>
        <w:rPr>
          <w:rFonts w:eastAsia="Arial" w:cs="Arial"/>
          <w:color w:val="auto"/>
        </w:rPr>
      </w:pPr>
      <w:r w:rsidRPr="00E668FC">
        <w:rPr>
          <w:rFonts w:cs="Arial"/>
          <w:color w:val="auto"/>
        </w:rPr>
        <w:t>Tier 3: for cases with no inventory emissions or inventory year, we base our interpolations on base year emissions and base year.</w:t>
      </w:r>
    </w:p>
    <w:p w14:paraId="06760D38" w14:textId="77777777" w:rsidR="005F281B" w:rsidRPr="00E668FC" w:rsidRDefault="005F281B" w:rsidP="005F281B">
      <w:pPr>
        <w:spacing w:after="0" w:line="360" w:lineRule="auto"/>
        <w:jc w:val="left"/>
        <w:rPr>
          <w:rFonts w:eastAsia="Times New Roman" w:cs="Arial"/>
          <w:color w:val="auto"/>
          <w:szCs w:val="20"/>
        </w:rPr>
      </w:pPr>
    </w:p>
    <w:p w14:paraId="54376514" w14:textId="74FF80CA" w:rsidR="004133F6" w:rsidRPr="007C7173" w:rsidRDefault="005F281B" w:rsidP="004133F6">
      <w:pPr>
        <w:spacing w:line="360" w:lineRule="auto"/>
        <w:rPr>
          <w:rFonts w:cs="Arial"/>
          <w:color w:val="auto"/>
        </w:rPr>
      </w:pPr>
      <w:r w:rsidRPr="00E668FC">
        <w:rPr>
          <w:rFonts w:cs="Arial"/>
          <w:color w:val="auto"/>
        </w:rPr>
        <w:t xml:space="preserve">For </w:t>
      </w:r>
      <w:r w:rsidR="008C5CE3">
        <w:rPr>
          <w:rFonts w:cs="Arial"/>
          <w:color w:val="auto"/>
        </w:rPr>
        <w:t xml:space="preserve">regions and </w:t>
      </w:r>
      <w:r w:rsidRPr="00E668FC">
        <w:rPr>
          <w:rFonts w:cs="Arial"/>
          <w:color w:val="auto"/>
        </w:rPr>
        <w:t xml:space="preserve">cities that only report one target year, we assume a constant rate of reduction until the target year, after which we assume emissions have the same trend as the current </w:t>
      </w:r>
      <w:r w:rsidR="004133F6">
        <w:rPr>
          <w:rFonts w:cs="Arial"/>
          <w:color w:val="auto"/>
        </w:rPr>
        <w:t xml:space="preserve">national </w:t>
      </w:r>
      <w:r w:rsidRPr="00E668FC">
        <w:rPr>
          <w:rFonts w:cs="Arial"/>
          <w:color w:val="auto"/>
        </w:rPr>
        <w:t>policies scenario. For</w:t>
      </w:r>
      <w:r w:rsidR="005D2E66">
        <w:rPr>
          <w:rFonts w:cs="Arial"/>
          <w:color w:val="auto"/>
        </w:rPr>
        <w:t xml:space="preserve"> regions and</w:t>
      </w:r>
      <w:r w:rsidRPr="00E668FC">
        <w:rPr>
          <w:rFonts w:cs="Arial"/>
          <w:color w:val="auto"/>
        </w:rPr>
        <w:t xml:space="preserve"> cities that have multiple targets, we interpolate from either the inventory or baseline emissions, whichever is available, up to the first target year (i.e., 2030). If a longer-term target (i.e., 2050) is available, we interpolate from the first target year (i.e., 2030) to the second target year (i.e., 2050) by assuming different rates of reduction between the target years. </w:t>
      </w:r>
      <w:r w:rsidR="00E534B1">
        <w:rPr>
          <w:rFonts w:cs="Arial"/>
          <w:color w:val="auto"/>
        </w:rPr>
        <w:t xml:space="preserve">This approach </w:t>
      </w:r>
      <w:r w:rsidR="00A35631">
        <w:rPr>
          <w:rFonts w:cs="Arial"/>
          <w:color w:val="auto"/>
        </w:rPr>
        <w:t xml:space="preserve">indicates that </w:t>
      </w:r>
      <w:r w:rsidR="004133F6">
        <w:rPr>
          <w:rFonts w:cs="Arial"/>
          <w:color w:val="auto"/>
        </w:rPr>
        <w:t>there w</w:t>
      </w:r>
      <w:r w:rsidR="00A35631">
        <w:rPr>
          <w:rFonts w:cs="Arial"/>
          <w:color w:val="auto"/>
        </w:rPr>
        <w:t>ould</w:t>
      </w:r>
      <w:r w:rsidR="004133F6">
        <w:rPr>
          <w:rFonts w:cs="Arial"/>
          <w:color w:val="auto"/>
        </w:rPr>
        <w:t xml:space="preserve"> be </w:t>
      </w:r>
      <w:r w:rsidR="00A35631">
        <w:rPr>
          <w:rFonts w:cs="Arial"/>
          <w:color w:val="auto"/>
        </w:rPr>
        <w:t>limited</w:t>
      </w:r>
      <w:r w:rsidR="004133F6" w:rsidRPr="007C7173">
        <w:rPr>
          <w:rFonts w:cs="Arial"/>
          <w:color w:val="auto"/>
        </w:rPr>
        <w:t>, if not zero, additional</w:t>
      </w:r>
      <w:r w:rsidR="004133F6">
        <w:rPr>
          <w:rFonts w:cs="Arial"/>
          <w:color w:val="auto"/>
        </w:rPr>
        <w:t xml:space="preserve"> emissions</w:t>
      </w:r>
      <w:r w:rsidR="004133F6" w:rsidRPr="007C7173">
        <w:rPr>
          <w:rFonts w:cs="Arial"/>
          <w:color w:val="auto"/>
        </w:rPr>
        <w:t xml:space="preserve"> reductions</w:t>
      </w:r>
      <w:r w:rsidR="004133F6">
        <w:rPr>
          <w:rFonts w:cs="Arial"/>
          <w:color w:val="auto"/>
        </w:rPr>
        <w:t xml:space="preserve"> compared to the current policies scenario</w:t>
      </w:r>
      <w:r w:rsidR="004133F6" w:rsidRPr="007C7173">
        <w:rPr>
          <w:rFonts w:cs="Arial"/>
          <w:color w:val="auto"/>
        </w:rPr>
        <w:t xml:space="preserve"> if actors do not have targets beyond 2020. </w:t>
      </w:r>
    </w:p>
    <w:p w14:paraId="79E5CE45" w14:textId="6C2D80BC" w:rsidR="005F281B" w:rsidRPr="00E668FC" w:rsidRDefault="005F281B" w:rsidP="005F281B">
      <w:pPr>
        <w:spacing w:line="360" w:lineRule="auto"/>
        <w:rPr>
          <w:rFonts w:cs="Arial"/>
          <w:color w:val="auto"/>
        </w:rPr>
      </w:pPr>
    </w:p>
    <w:p w14:paraId="77C47B79" w14:textId="25EE6B10" w:rsidR="005F281B" w:rsidRDefault="005F281B" w:rsidP="005F281B">
      <w:pPr>
        <w:spacing w:line="360" w:lineRule="auto"/>
        <w:rPr>
          <w:rFonts w:cs="Arial"/>
          <w:color w:val="auto"/>
        </w:rPr>
      </w:pPr>
      <w:r>
        <w:rPr>
          <w:rFonts w:cs="Arial"/>
          <w:color w:val="auto"/>
        </w:rPr>
        <w:t>For Chinese cities, b</w:t>
      </w:r>
      <w:r w:rsidRPr="00E668FC">
        <w:rPr>
          <w:rFonts w:cs="Arial"/>
          <w:color w:val="auto"/>
        </w:rPr>
        <w:t xml:space="preserve">ecause of the nature of China’s Alliance of Pioneer Peaking Cities' peak emissions year targets, we had to calculate the emissions reductions differently. We extrapolated emissions from 2012 until 2030, assuming the rate of change in emissions is identical to the rate of change in population. The population projection time series data is obtained from UN World Urbanization Prospects </w:t>
      </w:r>
      <w:r w:rsidRPr="00CE0E68">
        <w:rPr>
          <w:rFonts w:cs="Arial"/>
          <w:color w:val="auto"/>
        </w:rPr>
        <w:fldChar w:fldCharType="begin" w:fldLock="1"/>
      </w:r>
      <w:r w:rsidRPr="00E668FC">
        <w:rPr>
          <w:rFonts w:cs="Arial"/>
          <w:color w:val="auto"/>
        </w:rPr>
        <w:instrText>ADDIN CSL_CITATION {"citationItems":[{"id":"ITEM-1","itemData":{"DOI":"10.4054/DemRes.2005.12.9","ISBN":"9789211515176","ISSN":"1435-9871","PMID":"25246403","abstract":"Department of Economic &amp; Social Affairs","author":[{"dropping-particle":"","family":"UN DESA","given":"","non-dropping-particle":"","parse-names":false,"suffix":""}],"container-title":"Undesa","id":"ITEM-1","issued":{"date-parts":[["2014"]]},"number-of-pages":"32","title":"World Urbanization Prospects","type":"report"},"uris":["http://www.mendeley.com/documents/?uuid=c22fb0e7-d2ac-4889-9a9b-9d17263fd642"]}],"mendeley":{"formattedCitation":"(UN DESA, 2014)","plainTextFormattedCitation":"(UN DESA, 2014)","previouslyFormattedCitation":"(UN DESA, 2014)"},"properties":{"noteIndex":0},"schema":"https://github.com/citation-style-language/schema/raw/master/csl-citation.json"}</w:instrText>
      </w:r>
      <w:r w:rsidRPr="00CE0E68">
        <w:rPr>
          <w:rFonts w:cs="Arial"/>
          <w:color w:val="auto"/>
        </w:rPr>
        <w:fldChar w:fldCharType="separate"/>
      </w:r>
      <w:r w:rsidRPr="007A5844">
        <w:rPr>
          <w:rFonts w:cs="Arial"/>
          <w:noProof/>
          <w:color w:val="auto"/>
        </w:rPr>
        <w:t>(UN DESA, 2014)</w:t>
      </w:r>
      <w:r w:rsidRPr="00CE0E68">
        <w:rPr>
          <w:rFonts w:cs="Arial"/>
          <w:color w:val="auto"/>
        </w:rPr>
        <w:fldChar w:fldCharType="end"/>
      </w:r>
      <w:r w:rsidRPr="00E668FC">
        <w:rPr>
          <w:rFonts w:cs="Arial"/>
          <w:color w:val="auto"/>
        </w:rPr>
        <w:t>. For two Chinese cities (</w:t>
      </w:r>
      <w:proofErr w:type="spellStart"/>
      <w:r w:rsidRPr="00E668FC">
        <w:rPr>
          <w:rFonts w:cs="Arial"/>
          <w:color w:val="auto"/>
        </w:rPr>
        <w:t>Nanping</w:t>
      </w:r>
      <w:proofErr w:type="spellEnd"/>
      <w:r w:rsidRPr="00E668FC">
        <w:rPr>
          <w:rFonts w:cs="Arial"/>
          <w:color w:val="auto"/>
        </w:rPr>
        <w:t xml:space="preserve"> and </w:t>
      </w:r>
      <w:proofErr w:type="spellStart"/>
      <w:r w:rsidRPr="00E668FC">
        <w:rPr>
          <w:rFonts w:cs="Arial"/>
          <w:color w:val="auto"/>
        </w:rPr>
        <w:t>Jinchang</w:t>
      </w:r>
      <w:proofErr w:type="spellEnd"/>
      <w:r w:rsidRPr="00E668FC">
        <w:rPr>
          <w:rFonts w:cs="Arial"/>
          <w:color w:val="auto"/>
        </w:rPr>
        <w:t>) and two provinces (Sichuan and Hainan) that did not have population projections available, we used national level emissions growth rates based on the TIMER BAU model to extrapolate future emissions pathway.</w:t>
      </w:r>
      <w:r w:rsidR="004133F6">
        <w:rPr>
          <w:rFonts w:cs="Arial"/>
          <w:color w:val="auto"/>
        </w:rPr>
        <w:t xml:space="preserve"> </w:t>
      </w:r>
      <w:r w:rsidRPr="00E668FC">
        <w:rPr>
          <w:rFonts w:cs="Arial"/>
          <w:color w:val="auto"/>
        </w:rPr>
        <w:t>After the last target year, we assumed that the emission levels follow current national policies scenario emission projections until 2030. For subnational actors that report inventory-year emissions that are lower than the estimated target-year emissions, we assumed that these actors have achieved their target emissions reductions in the inventory year and then assumed a constant emissions level after the inventory year (i.e., no additional reductions are assumed).</w:t>
      </w:r>
    </w:p>
    <w:p w14:paraId="2AABEFAD" w14:textId="77777777" w:rsidR="00D465EC" w:rsidRPr="00E668FC" w:rsidRDefault="00D465EC" w:rsidP="005F281B">
      <w:pPr>
        <w:spacing w:line="360" w:lineRule="auto"/>
        <w:rPr>
          <w:rFonts w:cs="Arial"/>
          <w:color w:val="auto"/>
        </w:rPr>
      </w:pPr>
    </w:p>
    <w:p w14:paraId="47C1B8CF" w14:textId="77777777" w:rsidR="005F281B" w:rsidRPr="00E668FC" w:rsidRDefault="005F281B" w:rsidP="005F281B">
      <w:pPr>
        <w:pStyle w:val="Heading2"/>
        <w:numPr>
          <w:ilvl w:val="0"/>
          <w:numId w:val="0"/>
        </w:numPr>
        <w:ind w:left="576" w:hanging="576"/>
      </w:pPr>
      <w:r w:rsidRPr="00E668FC">
        <w:br w:type="page"/>
      </w:r>
    </w:p>
    <w:p w14:paraId="6DDBBBFB" w14:textId="77777777" w:rsidR="005F281B" w:rsidRPr="00E668FC" w:rsidRDefault="005F281B" w:rsidP="005F281B">
      <w:pPr>
        <w:pStyle w:val="Heading1"/>
        <w:numPr>
          <w:ilvl w:val="0"/>
          <w:numId w:val="0"/>
        </w:numPr>
        <w:ind w:left="432" w:hanging="432"/>
      </w:pPr>
      <w:bookmarkStart w:id="3" w:name="_Toc34169185"/>
      <w:r>
        <w:lastRenderedPageBreak/>
        <w:t>S2</w:t>
      </w:r>
      <w:r w:rsidRPr="00E668FC">
        <w:t>: Detailed methods on the companies’ commitments dataset preparation</w:t>
      </w:r>
      <w:bookmarkEnd w:id="3"/>
    </w:p>
    <w:p w14:paraId="21C783C5" w14:textId="77777777" w:rsidR="005F281B" w:rsidRDefault="005F281B" w:rsidP="005F281B">
      <w:pPr>
        <w:spacing w:line="360" w:lineRule="auto"/>
      </w:pPr>
    </w:p>
    <w:p w14:paraId="7E16F281" w14:textId="77777777" w:rsidR="005F281B" w:rsidRDefault="005F281B" w:rsidP="005F281B">
      <w:pPr>
        <w:spacing w:line="360" w:lineRule="auto"/>
      </w:pPr>
      <w:r>
        <w:t xml:space="preserve">CDP used three separate datasets to develop the country-specific climate action dataset used in this analysis. First, there are the </w:t>
      </w:r>
      <w:r w:rsidRPr="00B37666">
        <w:rPr>
          <w:b/>
          <w:bCs/>
        </w:rPr>
        <w:t>raw response data</w:t>
      </w:r>
      <w:r>
        <w:t xml:space="preserve"> that companies provide annually through CDP’s climate change questionnaire at the request of investors or purchasers. These data include targets, reporting year and base year GHG emissions global inventories, and scope 1 and 2 country-level emissions breakdowns for the reporting year.</w:t>
      </w:r>
    </w:p>
    <w:p w14:paraId="51624C2D" w14:textId="77777777" w:rsidR="005F281B" w:rsidRDefault="005F281B" w:rsidP="005F281B">
      <w:pPr>
        <w:spacing w:line="360" w:lineRule="auto"/>
      </w:pPr>
      <w:r>
        <w:t xml:space="preserve">Second, there are two separate datasets that result from CDP’s annual data cleaning processes that follows the disclosure cycle: </w:t>
      </w:r>
    </w:p>
    <w:p w14:paraId="43114A5E" w14:textId="4A81ECB6" w:rsidR="005F281B" w:rsidRDefault="005F281B" w:rsidP="005F281B">
      <w:pPr>
        <w:pStyle w:val="ListParagraph"/>
        <w:numPr>
          <w:ilvl w:val="0"/>
          <w:numId w:val="6"/>
        </w:numPr>
        <w:spacing w:line="360" w:lineRule="auto"/>
      </w:pPr>
      <w:r>
        <w:t xml:space="preserve">The </w:t>
      </w:r>
      <w:r w:rsidRPr="00ED4DE6">
        <w:rPr>
          <w:b/>
          <w:bCs/>
        </w:rPr>
        <w:t>clean and complete dataset (CCDS)</w:t>
      </w:r>
      <w:r>
        <w:t xml:space="preserve"> is the full GHG dataset </w:t>
      </w:r>
      <w:r w:rsidRPr="00ED4DE6">
        <w:fldChar w:fldCharType="begin" w:fldLock="1"/>
      </w:r>
      <w:r w:rsidR="0019581D">
        <w:instrText>ADDIN CSL_CITATION {"citationItems":[{"id":"ITEM-1","itemData":{"author":[{"dropping-particle":"","family":"Sawbridge","given":"Hugh","non-dropping-particle":"","parse-names":false,"suffix":""},{"dropping-particle":"","family":"Griffin","given":"Paul","non-dropping-particle":"","parse-names":false,"suffix":""},{"dropping-particle":"","family":"Vlugt","given":"Ian","non-dropping-particle":"Van der","parse-names":false,"suffix":""},{"dropping-particle":"","family":"Peirano","given":"Jacopo","non-dropping-particle":"","parse-names":false,"suffix":""},{"dropping-particle":"","family":"Shannon","given":"Rebecca","non-dropping-particle":"","parse-names":false,"suffix":""},{"dropping-particle":"","family":"Crocker","given":"Tm","non-dropping-particle":"","parse-names":false,"suffix":""},{"dropping-particle":"","family":"Taylor","given":"Holly","non-dropping-particle":"","parse-names":false,"suffix":""},{"dropping-particle":"","family":"Sharma","given":"Mallika","non-dropping-particle":"","parse-names":false,"suffix":""}],"id":"ITEM-1","issued":{"date-parts":[["2016"]]},"publisher":"CDP","title":"The CDP Clean and Complete Dataset 2016: Summary","type":"report"},"uris":["http://www.mendeley.com/documents/?uuid=00fb1988-59fd-446b-8447-44e78dbcaf88"]},{"id":"ITEM-2","itemData":{"author":[{"dropping-particle":"","family":"Sawbridge","given":"Hugh","non-dropping-particle":"","parse-names":false,"suffix":""},{"dropping-particle":"","family":"Shannon","given":"Rebecca","non-dropping-particle":"","parse-names":false,"suffix":""},{"dropping-particle":"","family":"Griffin","given":"Paul","non-dropping-particle":"","parse-names":false,"suffix":""}],"id":"ITEM-2","issued":{"date-parts":[["2016"]]},"publisher":"CDP","title":"CDP Clean and Complete Dataset 2016. Technical Annex I : Data Cleaning Approach","type":"report"},"uris":["http://www.mendeley.com/documents/?uuid=612b192f-2eeb-4c83-9eed-c869dfbcfddd"]},{"id":"ITEM-3","itemData":{"author":[{"dropping-particle":"","family":"Griffin","given":"Paul","non-dropping-particle":"","parse-names":false,"suffix":""},{"dropping-particle":"","family":"Taylor","given":"Holly","non-dropping-particle":"","parse-names":false,"suffix":""}],"id":"ITEM-3","issued":{"date-parts":[["2016"]]},"publisher":"CDP","title":"The Clean and Complete Dataset 2016. Technical Annex II: Bottom-up Estimation Methodology","type":"report"},"uris":["http://www.mendeley.com/documents/?uuid=9e36bb04-0f5c-4e53-8d9e-5608d3536591"]},{"id":"ITEM-4","itemData":{"author":[{"dropping-particle":"","family":"Sawbridge","given":"Hugh","non-dropping-particle":"","parse-names":false,"suffix":""},{"dropping-particle":"","family":"Shannon","given":"Rebecca","non-dropping-particle":"","parse-names":false,"suffix":""},{"dropping-particle":"","family":"Griffin","given":"Paul","non-dropping-particle":"","parse-names":false,"suffix":""}],"id":"ITEM-4","issued":{"date-parts":[["2016"]]},"publisher":"CDP","title":"CDP Clean and Complete Dataset 2016. Technical Annex III : Statistical Framework","type":"report"},"uris":["http://www.mendeley.com/documents/?uuid=f39c2bfd-84d6-45d6-a785-fca3eb173320"]},{"id":"ITEM-5","itemData":{"author":[{"dropping-particle":"","family":"Sawbridge","given":"Hugh","non-dropping-particle":"","parse-names":false,"suffix":""},{"dropping-particle":"","family":"Griffin","given":"Paul","non-dropping-particle":"","parse-names":false,"suffix":""}],"id":"ITEM-5","issued":{"date-parts":[["2016"]]},"publisher":"CDP","title":"CDP Full GHG Emissions Dataset 2016. Technical Annex IV : Scope 3 Overview and Modelling","type":"report"},"uris":["http://www.mendeley.com/documents/?uuid=0ac99982-0b10-4b4f-9866-ed9ba1b2049d"]}],"mendeley":{"formattedCitation":"(Griffin and Taylor, 2016; Sawbridge et al., 2016a, 2016b, 2016c; Sawbridge and Griffin, 2016)","plainTextFormattedCitation":"(Griffin and Taylor, 2016; Sawbridge et al., 2016a, 2016b, 2016c; Sawbridge and Griffin, 2016)","previouslyFormattedCitation":"(Griffin and Taylor, 2016; Sawbridge and Griffin, 2016; Sawbridge &lt;i&gt;et al.&lt;/i&gt;, 2016; Sawbridge, Shannon and Griffin, 2016a, 2016b)"},"properties":{"noteIndex":0},"schema":"https://github.com/citation-style-language/schema/raw/master/csl-citation.json"}</w:instrText>
      </w:r>
      <w:r w:rsidRPr="00ED4DE6">
        <w:fldChar w:fldCharType="separate"/>
      </w:r>
      <w:r w:rsidR="0019581D" w:rsidRPr="0019581D">
        <w:rPr>
          <w:noProof/>
        </w:rPr>
        <w:t>(Griffin and Taylor, 2016; Sawbridge et al., 2016a, 2016b, 2016c; Sawbridge and Griffin, 2016)</w:t>
      </w:r>
      <w:r w:rsidRPr="00ED4DE6">
        <w:fldChar w:fldCharType="end"/>
      </w:r>
      <w:r>
        <w:t>. The final output includes cleaned emissions data from responding companies, as well as estimated emissions values (see the statistical framework and bottom-up estimation methodology documents) for non-responding companies included in the corporate sample.</w:t>
      </w:r>
    </w:p>
    <w:p w14:paraId="095EC0D5" w14:textId="77777777" w:rsidR="005F281B" w:rsidRDefault="005F281B" w:rsidP="005F281B">
      <w:pPr>
        <w:pStyle w:val="ListParagraph"/>
        <w:numPr>
          <w:ilvl w:val="0"/>
          <w:numId w:val="6"/>
        </w:numPr>
        <w:spacing w:line="360" w:lineRule="auto"/>
      </w:pPr>
      <w:r>
        <w:t xml:space="preserve">The </w:t>
      </w:r>
      <w:r w:rsidRPr="00ED4DE6">
        <w:rPr>
          <w:b/>
          <w:bCs/>
        </w:rPr>
        <w:t>cleaned corporate targets dataset (CCTD)</w:t>
      </w:r>
      <w:r>
        <w:t xml:space="preserve"> uses similar internal consistency checks to validate and clean the data describing emissions reduction and renewable energy targets. This dataset also employs relevant and available emissions data from current and previous years’ responses and CCDS to better contextualize the target data. </w:t>
      </w:r>
    </w:p>
    <w:p w14:paraId="13186633" w14:textId="77777777" w:rsidR="005F281B" w:rsidRDefault="005F281B" w:rsidP="005F281B">
      <w:pPr>
        <w:spacing w:line="360" w:lineRule="auto"/>
      </w:pPr>
      <w:r>
        <w:t xml:space="preserve">The </w:t>
      </w:r>
      <w:r w:rsidRPr="00B37666">
        <w:rPr>
          <w:b/>
          <w:bCs/>
        </w:rPr>
        <w:t>country-specific climate action dataset</w:t>
      </w:r>
      <w:r>
        <w:t xml:space="preserve"> used for this analysis essentially combines the CCTD with the country-level scope 1 / scope 2 emissions breakdowns provided in the raw response data. Elements of the CCTD also incorporate global emissions data from raw responses or the CCDS, based on the approach described in CDP </w:t>
      </w:r>
      <w:r>
        <w:fldChar w:fldCharType="begin" w:fldLock="1"/>
      </w:r>
      <w:r>
        <w:instrText>ADDIN CSL_CITATION {"citationItems":[{"id":"ITEM-1","itemData":{"abstract":"Guidance for integrating the impact of non-state and subnational mitigation actions into national greenhouse gas projections, targets and planning","author":[{"dropping-particle":"","family":"CDP","given":"","non-dropping-particle":"","parse-names":false,"suffix":""}],"container-title":"Non-State and Subnational Action Guidance: Guidance for integrating the impact of non-state and subnational mitigation actions into national greenhouse gas projections, targets and planning","editor":[{"dropping-particle":"","family":"NewClimate Institute","given":"","non-dropping-particle":"","parse-names":false,"suffix":""},{"dropping-particle":"","family":"World Resources Institute","given":"","non-dropping-particle":"","parse-names":false,"suffix":""},{"dropping-particle":"","family":"CDP","given":"","non-dropping-particle":"","parse-names":false,"suffix":""},{"dropping-particle":"","family":"The Climate Group","given":"","non-dropping-particle":"","parse-names":false,"suffix":""}],"id":"ITEM-1","issue":"July","issued":{"date-parts":[["2018"]]},"page":"1-117","publisher":"NewClimate Institute, World Resources Institute, CDP, The Climate Group","title":"Appendix C: Developing climate action datasets","type":"chapter"},"suppress-author":1,"uris":["http://www.mendeley.com/documents/?uuid=c54e18eb-ead7-4813-ac13-513a4c4a2ab6"]}],"mendeley":{"formattedCitation":"(2018)","plainTextFormattedCitation":"(2018)","previouslyFormattedCitation":"(2018)"},"properties":{"noteIndex":0},"schema":"https://github.com/citation-style-language/schema/raw/master/csl-citation.json"}</w:instrText>
      </w:r>
      <w:r>
        <w:fldChar w:fldCharType="separate"/>
      </w:r>
      <w:r w:rsidRPr="00F47A2B">
        <w:rPr>
          <w:noProof/>
        </w:rPr>
        <w:t>(2018)</w:t>
      </w:r>
      <w:r>
        <w:fldChar w:fldCharType="end"/>
      </w:r>
      <w:r>
        <w:t xml:space="preserve"> .</w:t>
      </w:r>
    </w:p>
    <w:p w14:paraId="2A157C8F" w14:textId="77777777" w:rsidR="005F281B" w:rsidRPr="00E668FC" w:rsidRDefault="005F281B" w:rsidP="005F281B">
      <w:pPr>
        <w:spacing w:line="360" w:lineRule="auto"/>
        <w:rPr>
          <w:rFonts w:cs="Arial"/>
          <w:color w:val="auto"/>
        </w:rPr>
      </w:pPr>
      <w:r w:rsidRPr="00E668FC">
        <w:rPr>
          <w:rFonts w:cs="Arial"/>
          <w:color w:val="auto"/>
        </w:rPr>
        <w:t xml:space="preserve">While CDP is not necessarily comprehensive of all corporate global climate action, they report that </w:t>
      </w:r>
      <w:r w:rsidRPr="00E668FC">
        <w:rPr>
          <w:rFonts w:eastAsia="Arial" w:cs="Arial"/>
          <w:color w:val="auto"/>
        </w:rPr>
        <w:t xml:space="preserve">over 6,900 companies responded to their climate change questionnaire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2018","type":"webpage"},"uris":["http://www.mendeley.com/documents/?uuid=eed30db4-639f-481a-ac5a-1534b536ffd6"]}],"mendeley":{"formattedCitation":"(CDP, 2019)","plainTextFormattedCitation":"(CDP, 2019)","previouslyFormattedCitation":"(CDP, 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(CDP, 2019)</w:t>
      </w:r>
      <w:r w:rsidRPr="00CE0E68">
        <w:rPr>
          <w:rFonts w:eastAsia="Arial" w:cs="Arial"/>
          <w:color w:val="auto"/>
        </w:rPr>
        <w:fldChar w:fldCharType="end"/>
      </w:r>
      <w:r w:rsidRPr="00E668FC">
        <w:rPr>
          <w:rFonts w:eastAsia="Arial" w:cs="Arial"/>
          <w:color w:val="auto"/>
        </w:rPr>
        <w:t xml:space="preserve">. Of these companies, about half reported that they had an absolute or intensity GHG emissions reduction target in place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2018","type":"webpage"},"uris":["http://www.mendeley.com/documents/?uuid=eed30db4-639f-481a-ac5a-1534b536ffd6"]}],"mendeley":{"formattedCitation":"(CDP, 2019)","plainTextFormattedCitation":"(CDP, 2019)","previouslyFormattedCitation":"(CDP, 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(CDP, 2019)</w:t>
      </w:r>
      <w:r w:rsidRPr="00CE0E68">
        <w:rPr>
          <w:rFonts w:eastAsia="Arial" w:cs="Arial"/>
          <w:color w:val="auto"/>
        </w:rPr>
        <w:fldChar w:fldCharType="end"/>
      </w:r>
      <w:r w:rsidRPr="00E668FC">
        <w:rPr>
          <w:rFonts w:eastAsia="Arial" w:cs="Arial"/>
          <w:color w:val="auto"/>
        </w:rPr>
        <w:t xml:space="preserve">. </w:t>
      </w:r>
    </w:p>
    <w:p w14:paraId="15583F1C" w14:textId="77777777" w:rsidR="005F281B" w:rsidRPr="00E668FC" w:rsidRDefault="005F281B" w:rsidP="005F281B">
      <w:pPr>
        <w:spacing w:line="360" w:lineRule="auto"/>
        <w:rPr>
          <w:rFonts w:cs="Arial"/>
          <w:color w:val="auto"/>
        </w:rPr>
      </w:pPr>
      <w:r w:rsidRPr="00E668FC">
        <w:rPr>
          <w:rFonts w:cs="Arial"/>
          <w:color w:val="auto"/>
          <w:szCs w:val="20"/>
        </w:rPr>
        <w:t>The CDP questionnaire for companies encourages the use of GWPs from</w:t>
      </w:r>
      <w:r w:rsidRPr="00E668FC">
        <w:rPr>
          <w:rFonts w:cs="Arial"/>
          <w:color w:val="auto"/>
        </w:rPr>
        <w:t xml:space="preserve"> the IPCC’s Fifth Assessment Report (AR5) </w:t>
      </w:r>
      <w:r w:rsidRPr="00CE0E68">
        <w:rPr>
          <w:rFonts w:cs="Arial"/>
          <w:color w:val="auto"/>
        </w:rPr>
        <w:fldChar w:fldCharType="begin" w:fldLock="1"/>
      </w:r>
      <w:r w:rsidRPr="00E668FC">
        <w:rPr>
          <w:rFonts w:cs="Arial"/>
          <w:color w:val="auto"/>
        </w:rPr>
        <w:instrText>ADDIN CSL_CITATION {"citationItems":[{"id":"ITEM-1","itemData":{"author":[{"dropping-particle":"","family":"IPCC","given":"","non-dropping-particle":"","parse-names":false,"suffix":""}],"editor":[{"dropping-particle":"","family":"Pachauri","given":"R.K.","non-dropping-particle":"","parse-names":false,"suffix":""},{"dropping-particle":"","family":"Meyer","given":"L.A.","non-dropping-particle":"","parse-names":false,"suffix":""}],"id":"ITEM-1","issued":{"date-parts":[["2014"]]},"publisher":"IPCC","publisher-place":"Geneva, Switzerland, Switzerland","title":"Climate Change 2014: Synthesis Report. Contribution of Working Groups I, II and III to the Fifth Assessment Report of the Intergovernmental Panel on Climate Change.","type":"report"},"uris":["http://www.mendeley.com/documents/?uuid=db7a04a2-e924-4222-9012-319181b8e232","http://www.mendeley.com/documents/?uuid=7bff9440-487c-4769-b84e-ce6969b0b570","http://www.mendeley.com/documents/?uuid=66c787aa-9390-4df5-a2f5-08c951a02723"]}],"mendeley":{"formattedCitation":"(IPCC, 2014)","plainTextFormattedCitation":"(IPCC, 2014)","previouslyFormattedCitation":"(IPCC, 2014)"},"properties":{"noteIndex":0},"schema":"https://github.com/citation-style-language/schema/raw/master/csl-citation.json"}</w:instrText>
      </w:r>
      <w:r w:rsidRPr="00CE0E68">
        <w:rPr>
          <w:rFonts w:cs="Arial"/>
          <w:color w:val="auto"/>
        </w:rPr>
        <w:fldChar w:fldCharType="separate"/>
      </w:r>
      <w:r w:rsidRPr="0041607A">
        <w:rPr>
          <w:rFonts w:cs="Arial"/>
          <w:noProof/>
          <w:color w:val="auto"/>
        </w:rPr>
        <w:t>(IPCC, 2014)</w:t>
      </w:r>
      <w:r w:rsidRPr="00CE0E68">
        <w:rPr>
          <w:rFonts w:cs="Arial"/>
          <w:color w:val="auto"/>
        </w:rPr>
        <w:fldChar w:fldCharType="end"/>
      </w:r>
      <w:r w:rsidRPr="00E668FC">
        <w:rPr>
          <w:rFonts w:cs="Arial"/>
          <w:color w:val="auto"/>
        </w:rPr>
        <w:t xml:space="preserve"> for reporting emissions. We consider these data to be comparable with that reported in terms of AR4 GWPs as most companies are categorised to be emitting predominantly CO</w:t>
      </w:r>
      <w:r w:rsidRPr="00E668FC">
        <w:rPr>
          <w:rFonts w:cs="Arial"/>
          <w:color w:val="auto"/>
          <w:vertAlign w:val="subscript"/>
        </w:rPr>
        <w:t>2</w:t>
      </w:r>
      <w:r w:rsidRPr="00E668FC">
        <w:rPr>
          <w:rFonts w:cs="Arial"/>
          <w:color w:val="auto"/>
        </w:rPr>
        <w:t>, with only a minimal amount of tracked emissions (&lt;1%) coming from non-CO</w:t>
      </w:r>
      <w:r w:rsidRPr="00E668FC">
        <w:rPr>
          <w:rFonts w:cs="Arial"/>
          <w:color w:val="auto"/>
          <w:vertAlign w:val="subscript"/>
        </w:rPr>
        <w:t>2</w:t>
      </w:r>
      <w:r w:rsidRPr="00E668FC">
        <w:rPr>
          <w:rFonts w:cs="Arial"/>
          <w:color w:val="auto"/>
        </w:rPr>
        <w:t xml:space="preserve"> emissions from the waste sector.   </w:t>
      </w:r>
    </w:p>
    <w:p w14:paraId="7579E1BF" w14:textId="77777777" w:rsidR="005F281B" w:rsidRPr="00E668FC" w:rsidRDefault="005F281B" w:rsidP="005F281B">
      <w:pPr>
        <w:spacing w:line="360" w:lineRule="auto"/>
        <w:rPr>
          <w:rFonts w:cs="Arial"/>
          <w:color w:val="auto"/>
        </w:rPr>
      </w:pPr>
      <w:r>
        <w:rPr>
          <w:rFonts w:cs="Arial"/>
          <w:color w:val="auto"/>
        </w:rPr>
        <w:t>The current reporting</w:t>
      </w:r>
      <w:r w:rsidRPr="00E668FC">
        <w:rPr>
          <w:rFonts w:cs="Arial"/>
          <w:color w:val="auto"/>
        </w:rPr>
        <w:t xml:space="preserve"> year (inventory) emission values were calculated as the sum of total scope 1 and 2 emissions in the country of operation, while target year emission values were calculated using the company’s target percentage in emissions reduction for absolute targets, anticipated emissions reduction for emission intensity targets. </w:t>
      </w:r>
    </w:p>
    <w:p w14:paraId="5FD64EA7" w14:textId="77777777" w:rsidR="005F281B" w:rsidRPr="00E668FC" w:rsidRDefault="005F281B" w:rsidP="005F281B">
      <w:pPr>
        <w:spacing w:line="360" w:lineRule="auto"/>
        <w:rPr>
          <w:rFonts w:eastAsia="Arial" w:cs="Arial"/>
          <w:color w:val="auto"/>
        </w:rPr>
      </w:pPr>
      <w:r w:rsidRPr="00E668FC">
        <w:rPr>
          <w:rFonts w:eastAsia="Arial" w:cs="Arial"/>
          <w:color w:val="auto"/>
        </w:rPr>
        <w:lastRenderedPageBreak/>
        <w:t>As some companies make multiple commitments, we selected one reduction target from</w:t>
      </w:r>
      <w:r w:rsidRPr="00E668FC" w:rsidDel="002261A2">
        <w:rPr>
          <w:rFonts w:eastAsia="Arial" w:cs="Arial"/>
          <w:color w:val="auto"/>
        </w:rPr>
        <w:t xml:space="preserve"> </w:t>
      </w:r>
      <w:r w:rsidRPr="00E668FC">
        <w:rPr>
          <w:rFonts w:eastAsia="Arial" w:cs="Arial"/>
          <w:color w:val="auto"/>
        </w:rPr>
        <w:t>the dataset, for each country branch, based on the following priority order:</w:t>
      </w:r>
    </w:p>
    <w:p w14:paraId="3B9436A8" w14:textId="77777777" w:rsidR="005F281B" w:rsidRPr="00E668FC" w:rsidRDefault="005F281B" w:rsidP="005F281B">
      <w:pPr>
        <w:pStyle w:val="ListParagraph"/>
        <w:numPr>
          <w:ilvl w:val="0"/>
          <w:numId w:val="1"/>
        </w:numPr>
        <w:spacing w:line="360" w:lineRule="auto"/>
      </w:pPr>
      <w:r w:rsidRPr="00E668FC">
        <w:t>Target years after 2017 were preferred to those before 2017</w:t>
      </w:r>
    </w:p>
    <w:p w14:paraId="4001AAA4" w14:textId="77777777" w:rsidR="005F281B" w:rsidRPr="00E668FC" w:rsidRDefault="005F281B" w:rsidP="005F281B">
      <w:pPr>
        <w:pStyle w:val="ListParagraph"/>
        <w:numPr>
          <w:ilvl w:val="0"/>
          <w:numId w:val="1"/>
        </w:numPr>
        <w:spacing w:line="360" w:lineRule="auto"/>
      </w:pPr>
      <w:r w:rsidRPr="00E668FC">
        <w:t>Absolute emission reduction targets were preferred to intensity targets</w:t>
      </w:r>
    </w:p>
    <w:p w14:paraId="1AFC26BA" w14:textId="77777777" w:rsidR="005F281B" w:rsidRPr="00E668FC" w:rsidRDefault="005F281B" w:rsidP="005F281B">
      <w:pPr>
        <w:pStyle w:val="ListParagraph"/>
        <w:numPr>
          <w:ilvl w:val="0"/>
          <w:numId w:val="1"/>
        </w:numPr>
        <w:spacing w:line="360" w:lineRule="auto"/>
      </w:pPr>
      <w:r w:rsidRPr="00E668FC">
        <w:t>scopes preferred in order of “scope 1+2”, “scope1+2+3”, “scope 1”, “scope 1+3”, “scope 2”, “scope 2+3”</w:t>
      </w:r>
    </w:p>
    <w:p w14:paraId="56667C8B" w14:textId="77777777" w:rsidR="005F281B" w:rsidRPr="00E668FC" w:rsidRDefault="005F281B" w:rsidP="005F281B">
      <w:pPr>
        <w:pStyle w:val="ListParagraph"/>
        <w:numPr>
          <w:ilvl w:val="0"/>
          <w:numId w:val="1"/>
        </w:numPr>
        <w:spacing w:line="360" w:lineRule="auto"/>
      </w:pPr>
      <w:r w:rsidRPr="00E668FC">
        <w:t>Targets closest just before and closest to 2030 are preferred</w:t>
      </w:r>
    </w:p>
    <w:p w14:paraId="34C4CB92" w14:textId="77777777" w:rsidR="005F281B" w:rsidRPr="00E668FC" w:rsidRDefault="005F281B" w:rsidP="005F281B">
      <w:pPr>
        <w:spacing w:line="360" w:lineRule="auto"/>
        <w:rPr>
          <w:rFonts w:cs="Arial"/>
          <w:color w:val="auto"/>
        </w:rPr>
      </w:pPr>
      <w:r w:rsidRPr="00E668FC">
        <w:rPr>
          <w:rFonts w:cs="Arial"/>
          <w:color w:val="auto"/>
        </w:rPr>
        <w:t>Those records from the CDP dataset that were reported as “poor quality” or reported higher company GHG emissions from the operating branch than the total company were removed from the dataset.</w:t>
      </w:r>
    </w:p>
    <w:p w14:paraId="7CC2692A" w14:textId="77777777" w:rsidR="005F281B" w:rsidRPr="00997A97" w:rsidRDefault="005F281B" w:rsidP="005F281B">
      <w:pPr>
        <w:spacing w:line="360" w:lineRule="auto"/>
        <w:rPr>
          <w:rFonts w:cs="Arial"/>
          <w:color w:val="auto"/>
        </w:rPr>
      </w:pPr>
      <w:r w:rsidRPr="00997A97">
        <w:rPr>
          <w:rFonts w:cs="Arial"/>
          <w:color w:val="auto"/>
        </w:rPr>
        <w:t xml:space="preserve">Based on historical emissions and the selected commitments, an emission pathway was constructed of each company branch. This pathway consists of interpolated emissions between base year, start year and the selected target year. If the target year is before 2030, emission growth in line with the current policies scenario is assumed. </w:t>
      </w:r>
    </w:p>
    <w:p w14:paraId="49497B40" w14:textId="77777777" w:rsidR="005F281B" w:rsidRPr="00E668FC" w:rsidRDefault="005F281B" w:rsidP="005F281B">
      <w:pPr>
        <w:spacing w:line="360" w:lineRule="auto"/>
        <w:rPr>
          <w:rFonts w:cs="Arial"/>
          <w:color w:val="auto"/>
        </w:rPr>
      </w:pPr>
      <w:r w:rsidRPr="00E668FC">
        <w:rPr>
          <w:rFonts w:cs="Arial"/>
          <w:color w:val="auto"/>
        </w:rPr>
        <w:t>As with subnational actor commitments, we assumed a linear interpolation of emission levels between the starting year (2016) and the short- to mid-term target year (between 2016 and 2030), as well as between the short- to mid-term target year and the long-term target year. After the last target year, we assumed that the emission levels follow current national policies scenario emission projections until 2030.</w:t>
      </w:r>
    </w:p>
    <w:p w14:paraId="230A1DFE" w14:textId="1E507236" w:rsidR="005F281B" w:rsidRPr="00E668FC" w:rsidRDefault="005F281B" w:rsidP="005F281B">
      <w:pPr>
        <w:spacing w:line="360" w:lineRule="auto"/>
        <w:rPr>
          <w:rFonts w:eastAsia="Arial" w:cs="Arial"/>
        </w:rPr>
      </w:pPr>
      <w:r w:rsidRPr="00E668FC">
        <w:rPr>
          <w:rFonts w:cs="Arial"/>
          <w:color w:val="auto"/>
        </w:rPr>
        <w:t>We also collected company-level revenue data to estimate the aggregate scale of companies with commitments in economic terms. The revenue data were collected from the 2019 Fortune Global 500</w:t>
      </w:r>
      <w:r>
        <w:rPr>
          <w:rFonts w:cs="Arial"/>
          <w:color w:val="auto"/>
        </w:rPr>
        <w:t xml:space="preserve"> </w:t>
      </w:r>
      <w:r>
        <w:rPr>
          <w:rFonts w:cs="Arial"/>
          <w:color w:val="auto"/>
        </w:rPr>
        <w:fldChar w:fldCharType="begin" w:fldLock="1"/>
      </w:r>
      <w:r>
        <w:rPr>
          <w:rFonts w:cs="Arial"/>
          <w:color w:val="auto"/>
        </w:rPr>
        <w:instrText>ADDIN CSL_CITATION {"citationItems":[{"id":"ITEM-1","itemData":{"URL":"https://fortune.com/global500/2019/","accessed":{"date-parts":[["2019","10","20"]]},"author":[{"dropping-particle":"","family":"Fortune","given":"","non-dropping-particle":"","parse-names":false,"suffix":""}],"id":"ITEM-1","issued":{"date-parts":[["2019"]]},"publisher":"Fortune","title":"Fortune Global 500","type":"webpage"},"uris":["http://www.mendeley.com/documents/?uuid=6981afd5-9f3a-4980-a4bc-e64cda3b2e14"]}],"mendeley":{"formattedCitation":"(Fortune, 2019)","plainTextFormattedCitation":"(Fortune, 2019)","previouslyFormattedCitation":"(Fortune, 2019)"},"properties":{"noteIndex":0},"schema":"https://github.com/citation-style-language/schema/raw/master/csl-citation.json"}</w:instrText>
      </w:r>
      <w:r>
        <w:rPr>
          <w:rFonts w:cs="Arial"/>
          <w:color w:val="auto"/>
        </w:rPr>
        <w:fldChar w:fldCharType="separate"/>
      </w:r>
      <w:r w:rsidRPr="008901B5">
        <w:rPr>
          <w:rFonts w:cs="Arial"/>
          <w:noProof/>
          <w:color w:val="auto"/>
        </w:rPr>
        <w:t>(Fortune, 2019)</w:t>
      </w:r>
      <w:r>
        <w:rPr>
          <w:rFonts w:cs="Arial"/>
          <w:color w:val="auto"/>
        </w:rPr>
        <w:fldChar w:fldCharType="end"/>
      </w:r>
      <w:r w:rsidRPr="00E668FC">
        <w:rPr>
          <w:rFonts w:cs="Arial"/>
          <w:color w:val="auto"/>
        </w:rPr>
        <w:t>, Forbes Global 2000</w:t>
      </w:r>
      <w:r>
        <w:rPr>
          <w:rFonts w:cs="Arial"/>
          <w:color w:val="auto"/>
        </w:rPr>
        <w:t xml:space="preserve"> </w:t>
      </w:r>
      <w:r>
        <w:rPr>
          <w:rFonts w:cs="Arial"/>
          <w:color w:val="auto"/>
        </w:rPr>
        <w:fldChar w:fldCharType="begin" w:fldLock="1"/>
      </w:r>
      <w:r w:rsidR="0019581D">
        <w:rPr>
          <w:rFonts w:cs="Arial"/>
          <w:color w:val="auto"/>
        </w:rPr>
        <w:instrText>ADDIN CSL_CITATION {"citationItems":[{"id":"ITEM-1","itemData":{"URL":"https://www.forbes.com/global2000/#1309417e335d","accessed":{"date-parts":[["2019","10","20"]]},"author":[{"dropping-particle":"","family":"Murphy","given":"Andrea","non-dropping-particle":"","parse-names":false,"suffix":""},{"dropping-particle":"","family":"Ponciano","given":"Jonathan","non-dropping-particle":"","parse-names":false,"suffix":""},{"dropping-particle":"","family":"Hansen","given":"Sarah","non-dropping-particle":"","parse-names":false,"suffix":""},{"dropping-particle":"","family":"Touryalai","given":"Halah","non-dropping-particle":"","parse-names":false,"suffix":""}],"id":"ITEM-1","issued":{"date-parts":[["2019"]]},"publisher":"Forbes","title":"GLOBAL 2000: The World's Largest Public Companies","type":"webpage"},"uris":["http://www.mendeley.com/documents/?uuid=be7db4d5-a0c9-42e3-94f3-240916eb5c58"]}],"mendeley":{"formattedCitation":"(Murphy et al., 2019)","plainTextFormattedCitation":"(Murphy et al., 2019)","previouslyFormattedCitation":"(Murphy &lt;i&gt;et al.&lt;/i&gt;, 2019)"},"properties":{"noteIndex":0},"schema":"https://github.com/citation-style-language/schema/raw/master/csl-citation.json"}</w:instrText>
      </w:r>
      <w:r>
        <w:rPr>
          <w:rFonts w:cs="Arial"/>
          <w:color w:val="auto"/>
        </w:rPr>
        <w:fldChar w:fldCharType="separate"/>
      </w:r>
      <w:r w:rsidRPr="0019581D">
        <w:rPr>
          <w:rFonts w:cs="Arial"/>
          <w:noProof/>
          <w:color w:val="auto"/>
        </w:rPr>
        <w:t>(Murphy et al., 2019)</w:t>
      </w:r>
      <w:r>
        <w:rPr>
          <w:rFonts w:cs="Arial"/>
          <w:color w:val="auto"/>
        </w:rPr>
        <w:fldChar w:fldCharType="end"/>
      </w:r>
      <w:r w:rsidRPr="00E668FC">
        <w:rPr>
          <w:rFonts w:cs="Arial"/>
          <w:color w:val="auto"/>
        </w:rPr>
        <w:t>, and Hoovers datasets</w:t>
      </w:r>
      <w:r>
        <w:rPr>
          <w:rFonts w:cs="Arial"/>
          <w:color w:val="auto"/>
        </w:rPr>
        <w:t xml:space="preserve"> </w:t>
      </w:r>
      <w:r>
        <w:rPr>
          <w:rFonts w:cs="Arial"/>
          <w:color w:val="auto"/>
        </w:rPr>
        <w:fldChar w:fldCharType="begin" w:fldLock="1"/>
      </w:r>
      <w:r>
        <w:rPr>
          <w:rFonts w:cs="Arial"/>
          <w:color w:val="auto"/>
        </w:rPr>
        <w:instrText>ADDIN CSL_CITATION {"citationItems":[{"id":"ITEM-1","itemData":{"URL":"http://www.hoovers.com/company-information/company-search.html","accessed":{"date-parts":[["2019","10","20"]]},"author":[{"dropping-particle":"","family":"D&amp;B Hoovers","given":"","non-dropping-particle":"","parse-names":false,"suffix":""}],"id":"ITEM-1","issued":{"date-parts":[["2019"]]},"publisher":"D&amp;B Hoovers","title":"Company Search Database","type":"webpage"},"uris":["http://www.mendeley.com/documents/?uuid=828f3748-35f3-43be-9a72-89cecc5c4794"]}],"mendeley":{"formattedCitation":"(D&amp;B Hoovers, 2019)","plainTextFormattedCitation":"(D&amp;B Hoovers, 2019)","previouslyFormattedCitation":"(D&amp;B Hoovers, 2019)"},"properties":{"noteIndex":0},"schema":"https://github.com/citation-style-language/schema/raw/master/csl-citation.json"}</w:instrText>
      </w:r>
      <w:r>
        <w:rPr>
          <w:rFonts w:cs="Arial"/>
          <w:color w:val="auto"/>
        </w:rPr>
        <w:fldChar w:fldCharType="separate"/>
      </w:r>
      <w:r w:rsidRPr="008901B5">
        <w:rPr>
          <w:rFonts w:cs="Arial"/>
          <w:noProof/>
          <w:color w:val="auto"/>
        </w:rPr>
        <w:t>(D&amp;B Hoovers, 2019)</w:t>
      </w:r>
      <w:r>
        <w:rPr>
          <w:rFonts w:cs="Arial"/>
          <w:color w:val="auto"/>
        </w:rPr>
        <w:fldChar w:fldCharType="end"/>
      </w:r>
      <w:r>
        <w:rPr>
          <w:rFonts w:cs="Arial"/>
          <w:color w:val="auto"/>
        </w:rPr>
        <w:t xml:space="preserve">, </w:t>
      </w:r>
      <w:r w:rsidRPr="00E668FC">
        <w:rPr>
          <w:rFonts w:cs="Arial"/>
          <w:color w:val="auto"/>
        </w:rPr>
        <w:t xml:space="preserve">supplemented, when possible, with desk research. </w:t>
      </w:r>
      <w:r w:rsidRPr="00E668FC">
        <w:rPr>
          <w:rFonts w:eastAsia="Arial" w:cs="Arial"/>
        </w:rPr>
        <w:t>Companies’ combined revenue estimated for each country reflects companies making quantif</w:t>
      </w:r>
      <w:r w:rsidRPr="00E668FC">
        <w:t>iable commitments to reduce GHG emissions, whose headquarters are in that country, and whose revenue data is publicly available.</w:t>
      </w:r>
      <w:r w:rsidRPr="00E668FC">
        <w:rPr>
          <w:rFonts w:eastAsia="Arial" w:cs="Arial"/>
        </w:rPr>
        <w:t xml:space="preserve"> </w:t>
      </w:r>
    </w:p>
    <w:p w14:paraId="562D67A6" w14:textId="77777777" w:rsidR="005F281B" w:rsidRPr="00E668FC" w:rsidRDefault="005F281B" w:rsidP="005F281B">
      <w:pPr>
        <w:pStyle w:val="Heading2"/>
        <w:numPr>
          <w:ilvl w:val="0"/>
          <w:numId w:val="0"/>
        </w:numPr>
      </w:pPr>
      <w:r w:rsidRPr="00E668FC">
        <w:br w:type="page"/>
      </w:r>
    </w:p>
    <w:p w14:paraId="26EE24FF" w14:textId="77777777" w:rsidR="005F281B" w:rsidRDefault="005F281B" w:rsidP="005F281B">
      <w:pPr>
        <w:pStyle w:val="Heading1"/>
        <w:numPr>
          <w:ilvl w:val="0"/>
          <w:numId w:val="0"/>
        </w:numPr>
        <w:ind w:left="432" w:hanging="432"/>
      </w:pPr>
      <w:bookmarkStart w:id="4" w:name="_Toc34169186"/>
      <w:bookmarkStart w:id="5" w:name="_Ref521925418"/>
      <w:bookmarkStart w:id="6" w:name="_Toc20406857"/>
      <w:r>
        <w:lastRenderedPageBreak/>
        <w:t xml:space="preserve">S3: Additional information on the calculation of net aggregate GHG impact </w:t>
      </w:r>
      <w:r w:rsidRPr="00511A50">
        <w:rPr>
          <w:rFonts w:cs="Arial"/>
        </w:rPr>
        <w:t>of commitments</w:t>
      </w:r>
      <w:bookmarkEnd w:id="4"/>
    </w:p>
    <w:p w14:paraId="190E0E60" w14:textId="77777777" w:rsidR="005F281B" w:rsidRDefault="005F281B" w:rsidP="005F281B">
      <w:pPr>
        <w:pStyle w:val="Heading2"/>
        <w:numPr>
          <w:ilvl w:val="0"/>
          <w:numId w:val="0"/>
        </w:numPr>
        <w:ind w:left="576" w:hanging="576"/>
      </w:pPr>
      <w:bookmarkStart w:id="7" w:name="_Toc34169187"/>
      <w:r>
        <w:t>S3.1: Quantification of total e</w:t>
      </w:r>
      <w:r w:rsidRPr="00E668FC">
        <w:t>missions from subnational actors and companies with commitments after accounting for overlaps</w:t>
      </w:r>
      <w:bookmarkEnd w:id="5"/>
      <w:bookmarkEnd w:id="6"/>
      <w:bookmarkEnd w:id="7"/>
    </w:p>
    <w:p w14:paraId="4B4A3425" w14:textId="77777777" w:rsidR="005F281B" w:rsidRPr="0098582C" w:rsidRDefault="005F281B" w:rsidP="005F281B"/>
    <w:p w14:paraId="78BF3CEA" w14:textId="77777777" w:rsidR="005F281B" w:rsidRPr="00E668FC" w:rsidRDefault="005F281B" w:rsidP="005F281B">
      <w:pPr>
        <w:spacing w:line="360" w:lineRule="auto"/>
        <w:rPr>
          <w:rFonts w:cs="Arial"/>
          <w:color w:val="auto"/>
        </w:rPr>
      </w:pPr>
      <w:r>
        <w:rPr>
          <w:rFonts w:cs="Arial"/>
          <w:color w:val="auto"/>
        </w:rPr>
        <w:t>T</w:t>
      </w:r>
      <w:r w:rsidRPr="00E668FC">
        <w:rPr>
          <w:rFonts w:cs="Arial"/>
          <w:color w:val="auto"/>
        </w:rPr>
        <w:t xml:space="preserve">he total GHG emissions from individual actors’ commitments </w:t>
      </w:r>
      <w:r>
        <w:rPr>
          <w:rFonts w:cs="Arial"/>
          <w:color w:val="auto"/>
        </w:rPr>
        <w:t>(</w:t>
      </w:r>
      <w:r w:rsidRPr="00CF5AF0">
        <w:rPr>
          <w:rFonts w:cs="Arial"/>
          <w:i/>
          <w:iCs/>
          <w:color w:val="auto"/>
        </w:rPr>
        <w:t>E</w:t>
      </w:r>
      <w:r w:rsidRPr="00CF5AF0">
        <w:rPr>
          <w:rFonts w:cs="Arial"/>
          <w:color w:val="auto"/>
          <w:vertAlign w:val="subscript"/>
        </w:rPr>
        <w:t>NSA</w:t>
      </w:r>
      <w:r>
        <w:rPr>
          <w:rFonts w:cs="Arial"/>
          <w:color w:val="auto"/>
        </w:rPr>
        <w:t xml:space="preserve">(t)) </w:t>
      </w:r>
      <w:r w:rsidRPr="00E668FC">
        <w:rPr>
          <w:rFonts w:cs="Arial"/>
          <w:color w:val="auto"/>
        </w:rPr>
        <w:t>are calculated as:</w:t>
      </w:r>
    </w:p>
    <w:p w14:paraId="5B90D62A" w14:textId="793B2E3F" w:rsidR="005F281B" w:rsidRPr="00E668FC" w:rsidRDefault="00DB035B" w:rsidP="005F281B">
      <w:pPr>
        <w:spacing w:line="360" w:lineRule="auto"/>
        <w:rPr>
          <w:rFonts w:cs="Arial"/>
          <w:color w:val="auto"/>
        </w:rPr>
      </w:pPr>
      <m:oMath>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NSA</m:t>
            </m:r>
          </m:sub>
        </m:sSub>
        <m:r>
          <m:rPr>
            <m:sty m:val="p"/>
          </m:rPr>
          <w:rPr>
            <w:rFonts w:ascii="Cambria Math" w:hAnsi="Cambria Math" w:cs="Arial"/>
            <w:color w:val="auto"/>
            <w:sz w:val="18"/>
          </w:rPr>
          <m:t>(t)</m:t>
        </m:r>
        <m:r>
          <w:rPr>
            <w:rFonts w:ascii="Cambria Math" w:hAnsi="Cambria Math" w:cs="Arial"/>
            <w:color w:val="auto"/>
            <w:sz w:val="18"/>
          </w:rPr>
          <m:t>=</m:t>
        </m:r>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R</m:t>
            </m:r>
          </m:sub>
        </m:sSub>
        <m:r>
          <m:rPr>
            <m:sty m:val="p"/>
          </m:rPr>
          <w:rPr>
            <w:rFonts w:ascii="Cambria Math" w:hAnsi="Cambria Math" w:cs="Arial"/>
            <w:color w:val="auto"/>
            <w:sz w:val="18"/>
          </w:rPr>
          <m:t>(t)</m:t>
        </m:r>
        <m:r>
          <w:rPr>
            <w:rFonts w:ascii="Cambria Math" w:hAnsi="Cambria Math" w:cs="Arial"/>
            <w:color w:val="auto"/>
            <w:sz w:val="18"/>
          </w:rPr>
          <m:t>+</m:t>
        </m:r>
        <m:d>
          <m:dPr>
            <m:begChr m:val="{"/>
            <m:endChr m:val="}"/>
            <m:ctrlPr>
              <w:rPr>
                <w:rFonts w:ascii="Cambria Math" w:hAnsi="Cambria Math" w:cs="Arial"/>
                <w:i/>
                <w:color w:val="auto"/>
                <w:sz w:val="18"/>
              </w:rPr>
            </m:ctrlPr>
          </m:dPr>
          <m:e>
            <m:d>
              <m:dPr>
                <m:ctrlPr>
                  <w:rPr>
                    <w:rFonts w:ascii="Cambria Math" w:hAnsi="Cambria Math" w:cs="Arial"/>
                    <w:i/>
                    <w:color w:val="auto"/>
                    <w:sz w:val="18"/>
                  </w:rPr>
                </m:ctrlPr>
              </m:dPr>
              <m:e>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C</m:t>
                    </m:r>
                  </m:sub>
                </m:sSub>
                <m:d>
                  <m:dPr>
                    <m:ctrlPr>
                      <w:rPr>
                        <w:rFonts w:ascii="Cambria Math" w:hAnsi="Cambria Math" w:cs="Arial"/>
                        <w:i/>
                        <w:color w:val="auto"/>
                        <w:sz w:val="18"/>
                      </w:rPr>
                    </m:ctrlPr>
                  </m:dPr>
                  <m:e>
                    <m:r>
                      <w:rPr>
                        <w:rFonts w:ascii="Cambria Math" w:hAnsi="Cambria Math" w:cs="Arial"/>
                        <w:color w:val="auto"/>
                        <w:sz w:val="18"/>
                      </w:rPr>
                      <m:t>t</m:t>
                    </m:r>
                  </m:e>
                </m:d>
                <m:r>
                  <w:rPr>
                    <w:rFonts w:ascii="Cambria Math" w:hAnsi="Cambria Math" w:cs="Arial"/>
                    <w:color w:val="auto"/>
                    <w:sz w:val="18"/>
                  </w:rPr>
                  <m:t>-</m:t>
                </m:r>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C,R</m:t>
                    </m:r>
                  </m:sub>
                </m:sSub>
                <m:d>
                  <m:dPr>
                    <m:ctrlPr>
                      <w:rPr>
                        <w:rFonts w:ascii="Cambria Math" w:hAnsi="Cambria Math" w:cs="Arial"/>
                        <w:color w:val="auto"/>
                        <w:sz w:val="18"/>
                      </w:rPr>
                    </m:ctrlPr>
                  </m:dPr>
                  <m:e>
                    <m:r>
                      <m:rPr>
                        <m:sty m:val="p"/>
                      </m:rPr>
                      <w:rPr>
                        <w:rFonts w:ascii="Cambria Math" w:hAnsi="Cambria Math" w:cs="Arial"/>
                        <w:color w:val="auto"/>
                        <w:sz w:val="18"/>
                      </w:rPr>
                      <m:t>t</m:t>
                    </m:r>
                  </m:e>
                </m:d>
              </m:e>
            </m:d>
            <m:r>
              <w:rPr>
                <w:rFonts w:ascii="Cambria Math" w:hAnsi="Cambria Math" w:cs="Arial"/>
                <w:color w:val="auto"/>
                <w:sz w:val="18"/>
              </w:rPr>
              <m:t>-</m:t>
            </m:r>
            <m:sSubSup>
              <m:sSubSupPr>
                <m:ctrlPr>
                  <w:rPr>
                    <w:rFonts w:ascii="Cambria Math" w:hAnsi="Cambria Math" w:cs="Arial"/>
                    <w:i/>
                    <w:color w:val="auto"/>
                    <w:sz w:val="18"/>
                  </w:rPr>
                </m:ctrlPr>
              </m:sSubSupPr>
              <m:e>
                <m:r>
                  <w:rPr>
                    <w:rFonts w:ascii="Cambria Math" w:hAnsi="Cambria Math" w:cs="Arial"/>
                    <w:color w:val="auto"/>
                    <w:sz w:val="18"/>
                  </w:rPr>
                  <m:t>E</m:t>
                </m:r>
              </m:e>
              <m:sub>
                <m:r>
                  <w:rPr>
                    <w:rFonts w:ascii="Cambria Math" w:hAnsi="Cambria Math" w:cs="Arial"/>
                    <w:color w:val="auto"/>
                    <w:sz w:val="18"/>
                  </w:rPr>
                  <m:t>C,R</m:t>
                </m:r>
              </m:sub>
              <m:sup>
                <m:r>
                  <w:rPr>
                    <w:rFonts w:ascii="Cambria Math" w:hAnsi="Cambria Math" w:cs="Arial"/>
                    <w:color w:val="auto"/>
                    <w:sz w:val="18"/>
                  </w:rPr>
                  <m:t>*</m:t>
                </m:r>
              </m:sup>
            </m:sSubSup>
            <m:d>
              <m:dPr>
                <m:ctrlPr>
                  <w:rPr>
                    <w:rFonts w:ascii="Cambria Math" w:hAnsi="Cambria Math" w:cs="Arial"/>
                    <w:i/>
                    <w:color w:val="auto"/>
                    <w:sz w:val="18"/>
                  </w:rPr>
                </m:ctrlPr>
              </m:dPr>
              <m:e>
                <m:r>
                  <w:rPr>
                    <w:rFonts w:ascii="Cambria Math" w:hAnsi="Cambria Math" w:cs="Arial"/>
                    <w:color w:val="auto"/>
                    <w:sz w:val="18"/>
                  </w:rPr>
                  <m:t>t</m:t>
                </m:r>
              </m:e>
            </m:d>
          </m:e>
        </m:d>
        <m:r>
          <w:rPr>
            <w:rFonts w:ascii="Cambria Math" w:hAnsi="Cambria Math" w:cs="Arial"/>
            <w:color w:val="auto"/>
            <w:sz w:val="18"/>
          </w:rPr>
          <m:t>+</m:t>
        </m:r>
        <m:d>
          <m:dPr>
            <m:begChr m:val="{"/>
            <m:endChr m:val="}"/>
            <m:ctrlPr>
              <w:rPr>
                <w:rFonts w:ascii="Cambria Math" w:hAnsi="Cambria Math" w:cs="Arial"/>
                <w:i/>
                <w:color w:val="auto"/>
                <w:sz w:val="18"/>
              </w:rPr>
            </m:ctrlPr>
          </m:dPr>
          <m:e>
            <m:d>
              <m:dPr>
                <m:ctrlPr>
                  <w:rPr>
                    <w:rFonts w:ascii="Cambria Math" w:hAnsi="Cambria Math" w:cs="Arial"/>
                    <w:i/>
                    <w:color w:val="auto"/>
                    <w:sz w:val="18"/>
                  </w:rPr>
                </m:ctrlPr>
              </m:dPr>
              <m:e>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B</m:t>
                    </m:r>
                  </m:sub>
                </m:sSub>
                <m:d>
                  <m:dPr>
                    <m:ctrlPr>
                      <w:rPr>
                        <w:rFonts w:ascii="Cambria Math" w:hAnsi="Cambria Math" w:cs="Arial"/>
                        <w:color w:val="auto"/>
                        <w:sz w:val="18"/>
                      </w:rPr>
                    </m:ctrlPr>
                  </m:dPr>
                  <m:e>
                    <m:r>
                      <m:rPr>
                        <m:sty m:val="p"/>
                      </m:rPr>
                      <w:rPr>
                        <w:rFonts w:ascii="Cambria Math" w:hAnsi="Cambria Math" w:cs="Arial"/>
                        <w:color w:val="auto"/>
                        <w:sz w:val="18"/>
                      </w:rPr>
                      <m:t>t</m:t>
                    </m:r>
                  </m:e>
                </m:d>
                <m:r>
                  <w:rPr>
                    <w:rFonts w:ascii="Cambria Math" w:hAnsi="Cambria Math" w:cs="Arial"/>
                    <w:color w:val="auto"/>
                    <w:sz w:val="18"/>
                  </w:rPr>
                  <m:t>-</m:t>
                </m:r>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B,RC</m:t>
                    </m:r>
                  </m:sub>
                </m:sSub>
                <m:d>
                  <m:dPr>
                    <m:ctrlPr>
                      <w:rPr>
                        <w:rFonts w:ascii="Cambria Math" w:hAnsi="Cambria Math" w:cs="Arial"/>
                        <w:color w:val="auto"/>
                        <w:sz w:val="18"/>
                      </w:rPr>
                    </m:ctrlPr>
                  </m:dPr>
                  <m:e>
                    <m:r>
                      <m:rPr>
                        <m:sty m:val="p"/>
                      </m:rPr>
                      <w:rPr>
                        <w:rFonts w:ascii="Cambria Math" w:hAnsi="Cambria Math" w:cs="Arial"/>
                        <w:color w:val="auto"/>
                        <w:sz w:val="18"/>
                      </w:rPr>
                      <m:t>t</m:t>
                    </m:r>
                  </m:e>
                </m:d>
              </m:e>
            </m:d>
            <m:r>
              <w:rPr>
                <w:rFonts w:ascii="Cambria Math" w:hAnsi="Cambria Math" w:cs="Arial"/>
                <w:color w:val="auto"/>
                <w:sz w:val="18"/>
              </w:rPr>
              <m:t>-</m:t>
            </m:r>
            <m:sSubSup>
              <m:sSubSupPr>
                <m:ctrlPr>
                  <w:rPr>
                    <w:rFonts w:ascii="Cambria Math" w:hAnsi="Cambria Math" w:cs="Arial"/>
                    <w:i/>
                    <w:color w:val="auto"/>
                    <w:sz w:val="18"/>
                  </w:rPr>
                </m:ctrlPr>
              </m:sSubSupPr>
              <m:e>
                <m:r>
                  <w:rPr>
                    <w:rFonts w:ascii="Cambria Math" w:hAnsi="Cambria Math" w:cs="Arial"/>
                    <w:color w:val="auto"/>
                    <w:sz w:val="18"/>
                  </w:rPr>
                  <m:t>E</m:t>
                </m:r>
              </m:e>
              <m:sub>
                <m:r>
                  <w:rPr>
                    <w:rFonts w:ascii="Cambria Math" w:hAnsi="Cambria Math" w:cs="Arial"/>
                    <w:color w:val="auto"/>
                    <w:sz w:val="18"/>
                  </w:rPr>
                  <m:t>B,RC</m:t>
                </m:r>
              </m:sub>
              <m:sup>
                <m:r>
                  <w:rPr>
                    <w:rFonts w:ascii="Cambria Math" w:hAnsi="Cambria Math" w:cs="Arial"/>
                    <w:color w:val="auto"/>
                    <w:sz w:val="18"/>
                  </w:rPr>
                  <m:t>*</m:t>
                </m:r>
              </m:sup>
            </m:sSubSup>
            <m:d>
              <m:dPr>
                <m:ctrlPr>
                  <w:rPr>
                    <w:rFonts w:ascii="Cambria Math" w:hAnsi="Cambria Math" w:cs="Arial"/>
                    <w:i/>
                    <w:color w:val="auto"/>
                    <w:sz w:val="18"/>
                  </w:rPr>
                </m:ctrlPr>
              </m:dPr>
              <m:e>
                <m:r>
                  <w:rPr>
                    <w:rFonts w:ascii="Cambria Math" w:hAnsi="Cambria Math" w:cs="Arial"/>
                    <w:color w:val="auto"/>
                    <w:sz w:val="18"/>
                  </w:rPr>
                  <m:t>t</m:t>
                </m:r>
              </m:e>
            </m:d>
          </m:e>
        </m:d>
        <m:r>
          <w:rPr>
            <w:rFonts w:ascii="Cambria Math" w:hAnsi="Cambria Math" w:cs="Arial"/>
            <w:color w:val="auto"/>
            <w:sz w:val="18"/>
          </w:rPr>
          <m:t>+</m:t>
        </m:r>
        <m:d>
          <m:dPr>
            <m:begChr m:val="{"/>
            <m:endChr m:val="}"/>
            <m:ctrlPr>
              <w:rPr>
                <w:rFonts w:ascii="Cambria Math" w:hAnsi="Cambria Math" w:cs="Arial"/>
                <w:i/>
                <w:color w:val="auto"/>
                <w:sz w:val="18"/>
              </w:rPr>
            </m:ctrlPr>
          </m:dPr>
          <m:e>
            <m:d>
              <m:dPr>
                <m:ctrlPr>
                  <w:rPr>
                    <w:rFonts w:ascii="Cambria Math" w:hAnsi="Cambria Math" w:cs="Arial"/>
                    <w:i/>
                    <w:color w:val="auto"/>
                    <w:sz w:val="18"/>
                  </w:rPr>
                </m:ctrlPr>
              </m:dPr>
              <m:e>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P</m:t>
                    </m:r>
                  </m:sub>
                </m:sSub>
                <m:d>
                  <m:dPr>
                    <m:ctrlPr>
                      <w:rPr>
                        <w:rFonts w:ascii="Cambria Math" w:hAnsi="Cambria Math" w:cs="Arial"/>
                        <w:color w:val="auto"/>
                        <w:sz w:val="18"/>
                      </w:rPr>
                    </m:ctrlPr>
                  </m:dPr>
                  <m:e>
                    <m:r>
                      <m:rPr>
                        <m:sty m:val="p"/>
                      </m:rPr>
                      <w:rPr>
                        <w:rFonts w:ascii="Cambria Math" w:hAnsi="Cambria Math" w:cs="Arial"/>
                        <w:color w:val="auto"/>
                        <w:sz w:val="18"/>
                      </w:rPr>
                      <m:t>t</m:t>
                    </m:r>
                  </m:e>
                </m:d>
                <m:r>
                  <w:rPr>
                    <w:rFonts w:ascii="Cambria Math" w:hAnsi="Cambria Math" w:cs="Arial"/>
                    <w:color w:val="auto"/>
                    <w:sz w:val="18"/>
                  </w:rPr>
                  <m:t>-</m:t>
                </m:r>
                <m:sSub>
                  <m:sSubPr>
                    <m:ctrlPr>
                      <w:rPr>
                        <w:rFonts w:ascii="Cambria Math" w:hAnsi="Cambria Math" w:cs="Arial"/>
                        <w:i/>
                        <w:color w:val="auto"/>
                        <w:sz w:val="18"/>
                      </w:rPr>
                    </m:ctrlPr>
                  </m:sSubPr>
                  <m:e>
                    <m:r>
                      <w:rPr>
                        <w:rFonts w:ascii="Cambria Math" w:hAnsi="Cambria Math" w:cs="Arial"/>
                        <w:color w:val="auto"/>
                        <w:sz w:val="18"/>
                      </w:rPr>
                      <m:t>E</m:t>
                    </m:r>
                  </m:e>
                  <m:sub>
                    <m:r>
                      <w:rPr>
                        <w:rFonts w:ascii="Cambria Math" w:hAnsi="Cambria Math" w:cs="Arial"/>
                        <w:color w:val="auto"/>
                        <w:sz w:val="18"/>
                      </w:rPr>
                      <m:t>P,RCB</m:t>
                    </m:r>
                  </m:sub>
                </m:sSub>
                <m:d>
                  <m:dPr>
                    <m:ctrlPr>
                      <w:rPr>
                        <w:rFonts w:ascii="Cambria Math" w:hAnsi="Cambria Math" w:cs="Arial"/>
                        <w:color w:val="auto"/>
                        <w:sz w:val="18"/>
                      </w:rPr>
                    </m:ctrlPr>
                  </m:dPr>
                  <m:e>
                    <m:r>
                      <m:rPr>
                        <m:sty m:val="p"/>
                      </m:rPr>
                      <w:rPr>
                        <w:rFonts w:ascii="Cambria Math" w:hAnsi="Cambria Math" w:cs="Arial"/>
                        <w:color w:val="auto"/>
                        <w:sz w:val="18"/>
                      </w:rPr>
                      <m:t>t</m:t>
                    </m:r>
                  </m:e>
                </m:d>
              </m:e>
            </m:d>
            <m:r>
              <w:rPr>
                <w:rFonts w:ascii="Cambria Math" w:hAnsi="Cambria Math" w:cs="Arial"/>
                <w:color w:val="auto"/>
                <w:sz w:val="18"/>
              </w:rPr>
              <m:t>-</m:t>
            </m:r>
            <m:sSubSup>
              <m:sSubSupPr>
                <m:ctrlPr>
                  <w:rPr>
                    <w:rFonts w:ascii="Cambria Math" w:hAnsi="Cambria Math" w:cs="Arial"/>
                    <w:i/>
                    <w:color w:val="auto"/>
                    <w:sz w:val="18"/>
                  </w:rPr>
                </m:ctrlPr>
              </m:sSubSupPr>
              <m:e>
                <m:r>
                  <w:rPr>
                    <w:rFonts w:ascii="Cambria Math" w:hAnsi="Cambria Math" w:cs="Arial"/>
                    <w:color w:val="auto"/>
                    <w:sz w:val="18"/>
                  </w:rPr>
                  <m:t>E</m:t>
                </m:r>
              </m:e>
              <m:sub>
                <m:r>
                  <w:rPr>
                    <w:rFonts w:ascii="Cambria Math" w:hAnsi="Cambria Math" w:cs="Arial"/>
                    <w:color w:val="auto"/>
                    <w:sz w:val="18"/>
                  </w:rPr>
                  <m:t>P,RCB</m:t>
                </m:r>
              </m:sub>
              <m:sup>
                <m:r>
                  <w:rPr>
                    <w:rFonts w:ascii="Cambria Math" w:hAnsi="Cambria Math" w:cs="Arial"/>
                    <w:color w:val="auto"/>
                    <w:sz w:val="18"/>
                  </w:rPr>
                  <m:t>*</m:t>
                </m:r>
              </m:sup>
            </m:sSubSup>
            <m:r>
              <w:rPr>
                <w:rFonts w:ascii="Cambria Math" w:hAnsi="Cambria Math" w:cs="Arial"/>
                <w:color w:val="auto"/>
                <w:sz w:val="18"/>
              </w:rPr>
              <m:t>(t)</m:t>
            </m:r>
          </m:e>
        </m:d>
      </m:oMath>
      <w:r w:rsidR="00AB68BE" w:rsidRPr="00B10E43">
        <w:rPr>
          <w:rFonts w:cs="Arial"/>
          <w:color w:val="auto"/>
          <w:sz w:val="18"/>
        </w:rPr>
        <w:t xml:space="preserve">  </w:t>
      </w:r>
      <w:r w:rsidR="005F281B" w:rsidRPr="00B10E43">
        <w:rPr>
          <w:rFonts w:cs="Arial"/>
          <w:color w:val="auto"/>
        </w:rPr>
        <w:t>(2)</w:t>
      </w:r>
      <w:r w:rsidR="005F281B" w:rsidRPr="00E668FC">
        <w:rPr>
          <w:rFonts w:cs="Arial"/>
          <w:color w:val="auto"/>
        </w:rPr>
        <w:tab/>
      </w:r>
    </w:p>
    <w:p w14:paraId="5E74FE85" w14:textId="77777777" w:rsidR="005F281B" w:rsidRPr="00E668FC" w:rsidRDefault="005F281B" w:rsidP="005F281B">
      <w:pPr>
        <w:spacing w:line="360" w:lineRule="auto"/>
        <w:rPr>
          <w:rFonts w:cs="Arial"/>
          <w:color w:val="auto"/>
        </w:rPr>
      </w:pPr>
      <w:r w:rsidRPr="00E668FC">
        <w:rPr>
          <w:rFonts w:cs="Arial"/>
          <w:color w:val="auto"/>
        </w:rPr>
        <w:t>where</w:t>
      </w:r>
    </w:p>
    <w:p w14:paraId="4955186C" w14:textId="468E0BEB" w:rsidR="005F281B" w:rsidRPr="00E668FC" w:rsidRDefault="005F281B" w:rsidP="005F281B">
      <w:pPr>
        <w:spacing w:line="360" w:lineRule="auto"/>
        <w:rPr>
          <w:rFonts w:cs="Arial"/>
          <w:color w:val="auto"/>
        </w:rPr>
      </w:pPr>
      <w:r w:rsidRPr="00E668FC">
        <w:rPr>
          <w:rFonts w:cs="Arial"/>
          <w:i/>
          <w:iCs/>
          <w:color w:val="auto"/>
        </w:rPr>
        <w:t>E</w:t>
      </w:r>
      <w:r w:rsidRPr="00E668FC">
        <w:rPr>
          <w:rFonts w:cs="Arial"/>
          <w:color w:val="auto"/>
          <w:vertAlign w:val="subscript"/>
        </w:rPr>
        <w:t>NSA</w:t>
      </w:r>
      <w:r w:rsidRPr="00E668FC">
        <w:rPr>
          <w:rFonts w:cs="Arial"/>
          <w:color w:val="auto"/>
        </w:rPr>
        <w:t xml:space="preserve">(t): </w:t>
      </w:r>
      <w:r w:rsidR="007C37C1">
        <w:rPr>
          <w:rFonts w:cs="Arial"/>
          <w:color w:val="auto"/>
        </w:rPr>
        <w:t>total projected</w:t>
      </w:r>
      <w:r w:rsidR="00924448" w:rsidRPr="00E668FC">
        <w:rPr>
          <w:rFonts w:cs="Arial"/>
          <w:color w:val="auto"/>
        </w:rPr>
        <w:t xml:space="preserve"> </w:t>
      </w:r>
      <w:r w:rsidRPr="00E668FC">
        <w:rPr>
          <w:rFonts w:cs="Arial"/>
          <w:color w:val="auto"/>
        </w:rPr>
        <w:t xml:space="preserve">GHG emissions from non-state actors with commitments in year </w:t>
      </w:r>
      <w:r w:rsidRPr="00E668FC">
        <w:rPr>
          <w:rFonts w:cs="Arial"/>
          <w:i/>
          <w:iCs/>
          <w:color w:val="auto"/>
        </w:rPr>
        <w:t>t</w:t>
      </w:r>
      <w:r w:rsidRPr="00E668FC">
        <w:rPr>
          <w:rFonts w:cs="Arial"/>
          <w:color w:val="auto"/>
        </w:rPr>
        <w:t>.</w:t>
      </w:r>
    </w:p>
    <w:p w14:paraId="6096B47C" w14:textId="526C1EAC" w:rsidR="005F281B" w:rsidRPr="00E668FC" w:rsidRDefault="005F281B" w:rsidP="005F281B">
      <w:pPr>
        <w:spacing w:line="360" w:lineRule="auto"/>
        <w:rPr>
          <w:rFonts w:cs="Arial"/>
          <w:color w:val="auto"/>
        </w:rPr>
      </w:pPr>
      <w:r w:rsidRPr="00E668FC">
        <w:rPr>
          <w:rFonts w:cs="Arial"/>
          <w:i/>
          <w:iCs/>
          <w:color w:val="auto"/>
        </w:rPr>
        <w:t>E</w:t>
      </w:r>
      <w:r w:rsidRPr="00E668FC">
        <w:rPr>
          <w:rFonts w:cs="Arial"/>
          <w:color w:val="auto"/>
          <w:vertAlign w:val="subscript"/>
        </w:rPr>
        <w:t>R</w:t>
      </w:r>
      <w:r w:rsidRPr="00E668FC">
        <w:rPr>
          <w:rFonts w:cs="Arial"/>
          <w:color w:val="auto"/>
        </w:rPr>
        <w:t xml:space="preserve">(t): </w:t>
      </w:r>
      <w:r w:rsidR="007C37C1">
        <w:rPr>
          <w:rFonts w:cs="Arial"/>
          <w:color w:val="auto"/>
        </w:rPr>
        <w:t>aggregate of projected</w:t>
      </w:r>
      <w:r w:rsidRPr="00E668FC">
        <w:rPr>
          <w:rFonts w:cs="Arial"/>
          <w:color w:val="auto"/>
        </w:rPr>
        <w:t xml:space="preserve"> GHG emissions from regions with commitments in year </w:t>
      </w:r>
      <w:r w:rsidRPr="00E668FC">
        <w:rPr>
          <w:rFonts w:cs="Arial"/>
          <w:i/>
          <w:iCs/>
          <w:color w:val="auto"/>
        </w:rPr>
        <w:t>t</w:t>
      </w:r>
      <w:r w:rsidRPr="00E668FC">
        <w:rPr>
          <w:rFonts w:cs="Arial"/>
          <w:color w:val="auto"/>
        </w:rPr>
        <w:t>;</w:t>
      </w:r>
    </w:p>
    <w:p w14:paraId="1096DD4E" w14:textId="18E18055" w:rsidR="005F281B" w:rsidRPr="00E668FC" w:rsidRDefault="005F281B" w:rsidP="005F281B">
      <w:pPr>
        <w:spacing w:line="360" w:lineRule="auto"/>
        <w:rPr>
          <w:rFonts w:cs="Arial"/>
          <w:color w:val="auto"/>
        </w:rPr>
      </w:pPr>
      <w:r w:rsidRPr="00E668FC">
        <w:rPr>
          <w:rFonts w:cs="Arial"/>
          <w:i/>
          <w:iCs/>
          <w:color w:val="auto"/>
        </w:rPr>
        <w:t>E</w:t>
      </w:r>
      <w:r w:rsidRPr="00E668FC">
        <w:rPr>
          <w:rFonts w:cs="Arial"/>
          <w:color w:val="auto"/>
          <w:vertAlign w:val="subscript"/>
        </w:rPr>
        <w:t>C</w:t>
      </w:r>
      <w:r w:rsidRPr="00E668FC">
        <w:rPr>
          <w:rFonts w:cs="Arial"/>
          <w:color w:val="auto"/>
        </w:rPr>
        <w:t xml:space="preserve">(t): </w:t>
      </w:r>
      <w:r w:rsidR="007C37C1">
        <w:rPr>
          <w:rFonts w:cs="Arial"/>
          <w:color w:val="auto"/>
        </w:rPr>
        <w:t>aggregate of projected</w:t>
      </w:r>
      <w:r w:rsidRPr="00E668FC">
        <w:rPr>
          <w:rFonts w:cs="Arial"/>
          <w:color w:val="auto"/>
        </w:rPr>
        <w:t xml:space="preserve"> GHG emissions from cities with commitments in year </w:t>
      </w:r>
      <w:r w:rsidRPr="00E668FC">
        <w:rPr>
          <w:rFonts w:cs="Arial"/>
          <w:i/>
          <w:iCs/>
          <w:color w:val="auto"/>
        </w:rPr>
        <w:t>t</w:t>
      </w:r>
      <w:r w:rsidRPr="00E668FC">
        <w:rPr>
          <w:rFonts w:cs="Arial"/>
          <w:color w:val="auto"/>
        </w:rPr>
        <w:t>;</w:t>
      </w:r>
    </w:p>
    <w:p w14:paraId="06B4AE2A" w14:textId="1E04FA2C" w:rsidR="005F281B" w:rsidRPr="00E668FC" w:rsidRDefault="005F281B" w:rsidP="005F281B">
      <w:pPr>
        <w:spacing w:line="360" w:lineRule="auto"/>
        <w:rPr>
          <w:rFonts w:cs="Arial"/>
          <w:color w:val="auto"/>
        </w:rPr>
      </w:pPr>
      <w:proofErr w:type="gramStart"/>
      <w:r w:rsidRPr="00E668FC">
        <w:rPr>
          <w:rFonts w:cs="Arial"/>
          <w:i/>
          <w:iCs/>
          <w:color w:val="auto"/>
        </w:rPr>
        <w:t>E</w:t>
      </w:r>
      <w:r w:rsidRPr="00E668FC">
        <w:rPr>
          <w:rFonts w:cs="Arial"/>
          <w:color w:val="auto"/>
          <w:vertAlign w:val="subscript"/>
        </w:rPr>
        <w:t>C,R</w:t>
      </w:r>
      <w:proofErr w:type="gramEnd"/>
      <w:r w:rsidRPr="00E668FC">
        <w:rPr>
          <w:rFonts w:cs="Arial"/>
          <w:color w:val="auto"/>
        </w:rPr>
        <w:t xml:space="preserve">(t): </w:t>
      </w:r>
      <w:r w:rsidR="00DF4687">
        <w:rPr>
          <w:rFonts w:cs="Arial"/>
          <w:color w:val="auto"/>
        </w:rPr>
        <w:t>aggregate of projected</w:t>
      </w:r>
      <w:r w:rsidRPr="00E668FC">
        <w:rPr>
          <w:rFonts w:cs="Arial"/>
          <w:color w:val="auto"/>
        </w:rPr>
        <w:t xml:space="preserve"> GHG emissions from cities with commitments </w:t>
      </w:r>
      <w:r w:rsidR="007426A6">
        <w:rPr>
          <w:rFonts w:cs="Arial"/>
          <w:color w:val="auto"/>
        </w:rPr>
        <w:t xml:space="preserve">geographically </w:t>
      </w:r>
      <w:r w:rsidRPr="00E668FC">
        <w:rPr>
          <w:rFonts w:cs="Arial"/>
          <w:color w:val="auto"/>
        </w:rPr>
        <w:t xml:space="preserve">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in year </w:t>
      </w:r>
      <w:r w:rsidRPr="00E668FC">
        <w:rPr>
          <w:rFonts w:cs="Arial"/>
          <w:i/>
          <w:iCs/>
          <w:color w:val="auto"/>
        </w:rPr>
        <w:t>t</w:t>
      </w:r>
      <w:r w:rsidRPr="00E668FC">
        <w:rPr>
          <w:rFonts w:cs="Arial"/>
          <w:color w:val="auto"/>
        </w:rPr>
        <w:t>;</w:t>
      </w:r>
    </w:p>
    <w:p w14:paraId="5C8A36E8" w14:textId="77777777" w:rsidR="005F281B" w:rsidRPr="00E668FC" w:rsidRDefault="005F281B" w:rsidP="005F281B">
      <w:pPr>
        <w:spacing w:line="360" w:lineRule="auto"/>
        <w:rPr>
          <w:rFonts w:cs="Arial"/>
          <w:color w:val="auto"/>
        </w:rPr>
      </w:pPr>
      <w:r w:rsidRPr="00E668FC">
        <w:rPr>
          <w:rFonts w:cs="Arial"/>
          <w:i/>
          <w:iCs/>
          <w:color w:val="auto"/>
        </w:rPr>
        <w:t>E</w:t>
      </w:r>
      <w:r w:rsidRPr="00E668FC">
        <w:rPr>
          <w:rFonts w:cs="Arial"/>
          <w:i/>
          <w:iCs/>
          <w:color w:val="auto"/>
          <w:vertAlign w:val="superscript"/>
        </w:rPr>
        <w:t>*</w:t>
      </w:r>
      <w:proofErr w:type="gramStart"/>
      <w:r w:rsidRPr="00E668FC">
        <w:rPr>
          <w:rFonts w:cs="Arial"/>
          <w:color w:val="auto"/>
          <w:vertAlign w:val="subscript"/>
        </w:rPr>
        <w:t>C,R</w:t>
      </w:r>
      <w:proofErr w:type="gramEnd"/>
      <w:r w:rsidRPr="00E668FC">
        <w:rPr>
          <w:rFonts w:cs="Arial"/>
          <w:color w:val="auto"/>
        </w:rPr>
        <w:t xml:space="preserve">(t): additional GHG emissions reductions from cities with commitments 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in year </w:t>
      </w:r>
      <w:r w:rsidRPr="00E668FC">
        <w:rPr>
          <w:rFonts w:cs="Arial"/>
          <w:i/>
          <w:iCs/>
          <w:color w:val="auto"/>
        </w:rPr>
        <w:t>t</w:t>
      </w:r>
      <w:r w:rsidRPr="00E668FC">
        <w:rPr>
          <w:rFonts w:cs="Arial"/>
          <w:color w:val="auto"/>
        </w:rPr>
        <w:t>, after comparing the level of ambition;</w:t>
      </w:r>
    </w:p>
    <w:p w14:paraId="3D693E38" w14:textId="3FFE33CA" w:rsidR="005F281B" w:rsidRPr="00E668FC" w:rsidRDefault="005F281B" w:rsidP="005F281B">
      <w:pPr>
        <w:spacing w:line="360" w:lineRule="auto"/>
        <w:rPr>
          <w:rFonts w:cs="Arial"/>
          <w:color w:val="auto"/>
        </w:rPr>
      </w:pPr>
      <w:r w:rsidRPr="00E668FC">
        <w:rPr>
          <w:rFonts w:cs="Arial"/>
          <w:i/>
          <w:iCs/>
          <w:color w:val="auto"/>
        </w:rPr>
        <w:t>E</w:t>
      </w:r>
      <w:r w:rsidRPr="00E668FC">
        <w:rPr>
          <w:rFonts w:cs="Arial"/>
          <w:color w:val="auto"/>
          <w:vertAlign w:val="subscript"/>
        </w:rPr>
        <w:t>B</w:t>
      </w:r>
      <w:r w:rsidRPr="00E668FC">
        <w:rPr>
          <w:rFonts w:cs="Arial"/>
          <w:color w:val="auto"/>
        </w:rPr>
        <w:t xml:space="preserve">(t): </w:t>
      </w:r>
      <w:r w:rsidR="00C909CC">
        <w:rPr>
          <w:rFonts w:cs="Arial"/>
          <w:color w:val="auto"/>
        </w:rPr>
        <w:t>aggregate of projected</w:t>
      </w:r>
      <w:r w:rsidRPr="00E668FC">
        <w:rPr>
          <w:rFonts w:cs="Arial"/>
          <w:color w:val="auto"/>
        </w:rPr>
        <w:t xml:space="preserve"> GHG emissions from energy end-use companies with commitments (excluding electricity-generating companies) in year </w:t>
      </w:r>
      <w:r w:rsidRPr="00E668FC">
        <w:rPr>
          <w:rFonts w:cs="Arial"/>
          <w:i/>
          <w:iCs/>
          <w:color w:val="auto"/>
        </w:rPr>
        <w:t>t</w:t>
      </w:r>
      <w:r w:rsidRPr="00E668FC">
        <w:rPr>
          <w:rFonts w:cs="Arial"/>
          <w:color w:val="auto"/>
        </w:rPr>
        <w:t>;</w:t>
      </w:r>
    </w:p>
    <w:p w14:paraId="0984BF51" w14:textId="1615A301" w:rsidR="005F281B" w:rsidRPr="00E668FC" w:rsidRDefault="005F281B" w:rsidP="005F281B">
      <w:pPr>
        <w:spacing w:line="360" w:lineRule="auto"/>
        <w:rPr>
          <w:rFonts w:cs="Arial"/>
          <w:color w:val="auto"/>
        </w:rPr>
      </w:pPr>
      <w:proofErr w:type="gramStart"/>
      <w:r w:rsidRPr="00E668FC">
        <w:rPr>
          <w:rFonts w:cs="Arial"/>
          <w:i/>
          <w:iCs/>
          <w:color w:val="auto"/>
        </w:rPr>
        <w:t>E</w:t>
      </w:r>
      <w:r w:rsidRPr="00E668FC">
        <w:rPr>
          <w:rFonts w:cs="Arial"/>
          <w:color w:val="auto"/>
          <w:vertAlign w:val="subscript"/>
        </w:rPr>
        <w:t>B,RC</w:t>
      </w:r>
      <w:proofErr w:type="gramEnd"/>
      <w:r w:rsidRPr="00E668FC">
        <w:rPr>
          <w:rFonts w:cs="Arial"/>
          <w:color w:val="auto"/>
        </w:rPr>
        <w:t xml:space="preserve">(t): </w:t>
      </w:r>
      <w:r w:rsidR="00C909CC">
        <w:rPr>
          <w:rFonts w:cs="Arial"/>
          <w:color w:val="auto"/>
        </w:rPr>
        <w:t>aggregate of projected</w:t>
      </w:r>
      <w:r w:rsidRPr="00E668FC">
        <w:rPr>
          <w:rFonts w:cs="Arial"/>
          <w:color w:val="auto"/>
        </w:rPr>
        <w:t xml:space="preserve"> GHG emissions from energy end-use companies with commitments </w:t>
      </w:r>
      <w:r w:rsidR="007426A6">
        <w:rPr>
          <w:rFonts w:cs="Arial"/>
          <w:color w:val="auto"/>
        </w:rPr>
        <w:t xml:space="preserve">geographically </w:t>
      </w:r>
      <w:r w:rsidRPr="00E668FC">
        <w:rPr>
          <w:rFonts w:cs="Arial"/>
          <w:color w:val="auto"/>
        </w:rPr>
        <w:t xml:space="preserve">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and </w:t>
      </w:r>
      <w:r w:rsidRPr="00E668FC">
        <w:rPr>
          <w:rFonts w:cs="Arial"/>
          <w:i/>
          <w:iCs/>
          <w:color w:val="auto"/>
        </w:rPr>
        <w:t>E</w:t>
      </w:r>
      <w:r w:rsidRPr="00E668FC">
        <w:rPr>
          <w:rFonts w:cs="Arial"/>
          <w:color w:val="auto"/>
          <w:vertAlign w:val="subscript"/>
        </w:rPr>
        <w:t>C</w:t>
      </w:r>
      <w:r w:rsidRPr="00E668FC">
        <w:rPr>
          <w:rFonts w:cs="Arial"/>
          <w:color w:val="auto"/>
        </w:rPr>
        <w:t xml:space="preserve">(t) in year </w:t>
      </w:r>
      <w:r w:rsidRPr="00E668FC">
        <w:rPr>
          <w:rFonts w:cs="Arial"/>
          <w:i/>
          <w:iCs/>
          <w:color w:val="auto"/>
        </w:rPr>
        <w:t>t</w:t>
      </w:r>
      <w:r w:rsidRPr="00E668FC">
        <w:rPr>
          <w:rFonts w:cs="Arial"/>
          <w:color w:val="auto"/>
        </w:rPr>
        <w:t>;</w:t>
      </w:r>
    </w:p>
    <w:p w14:paraId="44AC3927" w14:textId="77777777" w:rsidR="005F281B" w:rsidRPr="00E668FC" w:rsidRDefault="005F281B" w:rsidP="005F281B">
      <w:pPr>
        <w:spacing w:line="360" w:lineRule="auto"/>
        <w:rPr>
          <w:rFonts w:cs="Arial"/>
          <w:color w:val="auto"/>
        </w:rPr>
      </w:pPr>
      <w:r w:rsidRPr="00E668FC">
        <w:rPr>
          <w:rFonts w:cs="Arial"/>
          <w:i/>
          <w:iCs/>
          <w:color w:val="auto"/>
        </w:rPr>
        <w:t>E</w:t>
      </w:r>
      <w:r w:rsidRPr="00E668FC">
        <w:rPr>
          <w:rFonts w:cs="Arial"/>
          <w:i/>
          <w:iCs/>
          <w:color w:val="auto"/>
          <w:vertAlign w:val="superscript"/>
        </w:rPr>
        <w:t>*</w:t>
      </w:r>
      <w:proofErr w:type="gramStart"/>
      <w:r w:rsidRPr="00E668FC">
        <w:rPr>
          <w:rFonts w:cs="Arial"/>
          <w:color w:val="auto"/>
          <w:vertAlign w:val="subscript"/>
        </w:rPr>
        <w:t>B,RC</w:t>
      </w:r>
      <w:proofErr w:type="gramEnd"/>
      <w:r w:rsidRPr="00E668FC">
        <w:rPr>
          <w:rFonts w:cs="Arial"/>
          <w:color w:val="auto"/>
        </w:rPr>
        <w:t xml:space="preserve">(t): additional GHG emissions reductions from energy end-use companies with commitments 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and </w:t>
      </w:r>
      <w:r w:rsidRPr="00E668FC">
        <w:rPr>
          <w:rFonts w:cs="Arial"/>
          <w:i/>
          <w:iCs/>
          <w:color w:val="auto"/>
        </w:rPr>
        <w:t>E</w:t>
      </w:r>
      <w:r w:rsidRPr="00E668FC">
        <w:rPr>
          <w:rFonts w:cs="Arial"/>
          <w:color w:val="auto"/>
          <w:vertAlign w:val="subscript"/>
        </w:rPr>
        <w:t>C</w:t>
      </w:r>
      <w:r w:rsidRPr="00E668FC">
        <w:rPr>
          <w:rFonts w:cs="Arial"/>
          <w:color w:val="auto"/>
        </w:rPr>
        <w:t xml:space="preserve">(t) in year </w:t>
      </w:r>
      <w:r w:rsidRPr="00E668FC">
        <w:rPr>
          <w:rFonts w:cs="Arial"/>
          <w:i/>
          <w:iCs/>
          <w:color w:val="auto"/>
        </w:rPr>
        <w:t>t</w:t>
      </w:r>
      <w:r w:rsidRPr="00E668FC">
        <w:rPr>
          <w:rFonts w:cs="Arial"/>
          <w:color w:val="auto"/>
        </w:rPr>
        <w:t>, after comparing the level of ambition;</w:t>
      </w:r>
    </w:p>
    <w:p w14:paraId="1E1965E3" w14:textId="571B0FF0" w:rsidR="005F281B" w:rsidRPr="00E668FC" w:rsidRDefault="005F281B" w:rsidP="005F281B">
      <w:pPr>
        <w:spacing w:line="360" w:lineRule="auto"/>
        <w:rPr>
          <w:rFonts w:cs="Arial"/>
          <w:color w:val="auto"/>
        </w:rPr>
      </w:pPr>
      <w:r w:rsidRPr="00E668FC">
        <w:rPr>
          <w:rFonts w:cs="Arial"/>
          <w:i/>
          <w:iCs/>
          <w:color w:val="auto"/>
        </w:rPr>
        <w:t>E</w:t>
      </w:r>
      <w:r w:rsidRPr="00E668FC">
        <w:rPr>
          <w:rFonts w:cs="Arial"/>
          <w:color w:val="auto"/>
          <w:vertAlign w:val="subscript"/>
        </w:rPr>
        <w:t>P</w:t>
      </w:r>
      <w:r w:rsidRPr="00E668FC">
        <w:rPr>
          <w:rFonts w:cs="Arial"/>
          <w:color w:val="auto"/>
        </w:rPr>
        <w:t xml:space="preserve">(t): </w:t>
      </w:r>
      <w:r w:rsidR="00C909CC">
        <w:rPr>
          <w:rFonts w:cs="Arial"/>
          <w:color w:val="auto"/>
        </w:rPr>
        <w:t>aggregate of projected</w:t>
      </w:r>
      <w:r w:rsidR="00C909CC" w:rsidRPr="00E668FC">
        <w:rPr>
          <w:rFonts w:cs="Arial"/>
          <w:color w:val="auto"/>
        </w:rPr>
        <w:t xml:space="preserve"> </w:t>
      </w:r>
      <w:r w:rsidRPr="00E668FC">
        <w:rPr>
          <w:rFonts w:cs="Arial"/>
          <w:color w:val="auto"/>
        </w:rPr>
        <w:t xml:space="preserve">GHG emissions from electricity-generating companies with commitments in year </w:t>
      </w:r>
      <w:r w:rsidRPr="00E668FC">
        <w:rPr>
          <w:rFonts w:cs="Arial"/>
          <w:i/>
          <w:iCs/>
          <w:color w:val="auto"/>
        </w:rPr>
        <w:t>t</w:t>
      </w:r>
      <w:r w:rsidRPr="00E668FC">
        <w:rPr>
          <w:rFonts w:cs="Arial"/>
          <w:color w:val="auto"/>
        </w:rPr>
        <w:t>;</w:t>
      </w:r>
    </w:p>
    <w:p w14:paraId="4F666B56" w14:textId="4D9F89FE" w:rsidR="005F281B" w:rsidRPr="00E668FC" w:rsidRDefault="005F281B" w:rsidP="005F281B">
      <w:pPr>
        <w:spacing w:line="360" w:lineRule="auto"/>
        <w:rPr>
          <w:rFonts w:cs="Arial"/>
          <w:color w:val="auto"/>
        </w:rPr>
      </w:pPr>
      <w:proofErr w:type="gramStart"/>
      <w:r w:rsidRPr="00E668FC">
        <w:rPr>
          <w:rFonts w:cs="Arial"/>
          <w:i/>
          <w:iCs/>
          <w:color w:val="auto"/>
        </w:rPr>
        <w:t>E</w:t>
      </w:r>
      <w:r w:rsidRPr="00E668FC">
        <w:rPr>
          <w:rFonts w:cs="Arial"/>
          <w:color w:val="auto"/>
          <w:vertAlign w:val="subscript"/>
        </w:rPr>
        <w:t>P,RCB</w:t>
      </w:r>
      <w:proofErr w:type="gramEnd"/>
      <w:r w:rsidRPr="00E668FC">
        <w:rPr>
          <w:rFonts w:cs="Arial"/>
          <w:color w:val="auto"/>
        </w:rPr>
        <w:t xml:space="preserve">(t): </w:t>
      </w:r>
      <w:r w:rsidR="00C909CC">
        <w:rPr>
          <w:rFonts w:cs="Arial"/>
          <w:color w:val="auto"/>
        </w:rPr>
        <w:t>aggregate of projected</w:t>
      </w:r>
      <w:r w:rsidRPr="00E668FC">
        <w:rPr>
          <w:rFonts w:cs="Arial"/>
          <w:color w:val="auto"/>
        </w:rPr>
        <w:t xml:space="preserve"> GHG emissions from electricity-generating companies with commitments</w:t>
      </w:r>
      <w:r w:rsidR="00DA00CD">
        <w:rPr>
          <w:rFonts w:cs="Arial"/>
          <w:color w:val="auto"/>
        </w:rPr>
        <w:t xml:space="preserve"> geographically</w:t>
      </w:r>
      <w:r w:rsidRPr="00E668FC">
        <w:rPr>
          <w:rFonts w:cs="Arial"/>
          <w:color w:val="auto"/>
        </w:rPr>
        <w:t xml:space="preserve"> 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w:t>
      </w:r>
      <w:r w:rsidRPr="00E668FC">
        <w:rPr>
          <w:rFonts w:cs="Arial"/>
          <w:i/>
          <w:iCs/>
          <w:color w:val="auto"/>
        </w:rPr>
        <w:t>E</w:t>
      </w:r>
      <w:r w:rsidRPr="00E668FC">
        <w:rPr>
          <w:rFonts w:cs="Arial"/>
          <w:color w:val="auto"/>
          <w:vertAlign w:val="subscript"/>
        </w:rPr>
        <w:t>C</w:t>
      </w:r>
      <w:r w:rsidRPr="00E668FC">
        <w:rPr>
          <w:rFonts w:cs="Arial"/>
          <w:color w:val="auto"/>
        </w:rPr>
        <w:t xml:space="preserve">(t) and </w:t>
      </w:r>
      <w:r w:rsidRPr="00E668FC">
        <w:rPr>
          <w:rFonts w:cs="Arial"/>
          <w:i/>
          <w:iCs/>
          <w:color w:val="auto"/>
        </w:rPr>
        <w:t>E</w:t>
      </w:r>
      <w:r w:rsidRPr="00E668FC">
        <w:rPr>
          <w:rFonts w:cs="Arial"/>
          <w:color w:val="auto"/>
          <w:vertAlign w:val="subscript"/>
        </w:rPr>
        <w:t>B</w:t>
      </w:r>
      <w:r w:rsidRPr="00E668FC">
        <w:rPr>
          <w:rFonts w:cs="Arial"/>
          <w:color w:val="auto"/>
        </w:rPr>
        <w:t xml:space="preserve">(t) in year </w:t>
      </w:r>
      <w:r w:rsidRPr="00E668FC">
        <w:rPr>
          <w:rFonts w:cs="Arial"/>
          <w:i/>
          <w:iCs/>
          <w:color w:val="auto"/>
        </w:rPr>
        <w:t>t</w:t>
      </w:r>
      <w:r w:rsidRPr="00E668FC">
        <w:rPr>
          <w:rFonts w:cs="Arial"/>
          <w:color w:val="auto"/>
        </w:rPr>
        <w:t>; and</w:t>
      </w:r>
    </w:p>
    <w:p w14:paraId="2730B316" w14:textId="77777777" w:rsidR="005F281B" w:rsidRPr="00E668FC" w:rsidRDefault="005F281B" w:rsidP="005F281B">
      <w:pPr>
        <w:spacing w:line="360" w:lineRule="auto"/>
        <w:rPr>
          <w:rFonts w:cs="Arial"/>
          <w:color w:val="auto"/>
        </w:rPr>
      </w:pPr>
      <w:r w:rsidRPr="00E668FC">
        <w:rPr>
          <w:rFonts w:cs="Arial"/>
          <w:i/>
          <w:iCs/>
          <w:color w:val="auto"/>
        </w:rPr>
        <w:t>E</w:t>
      </w:r>
      <w:r w:rsidRPr="00E668FC">
        <w:rPr>
          <w:rFonts w:cs="Arial"/>
          <w:i/>
          <w:iCs/>
          <w:color w:val="auto"/>
          <w:vertAlign w:val="superscript"/>
        </w:rPr>
        <w:t>*</w:t>
      </w:r>
      <w:proofErr w:type="gramStart"/>
      <w:r w:rsidRPr="00E668FC">
        <w:rPr>
          <w:rFonts w:cs="Arial"/>
          <w:color w:val="auto"/>
          <w:vertAlign w:val="subscript"/>
        </w:rPr>
        <w:t>P,RCB</w:t>
      </w:r>
      <w:proofErr w:type="gramEnd"/>
      <w:r w:rsidRPr="00E668FC">
        <w:rPr>
          <w:rFonts w:cs="Arial"/>
          <w:color w:val="auto"/>
        </w:rPr>
        <w:t xml:space="preserve">(t): additional GHG emissions reductions from electricity-generating companies with commitments overlapping with </w:t>
      </w:r>
      <w:r w:rsidRPr="00E668FC">
        <w:rPr>
          <w:rFonts w:cs="Arial"/>
          <w:i/>
          <w:iCs/>
          <w:color w:val="auto"/>
        </w:rPr>
        <w:t>E</w:t>
      </w:r>
      <w:r w:rsidRPr="00E668FC">
        <w:rPr>
          <w:rFonts w:cs="Arial"/>
          <w:color w:val="auto"/>
          <w:vertAlign w:val="subscript"/>
        </w:rPr>
        <w:t>R</w:t>
      </w:r>
      <w:r w:rsidRPr="00E668FC">
        <w:rPr>
          <w:rFonts w:cs="Arial"/>
          <w:color w:val="auto"/>
        </w:rPr>
        <w:t xml:space="preserve">(t), </w:t>
      </w:r>
      <w:r w:rsidRPr="00E668FC">
        <w:rPr>
          <w:rFonts w:cs="Arial"/>
          <w:i/>
          <w:iCs/>
          <w:color w:val="auto"/>
        </w:rPr>
        <w:t>E</w:t>
      </w:r>
      <w:r w:rsidRPr="00E668FC">
        <w:rPr>
          <w:rFonts w:cs="Arial"/>
          <w:color w:val="auto"/>
          <w:vertAlign w:val="subscript"/>
        </w:rPr>
        <w:t>C</w:t>
      </w:r>
      <w:r w:rsidRPr="00E668FC">
        <w:rPr>
          <w:rFonts w:cs="Arial"/>
          <w:color w:val="auto"/>
        </w:rPr>
        <w:t xml:space="preserve">(t) and </w:t>
      </w:r>
      <w:r w:rsidRPr="00E668FC">
        <w:rPr>
          <w:rFonts w:cs="Arial"/>
          <w:i/>
          <w:iCs/>
          <w:color w:val="auto"/>
        </w:rPr>
        <w:t>E</w:t>
      </w:r>
      <w:r w:rsidRPr="00E668FC">
        <w:rPr>
          <w:rFonts w:cs="Arial"/>
          <w:color w:val="auto"/>
          <w:vertAlign w:val="subscript"/>
        </w:rPr>
        <w:t>B</w:t>
      </w:r>
      <w:r w:rsidRPr="00E668FC">
        <w:rPr>
          <w:rFonts w:cs="Arial"/>
          <w:color w:val="auto"/>
        </w:rPr>
        <w:t xml:space="preserve">(t) in year </w:t>
      </w:r>
      <w:r w:rsidRPr="00E668FC">
        <w:rPr>
          <w:rFonts w:cs="Arial"/>
          <w:i/>
          <w:iCs/>
          <w:color w:val="auto"/>
        </w:rPr>
        <w:t>t</w:t>
      </w:r>
      <w:r w:rsidRPr="00E668FC">
        <w:rPr>
          <w:rFonts w:cs="Arial"/>
          <w:color w:val="auto"/>
        </w:rPr>
        <w:t>, after comparing the level of ambition.</w:t>
      </w:r>
    </w:p>
    <w:p w14:paraId="12531B9A" w14:textId="77777777" w:rsidR="005F281B" w:rsidRDefault="005F281B" w:rsidP="005F281B">
      <w:pPr>
        <w:pStyle w:val="Heading2"/>
        <w:numPr>
          <w:ilvl w:val="0"/>
          <w:numId w:val="0"/>
        </w:numPr>
        <w:ind w:left="216" w:hanging="216"/>
      </w:pPr>
      <w:r>
        <w:br w:type="page"/>
      </w:r>
    </w:p>
    <w:p w14:paraId="195696CC" w14:textId="77777777" w:rsidR="005F281B" w:rsidRPr="00E668FC" w:rsidRDefault="005F281B" w:rsidP="005F281B">
      <w:pPr>
        <w:pStyle w:val="Heading2"/>
        <w:numPr>
          <w:ilvl w:val="0"/>
          <w:numId w:val="0"/>
        </w:numPr>
        <w:ind w:left="576" w:hanging="576"/>
      </w:pPr>
      <w:bookmarkStart w:id="8" w:name="_Toc34169188"/>
      <w:r>
        <w:lastRenderedPageBreak/>
        <w:t>S3.2</w:t>
      </w:r>
      <w:r w:rsidRPr="00E668FC">
        <w:t>: Share of electricity-related GHG emissions in total direct and electricity-related GHG emissions from cities</w:t>
      </w:r>
      <w:bookmarkEnd w:id="8"/>
      <w:r w:rsidRPr="00E668FC">
        <w:t xml:space="preserve"> </w:t>
      </w:r>
    </w:p>
    <w:p w14:paraId="29E3DE43" w14:textId="77777777" w:rsidR="005F281B" w:rsidRPr="00511A50" w:rsidRDefault="005F281B" w:rsidP="005F281B">
      <w:pPr>
        <w:spacing w:line="360" w:lineRule="auto"/>
        <w:rPr>
          <w:color w:val="auto"/>
        </w:rPr>
      </w:pPr>
    </w:p>
    <w:p w14:paraId="25D27520" w14:textId="5FD4EC8D" w:rsidR="005F281B" w:rsidRPr="00E668FC" w:rsidRDefault="005F281B" w:rsidP="005F281B">
      <w:pPr>
        <w:pStyle w:val="Caption"/>
      </w:pPr>
      <w:bookmarkStart w:id="9" w:name="_Ref23422105"/>
      <w:r>
        <w:t>Table S-</w:t>
      </w:r>
      <w:r>
        <w:fldChar w:fldCharType="begin"/>
      </w:r>
      <w:r>
        <w:instrText xml:space="preserve"> SEQ Table_S- \* ARABIC </w:instrText>
      </w:r>
      <w:r>
        <w:fldChar w:fldCharType="separate"/>
      </w:r>
      <w:r w:rsidR="00B35840">
        <w:rPr>
          <w:noProof/>
        </w:rPr>
        <w:t>2</w:t>
      </w:r>
      <w:r>
        <w:fldChar w:fldCharType="end"/>
      </w:r>
      <w:bookmarkEnd w:id="9"/>
      <w:r w:rsidRPr="00E668FC">
        <w:t xml:space="preserve">: Share of electricity-related GHG emissions in total direct and electricity-related GHG emissions from cities. </w:t>
      </w:r>
    </w:p>
    <w:tbl>
      <w:tblPr>
        <w:tblStyle w:val="NewClimateTableGrey"/>
        <w:tblW w:w="9090" w:type="dxa"/>
        <w:tblLook w:val="04A0" w:firstRow="1" w:lastRow="0" w:firstColumn="1" w:lastColumn="0" w:noHBand="0" w:noVBand="1"/>
      </w:tblPr>
      <w:tblGrid>
        <w:gridCol w:w="1710"/>
        <w:gridCol w:w="1350"/>
        <w:gridCol w:w="6030"/>
      </w:tblGrid>
      <w:tr w:rsidR="005F281B" w:rsidRPr="00E668FC" w14:paraId="1D0339A4" w14:textId="77777777" w:rsidTr="009751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15E41CBA" w14:textId="77777777" w:rsidR="005F281B" w:rsidRPr="00E668FC" w:rsidRDefault="005F281B" w:rsidP="0097511D">
            <w:pPr>
              <w:spacing w:line="360" w:lineRule="auto"/>
              <w:rPr>
                <w:rFonts w:cs="Arial"/>
                <w:color w:val="auto"/>
                <w:lang w:eastAsia="ja-JP"/>
              </w:rPr>
            </w:pPr>
            <w:r w:rsidRPr="00E668FC">
              <w:rPr>
                <w:rFonts w:cs="Arial"/>
                <w:color w:val="auto"/>
                <w:lang w:eastAsia="ja-JP"/>
              </w:rPr>
              <w:t>Country</w:t>
            </w:r>
          </w:p>
        </w:tc>
        <w:tc>
          <w:tcPr>
            <w:tcW w:w="1350" w:type="dxa"/>
            <w:hideMark/>
          </w:tcPr>
          <w:p w14:paraId="6B2EC5B6" w14:textId="77777777" w:rsidR="005F281B" w:rsidRPr="00E668FC" w:rsidRDefault="005F281B" w:rsidP="0097511D">
            <w:pPr>
              <w:spacing w:line="360" w:lineRule="auto"/>
              <w:cnfStyle w:val="100000000000" w:firstRow="1" w:lastRow="0" w:firstColumn="0" w:lastColumn="0" w:oddVBand="0" w:evenVBand="0" w:oddHBand="0" w:evenHBand="0" w:firstRowFirstColumn="0" w:firstRowLastColumn="0" w:lastRowFirstColumn="0" w:lastRowLastColumn="0"/>
              <w:rPr>
                <w:rFonts w:cs="Arial"/>
                <w:color w:val="auto"/>
                <w:lang w:eastAsia="ja-JP"/>
              </w:rPr>
            </w:pPr>
            <w:r w:rsidRPr="00E668FC">
              <w:rPr>
                <w:rFonts w:cs="Arial"/>
                <w:color w:val="auto"/>
                <w:lang w:eastAsia="ja-JP"/>
              </w:rPr>
              <w:t>Value</w:t>
            </w:r>
          </w:p>
        </w:tc>
        <w:tc>
          <w:tcPr>
            <w:tcW w:w="6030" w:type="dxa"/>
            <w:hideMark/>
          </w:tcPr>
          <w:p w14:paraId="7C63D585" w14:textId="77777777" w:rsidR="005F281B" w:rsidRPr="00E668FC" w:rsidRDefault="005F281B" w:rsidP="0097511D">
            <w:pPr>
              <w:spacing w:line="360" w:lineRule="auto"/>
              <w:cnfStyle w:val="100000000000" w:firstRow="1" w:lastRow="0" w:firstColumn="0" w:lastColumn="0" w:oddVBand="0" w:evenVBand="0" w:oddHBand="0" w:evenHBand="0" w:firstRowFirstColumn="0" w:firstRowLastColumn="0" w:lastRowFirstColumn="0" w:lastRowLastColumn="0"/>
              <w:rPr>
                <w:rFonts w:cs="Arial"/>
                <w:color w:val="auto"/>
                <w:lang w:eastAsia="ja-JP"/>
              </w:rPr>
            </w:pPr>
            <w:r w:rsidRPr="00E668FC">
              <w:rPr>
                <w:rFonts w:cs="Arial"/>
                <w:color w:val="auto"/>
                <w:lang w:eastAsia="ja-JP"/>
              </w:rPr>
              <w:t>Source</w:t>
            </w:r>
          </w:p>
        </w:tc>
      </w:tr>
      <w:tr w:rsidR="005F281B" w:rsidRPr="00E668FC" w14:paraId="43FD65BC" w14:textId="77777777" w:rsidTr="00975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FC718D4" w14:textId="77777777" w:rsidR="005F281B" w:rsidRPr="00E668FC" w:rsidRDefault="005F281B" w:rsidP="0097511D">
            <w:pPr>
              <w:spacing w:line="360" w:lineRule="auto"/>
              <w:rPr>
                <w:rFonts w:cs="Arial"/>
                <w:color w:val="auto"/>
                <w:lang w:eastAsia="ja-JP"/>
              </w:rPr>
            </w:pPr>
            <w:bookmarkStart w:id="10" w:name="RANGE!B22:B31"/>
            <w:bookmarkStart w:id="11" w:name="RANGE!B21:B29"/>
            <w:r w:rsidRPr="00E668FC">
              <w:rPr>
                <w:rFonts w:cs="Arial"/>
                <w:color w:val="auto"/>
              </w:rPr>
              <w:t>Brazil</w:t>
            </w:r>
            <w:bookmarkEnd w:id="10"/>
            <w:bookmarkEnd w:id="11"/>
          </w:p>
        </w:tc>
        <w:tc>
          <w:tcPr>
            <w:tcW w:w="1350" w:type="dxa"/>
            <w:noWrap/>
            <w:hideMark/>
          </w:tcPr>
          <w:p w14:paraId="34104519"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lang w:eastAsia="ja-JP"/>
              </w:rPr>
            </w:pPr>
            <w:bookmarkStart w:id="12" w:name="RANGE!C22:C31"/>
            <w:bookmarkStart w:id="13" w:name="RANGE!C21:C29"/>
            <w:r w:rsidRPr="00E668FC">
              <w:rPr>
                <w:rFonts w:cs="Arial"/>
                <w:color w:val="auto"/>
              </w:rPr>
              <w:t>17%</w:t>
            </w:r>
            <w:bookmarkEnd w:id="12"/>
            <w:bookmarkEnd w:id="13"/>
          </w:p>
        </w:tc>
        <w:tc>
          <w:tcPr>
            <w:tcW w:w="6030" w:type="dxa"/>
            <w:noWrap/>
            <w:hideMark/>
          </w:tcPr>
          <w:p w14:paraId="6F379FE1"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highlight w:val="yellow"/>
                <w:lang w:eastAsia="ja-JP"/>
              </w:rPr>
            </w:pPr>
            <w:bookmarkStart w:id="14" w:name="RANGE!D22:D31"/>
            <w:bookmarkStart w:id="15" w:name="RANGE!D21:D29"/>
            <w:r w:rsidRPr="00E668FC">
              <w:rPr>
                <w:rFonts w:cs="Arial"/>
                <w:color w:val="auto"/>
              </w:rPr>
              <w:t xml:space="preserve">average of 14 cities data from CDP </w:t>
            </w:r>
            <w:bookmarkEnd w:id="14"/>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bookmarkEnd w:id="15"/>
          </w:p>
        </w:tc>
      </w:tr>
      <w:tr w:rsidR="005F281B" w:rsidRPr="00E668FC" w14:paraId="39944EC5" w14:textId="77777777" w:rsidTr="0097511D">
        <w:trPr>
          <w:trHeight w:val="300"/>
        </w:trPr>
        <w:tc>
          <w:tcPr>
            <w:cnfStyle w:val="001000000000" w:firstRow="0" w:lastRow="0" w:firstColumn="1" w:lastColumn="0" w:oddVBand="0" w:evenVBand="0" w:oddHBand="0" w:evenHBand="0" w:firstRowFirstColumn="0" w:firstRowLastColumn="0" w:lastRowFirstColumn="0" w:lastRowLastColumn="0"/>
            <w:tcW w:w="1710" w:type="dxa"/>
            <w:noWrap/>
          </w:tcPr>
          <w:p w14:paraId="6B34C5D2" w14:textId="77777777" w:rsidR="005F281B" w:rsidRPr="00E668FC" w:rsidRDefault="005F281B" w:rsidP="0097511D">
            <w:pPr>
              <w:spacing w:line="360" w:lineRule="auto"/>
              <w:rPr>
                <w:rFonts w:cs="Arial"/>
                <w:color w:val="auto"/>
              </w:rPr>
            </w:pPr>
            <w:r w:rsidRPr="00E668FC">
              <w:rPr>
                <w:rFonts w:cs="Arial"/>
                <w:color w:val="auto"/>
              </w:rPr>
              <w:t>Canada</w:t>
            </w:r>
          </w:p>
        </w:tc>
        <w:tc>
          <w:tcPr>
            <w:tcW w:w="1350" w:type="dxa"/>
            <w:noWrap/>
          </w:tcPr>
          <w:p w14:paraId="6295F209"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20%</w:t>
            </w:r>
          </w:p>
        </w:tc>
        <w:tc>
          <w:tcPr>
            <w:tcW w:w="6030" w:type="dxa"/>
            <w:noWrap/>
          </w:tcPr>
          <w:p w14:paraId="2D734113"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 xml:space="preserve">average of 15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1F13EB05" w14:textId="77777777" w:rsidTr="00975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tcPr>
          <w:p w14:paraId="099E9F61" w14:textId="77777777" w:rsidR="005F281B" w:rsidRPr="00E668FC" w:rsidRDefault="005F281B" w:rsidP="0097511D">
            <w:pPr>
              <w:spacing w:line="360" w:lineRule="auto"/>
              <w:rPr>
                <w:rFonts w:cs="Arial"/>
                <w:color w:val="auto"/>
                <w:lang w:eastAsia="ja-JP"/>
              </w:rPr>
            </w:pPr>
            <w:r w:rsidRPr="00E668FC">
              <w:rPr>
                <w:rFonts w:cs="Arial"/>
                <w:color w:val="auto"/>
              </w:rPr>
              <w:t>China</w:t>
            </w:r>
          </w:p>
        </w:tc>
        <w:tc>
          <w:tcPr>
            <w:tcW w:w="1350" w:type="dxa"/>
            <w:noWrap/>
          </w:tcPr>
          <w:p w14:paraId="25550E7A"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lang w:eastAsia="ja-JP"/>
              </w:rPr>
            </w:pPr>
            <w:r w:rsidRPr="00E668FC">
              <w:rPr>
                <w:rFonts w:cs="Arial"/>
                <w:color w:val="auto"/>
              </w:rPr>
              <w:t>45%</w:t>
            </w:r>
          </w:p>
        </w:tc>
        <w:tc>
          <w:tcPr>
            <w:tcW w:w="6030" w:type="dxa"/>
            <w:noWrap/>
          </w:tcPr>
          <w:p w14:paraId="4B1927AD"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highlight w:val="yellow"/>
                <w:lang w:eastAsia="ja-JP"/>
              </w:rPr>
            </w:pPr>
            <w:r w:rsidRPr="00E668FC">
              <w:rPr>
                <w:rFonts w:cs="Arial"/>
                <w:color w:val="auto"/>
              </w:rPr>
              <w:t xml:space="preserve">Authors' estimate from Liu (2016) on four major cities (Beijing, Shanghai, </w:t>
            </w:r>
            <w:proofErr w:type="spellStart"/>
            <w:r w:rsidRPr="00E668FC">
              <w:rPr>
                <w:rFonts w:cs="Arial"/>
                <w:color w:val="auto"/>
              </w:rPr>
              <w:t>Tiangjin</w:t>
            </w:r>
            <w:proofErr w:type="spellEnd"/>
            <w:r w:rsidRPr="00E668FC">
              <w:rPr>
                <w:rFonts w:cs="Arial"/>
                <w:color w:val="auto"/>
              </w:rPr>
              <w:t>, Chongqing) in 2009</w:t>
            </w:r>
          </w:p>
        </w:tc>
      </w:tr>
      <w:tr w:rsidR="005F281B" w:rsidRPr="00E668FC" w14:paraId="45EF8F8B" w14:textId="77777777" w:rsidTr="0097511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A2BEA1E" w14:textId="77777777" w:rsidR="005F281B" w:rsidRPr="00E668FC" w:rsidRDefault="005F281B" w:rsidP="0097511D">
            <w:pPr>
              <w:spacing w:line="360" w:lineRule="auto"/>
              <w:rPr>
                <w:rFonts w:cs="Arial"/>
                <w:color w:val="auto"/>
                <w:lang w:eastAsia="ja-JP"/>
              </w:rPr>
            </w:pPr>
            <w:r w:rsidRPr="00E668FC">
              <w:rPr>
                <w:rFonts w:cs="Arial"/>
                <w:color w:val="auto"/>
              </w:rPr>
              <w:t>EU28</w:t>
            </w:r>
          </w:p>
        </w:tc>
        <w:tc>
          <w:tcPr>
            <w:tcW w:w="1350" w:type="dxa"/>
            <w:noWrap/>
            <w:hideMark/>
          </w:tcPr>
          <w:p w14:paraId="61C16FCA"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lang w:eastAsia="ja-JP"/>
              </w:rPr>
            </w:pPr>
            <w:r w:rsidRPr="00E668FC">
              <w:rPr>
                <w:rFonts w:cs="Arial"/>
                <w:color w:val="auto"/>
              </w:rPr>
              <w:t>34%</w:t>
            </w:r>
          </w:p>
        </w:tc>
        <w:tc>
          <w:tcPr>
            <w:tcW w:w="6030" w:type="dxa"/>
            <w:noWrap/>
            <w:hideMark/>
          </w:tcPr>
          <w:p w14:paraId="54EA91FE"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highlight w:val="yellow"/>
                <w:lang w:eastAsia="ja-JP"/>
              </w:rPr>
            </w:pPr>
            <w:r w:rsidRPr="00E668FC">
              <w:rPr>
                <w:rFonts w:cs="Arial"/>
                <w:color w:val="auto"/>
              </w:rPr>
              <w:t xml:space="preserve">average of 53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2B66602E" w14:textId="77777777" w:rsidTr="00975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262B246" w14:textId="77777777" w:rsidR="005F281B" w:rsidRPr="00E668FC" w:rsidRDefault="005F281B" w:rsidP="0097511D">
            <w:pPr>
              <w:spacing w:line="360" w:lineRule="auto"/>
              <w:rPr>
                <w:rFonts w:cs="Arial"/>
                <w:color w:val="auto"/>
                <w:lang w:eastAsia="ja-JP"/>
              </w:rPr>
            </w:pPr>
            <w:r w:rsidRPr="00E668FC">
              <w:rPr>
                <w:rFonts w:cs="Arial"/>
                <w:color w:val="auto"/>
              </w:rPr>
              <w:t>India</w:t>
            </w:r>
          </w:p>
        </w:tc>
        <w:tc>
          <w:tcPr>
            <w:tcW w:w="1350" w:type="dxa"/>
            <w:noWrap/>
            <w:hideMark/>
          </w:tcPr>
          <w:p w14:paraId="6F5DD4AF"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lang w:eastAsia="ja-JP"/>
              </w:rPr>
            </w:pPr>
            <w:r w:rsidRPr="00E668FC">
              <w:rPr>
                <w:rFonts w:cs="Arial"/>
                <w:color w:val="auto"/>
              </w:rPr>
              <w:t>20%</w:t>
            </w:r>
          </w:p>
        </w:tc>
        <w:tc>
          <w:tcPr>
            <w:tcW w:w="6030" w:type="dxa"/>
            <w:noWrap/>
            <w:hideMark/>
          </w:tcPr>
          <w:p w14:paraId="7DB532AF"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highlight w:val="yellow"/>
                <w:lang w:eastAsia="ja-JP"/>
              </w:rPr>
            </w:pPr>
            <w:r w:rsidRPr="00E668FC">
              <w:rPr>
                <w:rFonts w:cs="Arial"/>
                <w:color w:val="auto"/>
              </w:rPr>
              <w:t xml:space="preserve">Authors' estimate from Ramachandra et al. </w:t>
            </w:r>
            <w:r w:rsidRPr="00511A50">
              <w:rPr>
                <w:rFonts w:cs="Arial"/>
                <w:color w:val="auto"/>
              </w:rPr>
              <w:fldChar w:fldCharType="begin" w:fldLock="1"/>
            </w:r>
            <w:r w:rsidRPr="00E668FC">
              <w:rPr>
                <w:rFonts w:cs="Arial"/>
                <w:color w:val="auto"/>
              </w:rPr>
              <w:instrText>ADDIN CSL_CITATION {"citationItems":[{"id":"ITEM-1","itemData":{"DOI":"10.1016/j.rser.2014.12.036","ISBN":"1364-0321","ISSN":"13640321","abstract":"Concentration of greenhouse gases (GHG) in the atmosphere has been increasing rapidly during the last century due to ever increasing anthropogenic activities resulting in significant increases in the temperature of the Earth causing global warming. Major sources of GHG are forests (due to human induced land cover changes leading to deforestation), power generation (burning of fossil fuels), transportation (burning fossil fuel), agriculture (livestock, farming, rice cultivation and burning of crop residues), water bodies (wetlands), industry and urban activities (building, construction, transport, solid and liquid waste). Aggregation of GHG (CO2 and non-CO2 gases), in terms of Carbon dioxide equivalent (CO2e), indicate the GHG footprint. GHG footprint is thus a measure of the impact of human activities on the environment in terms of the amount of greenhouse gases produced. This study focuses on accounting of the amount of three important greenhouses gases namely carbon dioxide (CO2), methane (CH4) and nitrous oxide (N2O) and thereby developing GHG footprint of the major cities in India. National GHG inventories have been used for quantification of sector-wise greenhouse gas emissions. Country specific emission factors are used where all the emission factors are available. Default emission factors from IPCC guidelines are used when there are no country specific emission factors. Emission of each greenhouse gas is estimated by multiplying fuel consumption by the corresponding emission factor. The current study estimates GHG footprint or GHG emissions (in terms of CO2 equivalent) for Indian major cities and explores the linkages with the population and GDP. GHG footprint (Aggregation of Carbon dioxide equivalent emissions of GHG's) of Delhi, Greater Mumbai, Kolkata, Chennai, Greater Bangalore, Hyderabad and Ahmedabad are found to be 38,633.2 Gg, 22,783.08 Gg, 14,812.10 Gg, 22,090.55 Gg, 19,796.5 Gg, 13,734.59 Gg and 91,24.45 Gg CO2 eq., respectively. The major contributors sectors are transportation sector (contributing 32%, 17.4%, 13.3%, 19.5%, 43.5%, 56.86% and 25%), domestic sector (contributing 30.26%, 37.2%, 42.78%, 39%, 21.6%, 17.05% and 27.9%) and industrial sector (contributing 7.9%, 7.9%, 17.66%, 20.25%, 12.31%, 11.38% and 22.41%) of the total emissions in Delhi, Greater Mumbai, Kolkata, Chennai, Greater Bangalore, Hyderabad and Ahmedabad, respectively. Chennai emits 4.79 t of CO2 equivalent emissions per capita, the highest among all the cities fo…","author":[{"dropping-particle":"V.","family":"Ramachandra","given":"T.","non-dropping-particle":"","parse-names":false,"suffix":""},{"dropping-particle":"","family":"Aithal","given":"Bharath H.","non-dropping-particle":"","parse-names":false,"suffix":""},{"dropping-particle":"","family":"Sreejith","given":"K.","non-dropping-particle":"","parse-names":false,"suffix":""}],"container-title":"Renewable and Sustainable Energy Reviews","id":"ITEM-1","issue":"January","issued":{"date-parts":[["2015"]]},"page":"473-495","title":"GHG footprint of major cities in India","type":"article-journal","volume":"44"},"suppress-author":1,"uris":["http://www.mendeley.com/documents/?uuid=aeab5cd1-6f37-4100-ba85-7ec39af8ceea"]}],"mendeley":{"formattedCitation":"(2015)","plainTextFormattedCitation":"(2015)","previouslyFormattedCitation":"(2015)"},"properties":{"noteIndex":0},"schema":"https://github.com/citation-style-language/schema/raw/master/csl-citation.json"}</w:instrText>
            </w:r>
            <w:r w:rsidRPr="00511A50">
              <w:rPr>
                <w:rFonts w:cs="Arial"/>
                <w:color w:val="auto"/>
              </w:rPr>
              <w:fldChar w:fldCharType="separate"/>
            </w:r>
            <w:r w:rsidRPr="0041607A">
              <w:rPr>
                <w:rFonts w:cs="Arial"/>
                <w:noProof/>
                <w:color w:val="auto"/>
              </w:rPr>
              <w:t>(2015)</w:t>
            </w:r>
            <w:r w:rsidRPr="00511A50">
              <w:rPr>
                <w:rFonts w:cs="Arial"/>
                <w:color w:val="auto"/>
              </w:rPr>
              <w:fldChar w:fldCharType="end"/>
            </w:r>
            <w:r w:rsidRPr="00E668FC">
              <w:rPr>
                <w:rFonts w:eastAsiaTheme="minorEastAsia" w:cs="Arial"/>
                <w:color w:val="auto"/>
                <w:szCs w:val="22"/>
              </w:rPr>
              <w:t xml:space="preserve"> on seven cities (Delhi, Mumbai, Hyderabad, Chennai, Kolkata, Bangalore, Ahmedabad) in 2009-2010</w:t>
            </w:r>
          </w:p>
        </w:tc>
      </w:tr>
      <w:tr w:rsidR="005F281B" w:rsidRPr="00E668FC" w14:paraId="0A94C3A8" w14:textId="77777777" w:rsidTr="0097511D">
        <w:trPr>
          <w:trHeight w:val="300"/>
        </w:trPr>
        <w:tc>
          <w:tcPr>
            <w:cnfStyle w:val="001000000000" w:firstRow="0" w:lastRow="0" w:firstColumn="1" w:lastColumn="0" w:oddVBand="0" w:evenVBand="0" w:oddHBand="0" w:evenHBand="0" w:firstRowFirstColumn="0" w:firstRowLastColumn="0" w:lastRowFirstColumn="0" w:lastRowLastColumn="0"/>
            <w:tcW w:w="1710" w:type="dxa"/>
            <w:noWrap/>
          </w:tcPr>
          <w:p w14:paraId="1184A140" w14:textId="77777777" w:rsidR="005F281B" w:rsidRPr="00E668FC" w:rsidRDefault="005F281B" w:rsidP="0097511D">
            <w:pPr>
              <w:spacing w:line="360" w:lineRule="auto"/>
              <w:rPr>
                <w:rFonts w:cs="Arial"/>
                <w:color w:val="auto"/>
              </w:rPr>
            </w:pPr>
            <w:r w:rsidRPr="00E668FC">
              <w:rPr>
                <w:rFonts w:cs="Arial"/>
                <w:color w:val="auto"/>
              </w:rPr>
              <w:t>Indonesia</w:t>
            </w:r>
          </w:p>
        </w:tc>
        <w:tc>
          <w:tcPr>
            <w:tcW w:w="1350" w:type="dxa"/>
            <w:noWrap/>
          </w:tcPr>
          <w:p w14:paraId="282AD43E"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57%</w:t>
            </w:r>
          </w:p>
        </w:tc>
        <w:tc>
          <w:tcPr>
            <w:tcW w:w="6030" w:type="dxa"/>
            <w:noWrap/>
          </w:tcPr>
          <w:p w14:paraId="0E1D06A6"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 xml:space="preserve">average of 2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20730335" w14:textId="77777777" w:rsidTr="00975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822C419" w14:textId="77777777" w:rsidR="005F281B" w:rsidRPr="00E668FC" w:rsidRDefault="005F281B" w:rsidP="0097511D">
            <w:pPr>
              <w:spacing w:line="360" w:lineRule="auto"/>
              <w:rPr>
                <w:rFonts w:cs="Arial"/>
                <w:color w:val="auto"/>
                <w:lang w:eastAsia="ja-JP"/>
              </w:rPr>
            </w:pPr>
            <w:r w:rsidRPr="00E668FC">
              <w:rPr>
                <w:rFonts w:cs="Arial"/>
                <w:color w:val="auto"/>
              </w:rPr>
              <w:t>Japan</w:t>
            </w:r>
          </w:p>
        </w:tc>
        <w:tc>
          <w:tcPr>
            <w:tcW w:w="1350" w:type="dxa"/>
            <w:noWrap/>
            <w:hideMark/>
          </w:tcPr>
          <w:p w14:paraId="38C9B22C"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lang w:eastAsia="ja-JP"/>
              </w:rPr>
            </w:pPr>
            <w:r w:rsidRPr="00E668FC">
              <w:rPr>
                <w:rFonts w:cs="Arial"/>
                <w:color w:val="auto"/>
              </w:rPr>
              <w:t>54%</w:t>
            </w:r>
          </w:p>
        </w:tc>
        <w:tc>
          <w:tcPr>
            <w:tcW w:w="6030" w:type="dxa"/>
            <w:noWrap/>
            <w:hideMark/>
          </w:tcPr>
          <w:p w14:paraId="2CC51994"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highlight w:val="yellow"/>
                <w:lang w:eastAsia="ja-JP"/>
              </w:rPr>
            </w:pPr>
            <w:r w:rsidRPr="00E668FC">
              <w:rPr>
                <w:rFonts w:cs="Arial"/>
                <w:color w:val="auto"/>
              </w:rPr>
              <w:t xml:space="preserve">average of 2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10B993E5" w14:textId="77777777" w:rsidTr="0097511D">
        <w:trPr>
          <w:trHeight w:val="300"/>
        </w:trPr>
        <w:tc>
          <w:tcPr>
            <w:cnfStyle w:val="001000000000" w:firstRow="0" w:lastRow="0" w:firstColumn="1" w:lastColumn="0" w:oddVBand="0" w:evenVBand="0" w:oddHBand="0" w:evenHBand="0" w:firstRowFirstColumn="0" w:firstRowLastColumn="0" w:lastRowFirstColumn="0" w:lastRowLastColumn="0"/>
            <w:tcW w:w="1710" w:type="dxa"/>
            <w:noWrap/>
          </w:tcPr>
          <w:p w14:paraId="774EC3D2" w14:textId="77777777" w:rsidR="005F281B" w:rsidRPr="00E668FC" w:rsidRDefault="005F281B" w:rsidP="0097511D">
            <w:pPr>
              <w:spacing w:line="360" w:lineRule="auto"/>
              <w:rPr>
                <w:rFonts w:cs="Arial"/>
                <w:color w:val="auto"/>
                <w:lang w:eastAsia="ja-JP"/>
              </w:rPr>
            </w:pPr>
            <w:r w:rsidRPr="00E668FC">
              <w:rPr>
                <w:rFonts w:cs="Arial"/>
                <w:color w:val="auto"/>
              </w:rPr>
              <w:t>Mexico</w:t>
            </w:r>
          </w:p>
        </w:tc>
        <w:tc>
          <w:tcPr>
            <w:tcW w:w="1350" w:type="dxa"/>
            <w:noWrap/>
          </w:tcPr>
          <w:p w14:paraId="23BB38A4"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lang w:eastAsia="ja-JP"/>
              </w:rPr>
            </w:pPr>
            <w:r w:rsidRPr="00E668FC">
              <w:rPr>
                <w:rFonts w:cs="Arial"/>
                <w:color w:val="auto"/>
              </w:rPr>
              <w:t>25%</w:t>
            </w:r>
          </w:p>
        </w:tc>
        <w:tc>
          <w:tcPr>
            <w:tcW w:w="6030" w:type="dxa"/>
            <w:noWrap/>
          </w:tcPr>
          <w:p w14:paraId="6078AE0A"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highlight w:val="yellow"/>
                <w:lang w:eastAsia="ja-JP"/>
              </w:rPr>
            </w:pPr>
            <w:r w:rsidRPr="00E668FC">
              <w:rPr>
                <w:rFonts w:cs="Arial"/>
                <w:color w:val="auto"/>
              </w:rPr>
              <w:t xml:space="preserve">average of 5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7B3DC240" w14:textId="77777777" w:rsidTr="0097511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710" w:type="dxa"/>
            <w:noWrap/>
          </w:tcPr>
          <w:p w14:paraId="3A6B7F00" w14:textId="77777777" w:rsidR="005F281B" w:rsidRPr="00E668FC" w:rsidRDefault="005F281B" w:rsidP="0097511D">
            <w:pPr>
              <w:spacing w:line="360" w:lineRule="auto"/>
              <w:rPr>
                <w:rFonts w:cs="Arial"/>
                <w:color w:val="auto"/>
              </w:rPr>
            </w:pPr>
            <w:r w:rsidRPr="00E668FC">
              <w:rPr>
                <w:rFonts w:cs="Arial"/>
                <w:color w:val="auto"/>
              </w:rPr>
              <w:t>South Africa</w:t>
            </w:r>
          </w:p>
        </w:tc>
        <w:tc>
          <w:tcPr>
            <w:tcW w:w="1350" w:type="dxa"/>
            <w:noWrap/>
          </w:tcPr>
          <w:p w14:paraId="48F3EF6D"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60%</w:t>
            </w:r>
          </w:p>
        </w:tc>
        <w:tc>
          <w:tcPr>
            <w:tcW w:w="6030" w:type="dxa"/>
            <w:noWrap/>
          </w:tcPr>
          <w:p w14:paraId="51350CED" w14:textId="77777777" w:rsidR="005F281B" w:rsidRPr="00E668FC" w:rsidRDefault="005F281B" w:rsidP="0097511D">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 xml:space="preserve">average of 5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r w:rsidR="005F281B" w:rsidRPr="00E668FC" w14:paraId="178C777D" w14:textId="77777777" w:rsidTr="0097511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B520F82" w14:textId="77777777" w:rsidR="005F281B" w:rsidRPr="00E668FC" w:rsidRDefault="005F281B" w:rsidP="0097511D">
            <w:pPr>
              <w:spacing w:line="360" w:lineRule="auto"/>
              <w:rPr>
                <w:rFonts w:cs="Arial"/>
                <w:color w:val="auto"/>
                <w:lang w:eastAsia="ja-JP"/>
              </w:rPr>
            </w:pPr>
            <w:r w:rsidRPr="00E668FC">
              <w:rPr>
                <w:rFonts w:cs="Arial"/>
                <w:color w:val="auto"/>
              </w:rPr>
              <w:t>US</w:t>
            </w:r>
          </w:p>
        </w:tc>
        <w:tc>
          <w:tcPr>
            <w:tcW w:w="1350" w:type="dxa"/>
            <w:noWrap/>
            <w:hideMark/>
          </w:tcPr>
          <w:p w14:paraId="6629A43F"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lang w:eastAsia="ja-JP"/>
              </w:rPr>
            </w:pPr>
            <w:r w:rsidRPr="00E668FC">
              <w:rPr>
                <w:rFonts w:cs="Arial"/>
                <w:color w:val="auto"/>
              </w:rPr>
              <w:t>38%</w:t>
            </w:r>
          </w:p>
        </w:tc>
        <w:tc>
          <w:tcPr>
            <w:tcW w:w="6030" w:type="dxa"/>
            <w:noWrap/>
            <w:hideMark/>
          </w:tcPr>
          <w:p w14:paraId="668F03AA" w14:textId="77777777" w:rsidR="005F281B" w:rsidRPr="00E668FC" w:rsidRDefault="005F281B" w:rsidP="0097511D">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highlight w:val="yellow"/>
                <w:lang w:eastAsia="ja-JP"/>
              </w:rPr>
            </w:pPr>
            <w:r w:rsidRPr="00E668FC">
              <w:rPr>
                <w:rFonts w:cs="Arial"/>
                <w:color w:val="auto"/>
              </w:rPr>
              <w:t xml:space="preserve">average of 81 cities data from CDP </w:t>
            </w:r>
            <w:r w:rsidRPr="00CE0E68">
              <w:rPr>
                <w:rFonts w:eastAsia="Arial" w:cs="Arial"/>
                <w:color w:val="auto"/>
              </w:rPr>
              <w:fldChar w:fldCharType="begin" w:fldLock="1"/>
            </w:r>
            <w:r w:rsidRPr="00E668FC">
              <w:rPr>
                <w:rFonts w:eastAsia="Arial" w:cs="Arial"/>
                <w:color w:val="auto"/>
              </w:rPr>
              <w:instrText>ADDIN CSL_CITATION {"citationItems":[{"id":"ITEM-1","itemData":{"URL":"https://www.cdp.net/en/research/global-reports/global-climate-change-report-2018","accessed":{"date-parts":[["2019","9","10"]]},"author":[{"dropping-particle":"","family":"CDP","given":"","non-dropping-particle":"","parse-names":false,"suffix":""}],"id":"ITEM-1","issued":{"date-parts":[["2019"]]},"publisher":"CDP","title":"Global Climate Change Analysis 2018","type":"webpage"},"suppress-author":1,"uris":["http://www.mendeley.com/documents/?uuid=eed30db4-639f-481a-ac5a-1534b536ffd6"]}],"mendeley":{"formattedCitation":"(2019)","plainTextFormattedCitation":"(2019)","previouslyFormattedCitation":"(2019)"},"properties":{"noteIndex":0},"schema":"https://github.com/citation-style-language/schema/raw/master/csl-citation.json"}</w:instrText>
            </w:r>
            <w:r w:rsidRPr="00CE0E68">
              <w:rPr>
                <w:rFonts w:eastAsia="Arial" w:cs="Arial"/>
                <w:color w:val="auto"/>
              </w:rPr>
              <w:fldChar w:fldCharType="separate"/>
            </w:r>
            <w:r w:rsidRPr="0041607A">
              <w:rPr>
                <w:rFonts w:eastAsia="Arial" w:cs="Arial"/>
                <w:noProof/>
                <w:color w:val="auto"/>
              </w:rPr>
              <w:t>(2019)</w:t>
            </w:r>
            <w:r w:rsidRPr="00CE0E68">
              <w:rPr>
                <w:rFonts w:eastAsia="Arial" w:cs="Arial"/>
                <w:color w:val="auto"/>
              </w:rPr>
              <w:fldChar w:fldCharType="end"/>
            </w:r>
          </w:p>
        </w:tc>
      </w:tr>
    </w:tbl>
    <w:p w14:paraId="02D0AB04" w14:textId="77777777" w:rsidR="005F281B" w:rsidRPr="00511A50" w:rsidRDefault="005F281B" w:rsidP="005F281B">
      <w:pPr>
        <w:spacing w:line="360" w:lineRule="auto"/>
        <w:rPr>
          <w:rFonts w:cs="Arial"/>
          <w:color w:val="auto"/>
        </w:rPr>
      </w:pPr>
    </w:p>
    <w:p w14:paraId="1A3D5933" w14:textId="77777777" w:rsidR="005F281B" w:rsidRPr="00511A50" w:rsidRDefault="005F281B" w:rsidP="005F281B">
      <w:pPr>
        <w:pStyle w:val="Heading2"/>
        <w:numPr>
          <w:ilvl w:val="0"/>
          <w:numId w:val="0"/>
        </w:numPr>
        <w:spacing w:line="360" w:lineRule="auto"/>
        <w:ind w:left="576" w:hanging="576"/>
        <w:rPr>
          <w:rFonts w:cs="Arial"/>
        </w:rPr>
      </w:pPr>
      <w:r w:rsidRPr="00511A50">
        <w:rPr>
          <w:rFonts w:cs="Arial"/>
        </w:rPr>
        <w:br w:type="page"/>
      </w:r>
    </w:p>
    <w:p w14:paraId="3E93BB78" w14:textId="77777777" w:rsidR="005F281B" w:rsidRPr="00E668FC" w:rsidRDefault="005F281B" w:rsidP="005F281B">
      <w:pPr>
        <w:pStyle w:val="Heading2"/>
        <w:numPr>
          <w:ilvl w:val="0"/>
          <w:numId w:val="0"/>
        </w:numPr>
        <w:ind w:left="576" w:hanging="576"/>
      </w:pPr>
      <w:bookmarkStart w:id="16" w:name="_Toc34169189"/>
      <w:bookmarkStart w:id="17" w:name="_Ref517358359"/>
      <w:bookmarkStart w:id="18" w:name="_Toc20406849"/>
      <w:r>
        <w:lastRenderedPageBreak/>
        <w:t>S3.3:</w:t>
      </w:r>
      <w:r w:rsidRPr="00E668FC">
        <w:t xml:space="preserve"> </w:t>
      </w:r>
      <w:r>
        <w:t>Detailed description of the “partial effect” method</w:t>
      </w:r>
      <w:bookmarkEnd w:id="16"/>
    </w:p>
    <w:p w14:paraId="448BAF14" w14:textId="77777777" w:rsidR="005F281B" w:rsidRDefault="005F281B" w:rsidP="005F281B">
      <w:pPr>
        <w:spacing w:line="360" w:lineRule="auto"/>
        <w:rPr>
          <w:b/>
          <w:bCs/>
        </w:rPr>
      </w:pPr>
    </w:p>
    <w:p w14:paraId="3DC86CDB" w14:textId="3B979F41" w:rsidR="005F281B" w:rsidRPr="00E668FC" w:rsidRDefault="005F281B" w:rsidP="005F281B">
      <w:pPr>
        <w:spacing w:line="360" w:lineRule="auto"/>
        <w:rPr>
          <w:lang w:eastAsia="ja-JP"/>
        </w:rPr>
      </w:pPr>
      <w:r w:rsidRPr="00E668FC">
        <w:rPr>
          <w:b/>
          <w:bCs/>
        </w:rPr>
        <w:t>The partial effect method</w:t>
      </w:r>
      <w:r w:rsidRPr="00E668FC">
        <w:t xml:space="preserve"> only counts the additional reductions of cities to regions if they are unambiguously more ambitious. Ideally, we would compare a city’s commitment to the emissions reductions of that city expected under the region-level commitment, but such information does not exist. Therefore, we implement this approach by considering only reductions if a city’s target is more ambitious than a long-term emission trajectory consistent with the 2 °C goal. Country-specific long-term trajectories are estimated from Höhne, den Elzen and Escalante </w:t>
      </w:r>
      <w:r w:rsidRPr="00CE0E68">
        <w:fldChar w:fldCharType="begin" w:fldLock="1"/>
      </w:r>
      <w:r w:rsidRPr="00E668FC">
        <w:instrText>ADDIN CSL_CITATION {"citationItems":[{"id":"ITEM-1","itemData":{"DOI":"10.1080/14693062.2014.849452","author":[{"dropping-particle":"","family":"Höhne","given":"Niklas","non-dropping-particle":"","parse-names":false,"suffix":""},{"dropping-particle":"","family":"Elzen","given":"Michel","non-dropping-particle":"den","parse-names":false,"suffix":""},{"dropping-particle":"","family":"Escalante","given":"Donovan","non-dropping-particle":"","parse-names":false,"suffix":""}],"container-title":"Climate Policy","id":"ITEM-1","issue":"1","issued":{"date-parts":[["2014"]]},"page":"122-147","title":"Regional GHG reduction targets based on effort sharing: a comparison of studies","type":"article-journal","volume":"14"},"suppress-author":1,"uris":["http://www.mendeley.com/documents/?uuid=7f87642a-7671-44b0-b785-e9c5ec8e8293","http://www.mendeley.com/documents/?uuid=b5a4e97e-aaf4-4134-abe2-6104ceb17f89"]}],"mendeley":{"formattedCitation":"(2014)","plainTextFormattedCitation":"(2014)","previouslyFormattedCitation":"(2014)"},"properties":{"noteIndex":0},"schema":"https://github.com/citation-style-language/schema/raw/master/csl-citation.json"}</w:instrText>
      </w:r>
      <w:r w:rsidRPr="00CE0E68">
        <w:fldChar w:fldCharType="separate"/>
      </w:r>
      <w:r w:rsidRPr="0041607A">
        <w:rPr>
          <w:noProof/>
        </w:rPr>
        <w:t>(2014)</w:t>
      </w:r>
      <w:r w:rsidRPr="00CE0E68">
        <w:fldChar w:fldCharType="end"/>
      </w:r>
      <w:r w:rsidRPr="00E668FC">
        <w:t xml:space="preserve"> by taking roughly the central estimates of all effort-sharing approaches; the values for 2030 used in the analysis are presented in </w:t>
      </w:r>
      <w:r>
        <w:fldChar w:fldCharType="begin"/>
      </w:r>
      <w:r>
        <w:instrText xml:space="preserve"> REF _Ref23423711 \h </w:instrText>
      </w:r>
      <w:r>
        <w:fldChar w:fldCharType="separate"/>
      </w:r>
      <w:r w:rsidR="00B35840">
        <w:t>Table S-</w:t>
      </w:r>
      <w:r w:rsidR="00B35840">
        <w:rPr>
          <w:noProof/>
        </w:rPr>
        <w:t>3</w:t>
      </w:r>
      <w:r>
        <w:fldChar w:fldCharType="end"/>
      </w:r>
      <w:r>
        <w:t>.</w:t>
      </w:r>
    </w:p>
    <w:p w14:paraId="4D04D830" w14:textId="77777777" w:rsidR="005F281B" w:rsidRPr="00E668FC" w:rsidRDefault="005F281B" w:rsidP="005F281B">
      <w:pPr>
        <w:spacing w:line="360" w:lineRule="auto"/>
        <w:rPr>
          <w:rFonts w:cs="Arial"/>
          <w:color w:val="auto"/>
        </w:rPr>
      </w:pPr>
    </w:p>
    <w:p w14:paraId="4DE67FFB" w14:textId="7A1D91BA" w:rsidR="005F281B" w:rsidRPr="00E668FC" w:rsidRDefault="005F281B" w:rsidP="005F281B">
      <w:pPr>
        <w:pStyle w:val="Caption"/>
        <w:keepNext/>
        <w:spacing w:line="360" w:lineRule="auto"/>
        <w:rPr>
          <w:rFonts w:cs="Arial"/>
          <w:color w:val="auto"/>
        </w:rPr>
      </w:pPr>
      <w:bookmarkStart w:id="19" w:name="_Ref23423711"/>
      <w:r>
        <w:t>Table S-</w:t>
      </w:r>
      <w:r>
        <w:fldChar w:fldCharType="begin"/>
      </w:r>
      <w:r>
        <w:instrText xml:space="preserve"> SEQ Table_S- \* ARABIC </w:instrText>
      </w:r>
      <w:r>
        <w:fldChar w:fldCharType="separate"/>
      </w:r>
      <w:r w:rsidR="00B35840">
        <w:rPr>
          <w:noProof/>
        </w:rPr>
        <w:t>3</w:t>
      </w:r>
      <w:r>
        <w:fldChar w:fldCharType="end"/>
      </w:r>
      <w:bookmarkEnd w:id="19"/>
      <w:r w:rsidRPr="00E668FC">
        <w:t xml:space="preserve">: Indicative 2030 emission levels implied by 2 °C-consistent emission trajectories under a range of effort sharing approaches used as a threshold for quantifying net additional impact. Source: authors’ estimate based on Höhne et al. </w:t>
      </w:r>
      <w:r w:rsidRPr="00CE0E68">
        <w:fldChar w:fldCharType="begin" w:fldLock="1"/>
      </w:r>
      <w:r w:rsidRPr="00E668FC">
        <w:instrText>ADDIN CSL_CITATION {"citationItems":[{"id":"ITEM-1","itemData":{"DOI":"10.1080/14693062.2014.849452","author":[{"dropping-particle":"","family":"Höhne","given":"Niklas","non-dropping-particle":"","parse-names":false,"suffix":""},{"dropping-particle":"","family":"Elzen","given":"Michel","non-dropping-particle":"den","parse-names":false,"suffix":""},{"dropping-particle":"","family":"Escalante","given":"Donovan","non-dropping-particle":"","parse-names":false,"suffix":""}],"container-title":"Climate Policy","id":"ITEM-1","issue":"1","issued":{"date-parts":[["2014"]]},"page":"122-147","title":"Regional GHG reduction targets based on effort sharing: a comparison of studies","type":"article-journal","volume":"14"},"suppress-author":1,"uris":["http://www.mendeley.com/documents/?uuid=b5a4e97e-aaf4-4134-abe2-6104ceb17f89","http://www.mendeley.com/documents/?uuid=7f87642a-7671-44b0-b785-e9c5ec8e8293"]}],"mendeley":{"formattedCitation":"(2014)","plainTextFormattedCitation":"(2014)","previouslyFormattedCitation":"(2014)"},"properties":{"noteIndex":0},"schema":"https://github.com/citation-style-language/schema/raw/master/csl-citation.json"}</w:instrText>
      </w:r>
      <w:r w:rsidRPr="00CE0E68">
        <w:fldChar w:fldCharType="separate"/>
      </w:r>
      <w:r w:rsidRPr="0041607A">
        <w:rPr>
          <w:noProof/>
        </w:rPr>
        <w:t>(2014)</w:t>
      </w:r>
      <w:r w:rsidRPr="00CE0E68">
        <w:fldChar w:fldCharType="end"/>
      </w:r>
      <w:r w:rsidRPr="00E668FC">
        <w:t>.</w:t>
      </w:r>
      <w:r w:rsidRPr="00E668FC">
        <w:rPr>
          <w:rFonts w:cs="Arial"/>
          <w:color w:val="auto"/>
        </w:rPr>
        <w:t xml:space="preserve"> </w:t>
      </w:r>
    </w:p>
    <w:tbl>
      <w:tblPr>
        <w:tblStyle w:val="NewClimateTableGrey"/>
        <w:tblW w:w="4770" w:type="dxa"/>
        <w:tblLook w:val="04A0" w:firstRow="1" w:lastRow="0" w:firstColumn="1" w:lastColumn="0" w:noHBand="0" w:noVBand="1"/>
      </w:tblPr>
      <w:tblGrid>
        <w:gridCol w:w="2070"/>
        <w:gridCol w:w="2700"/>
      </w:tblGrid>
      <w:tr w:rsidR="005F281B" w:rsidRPr="00E668FC" w14:paraId="68A47B10" w14:textId="77777777" w:rsidTr="0097511D">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070" w:type="dxa"/>
            <w:hideMark/>
          </w:tcPr>
          <w:p w14:paraId="1EC89228" w14:textId="77777777" w:rsidR="005F281B" w:rsidRPr="00E668FC" w:rsidRDefault="005F281B" w:rsidP="0097511D">
            <w:pPr>
              <w:keepNext/>
              <w:spacing w:line="360" w:lineRule="auto"/>
              <w:jc w:val="left"/>
              <w:rPr>
                <w:rFonts w:eastAsia="Arial,Times New Roman" w:cs="Arial"/>
                <w:color w:val="auto"/>
                <w:lang w:eastAsia="ja-JP"/>
              </w:rPr>
            </w:pPr>
            <w:r w:rsidRPr="00E668FC">
              <w:rPr>
                <w:rFonts w:cs="Arial"/>
                <w:bCs/>
                <w:color w:val="auto"/>
                <w:lang w:eastAsia="ja-JP"/>
              </w:rPr>
              <w:t>Country</w:t>
            </w:r>
          </w:p>
        </w:tc>
        <w:tc>
          <w:tcPr>
            <w:tcW w:w="2700" w:type="dxa"/>
            <w:hideMark/>
          </w:tcPr>
          <w:p w14:paraId="0F9BD76F" w14:textId="77777777" w:rsidR="005F281B" w:rsidRPr="00E668FC" w:rsidRDefault="005F281B" w:rsidP="0097511D">
            <w:pPr>
              <w:keepNext/>
              <w:spacing w:line="360" w:lineRule="auto"/>
              <w:jc w:val="left"/>
              <w:cnfStyle w:val="100000000000" w:firstRow="1" w:lastRow="0" w:firstColumn="0" w:lastColumn="0" w:oddVBand="0" w:evenVBand="0" w:oddHBand="0" w:evenHBand="0" w:firstRowFirstColumn="0" w:firstRowLastColumn="0" w:lastRowFirstColumn="0" w:lastRowLastColumn="0"/>
              <w:rPr>
                <w:rFonts w:eastAsia="Arial,Times New Roman" w:cs="Arial"/>
                <w:color w:val="auto"/>
                <w:lang w:eastAsia="ja-JP"/>
              </w:rPr>
            </w:pPr>
            <w:r w:rsidRPr="00E668FC">
              <w:rPr>
                <w:rFonts w:cs="Arial"/>
                <w:bCs/>
                <w:color w:val="auto"/>
                <w:lang w:eastAsia="ja-JP"/>
              </w:rPr>
              <w:t>Emissions in 2030 relative to 2015 levels</w:t>
            </w:r>
          </w:p>
        </w:tc>
      </w:tr>
      <w:tr w:rsidR="005F281B" w:rsidRPr="00E668FC" w14:paraId="32518362" w14:textId="77777777" w:rsidTr="00975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912086E"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Brazil</w:t>
            </w:r>
          </w:p>
        </w:tc>
        <w:tc>
          <w:tcPr>
            <w:tcW w:w="2700" w:type="dxa"/>
            <w:noWrap/>
            <w:hideMark/>
          </w:tcPr>
          <w:p w14:paraId="13DA21DB" w14:textId="77777777" w:rsidR="005F281B" w:rsidRPr="00E668FC" w:rsidRDefault="005F281B" w:rsidP="0097511D">
            <w:pPr>
              <w:keepNext/>
              <w:spacing w:line="360" w:lineRule="auto"/>
              <w:jc w:val="right"/>
              <w:cnfStyle w:val="000000100000" w:firstRow="0" w:lastRow="0" w:firstColumn="0" w:lastColumn="0" w:oddVBand="0" w:evenVBand="0" w:oddHBand="1" w:evenHBand="0" w:firstRowFirstColumn="0" w:firstRowLastColumn="0" w:lastRowFirstColumn="0" w:lastRowLastColumn="0"/>
              <w:rPr>
                <w:rFonts w:eastAsia="Arial,Times New Roman" w:cs="Arial"/>
                <w:color w:val="auto"/>
                <w:lang w:eastAsia="ja-JP"/>
              </w:rPr>
            </w:pPr>
            <w:r w:rsidRPr="00E668FC">
              <w:rPr>
                <w:rFonts w:cs="Arial"/>
                <w:color w:val="auto"/>
              </w:rPr>
              <w:t>-40%</w:t>
            </w:r>
          </w:p>
        </w:tc>
      </w:tr>
      <w:tr w:rsidR="005F281B" w:rsidRPr="00E668FC" w14:paraId="54247180" w14:textId="77777777" w:rsidTr="0097511D">
        <w:trPr>
          <w:trHeight w:val="289"/>
        </w:trPr>
        <w:tc>
          <w:tcPr>
            <w:cnfStyle w:val="001000000000" w:firstRow="0" w:lastRow="0" w:firstColumn="1" w:lastColumn="0" w:oddVBand="0" w:evenVBand="0" w:oddHBand="0" w:evenHBand="0" w:firstRowFirstColumn="0" w:firstRowLastColumn="0" w:lastRowFirstColumn="0" w:lastRowLastColumn="0"/>
            <w:tcW w:w="2070" w:type="dxa"/>
            <w:noWrap/>
          </w:tcPr>
          <w:p w14:paraId="7C2A229C" w14:textId="77777777" w:rsidR="005F281B" w:rsidRPr="00E668FC" w:rsidRDefault="005F281B" w:rsidP="0097511D">
            <w:pPr>
              <w:keepNext/>
              <w:spacing w:line="360" w:lineRule="auto"/>
              <w:jc w:val="left"/>
              <w:rPr>
                <w:rFonts w:cs="Arial"/>
                <w:bCs/>
                <w:color w:val="auto"/>
                <w:lang w:eastAsia="ja-JP"/>
              </w:rPr>
            </w:pPr>
            <w:r w:rsidRPr="00E668FC">
              <w:rPr>
                <w:rFonts w:cs="Arial"/>
                <w:bCs/>
                <w:color w:val="auto"/>
                <w:lang w:eastAsia="ja-JP"/>
              </w:rPr>
              <w:t>Canada</w:t>
            </w:r>
          </w:p>
        </w:tc>
        <w:tc>
          <w:tcPr>
            <w:tcW w:w="2700" w:type="dxa"/>
            <w:noWrap/>
          </w:tcPr>
          <w:p w14:paraId="777EBCF8" w14:textId="77777777" w:rsidR="005F281B" w:rsidRPr="00E668FC" w:rsidRDefault="005F281B" w:rsidP="0097511D">
            <w:pPr>
              <w:keepNext/>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-50%</w:t>
            </w:r>
          </w:p>
        </w:tc>
      </w:tr>
      <w:tr w:rsidR="005F281B" w:rsidRPr="00E668FC" w14:paraId="23254800" w14:textId="77777777" w:rsidTr="00975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15231BA3"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China</w:t>
            </w:r>
          </w:p>
        </w:tc>
        <w:tc>
          <w:tcPr>
            <w:tcW w:w="2700" w:type="dxa"/>
            <w:noWrap/>
            <w:hideMark/>
          </w:tcPr>
          <w:p w14:paraId="7EE7F169" w14:textId="77777777" w:rsidR="005F281B" w:rsidRPr="00E668FC" w:rsidRDefault="005F281B" w:rsidP="0097511D">
            <w:pPr>
              <w:keepNext/>
              <w:spacing w:line="360" w:lineRule="auto"/>
              <w:jc w:val="right"/>
              <w:cnfStyle w:val="000000100000" w:firstRow="0" w:lastRow="0" w:firstColumn="0" w:lastColumn="0" w:oddVBand="0" w:evenVBand="0" w:oddHBand="1" w:evenHBand="0" w:firstRowFirstColumn="0" w:firstRowLastColumn="0" w:lastRowFirstColumn="0" w:lastRowLastColumn="0"/>
              <w:rPr>
                <w:rFonts w:eastAsia="Arial,Times New Roman" w:cs="Arial"/>
                <w:color w:val="auto"/>
                <w:lang w:eastAsia="ja-JP"/>
              </w:rPr>
            </w:pPr>
            <w:r w:rsidRPr="00E668FC">
              <w:rPr>
                <w:rFonts w:cs="Arial"/>
                <w:color w:val="auto"/>
              </w:rPr>
              <w:t>-20%</w:t>
            </w:r>
          </w:p>
        </w:tc>
      </w:tr>
      <w:tr w:rsidR="005F281B" w:rsidRPr="00E668FC" w14:paraId="7A78F893" w14:textId="77777777" w:rsidTr="0097511D">
        <w:trPr>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847EF68"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EU28</w:t>
            </w:r>
          </w:p>
        </w:tc>
        <w:tc>
          <w:tcPr>
            <w:tcW w:w="2700" w:type="dxa"/>
            <w:noWrap/>
            <w:hideMark/>
          </w:tcPr>
          <w:p w14:paraId="2AB84698" w14:textId="77777777" w:rsidR="005F281B" w:rsidRPr="00E668FC" w:rsidRDefault="005F281B" w:rsidP="0097511D">
            <w:pPr>
              <w:keepNext/>
              <w:spacing w:line="360" w:lineRule="auto"/>
              <w:jc w:val="right"/>
              <w:cnfStyle w:val="000000000000" w:firstRow="0" w:lastRow="0" w:firstColumn="0" w:lastColumn="0" w:oddVBand="0" w:evenVBand="0" w:oddHBand="0" w:evenHBand="0" w:firstRowFirstColumn="0" w:firstRowLastColumn="0" w:lastRowFirstColumn="0" w:lastRowLastColumn="0"/>
              <w:rPr>
                <w:rFonts w:eastAsia="Arial,Times New Roman" w:cs="Arial"/>
                <w:color w:val="auto"/>
                <w:lang w:eastAsia="ja-JP"/>
              </w:rPr>
            </w:pPr>
            <w:r w:rsidRPr="00E668FC">
              <w:rPr>
                <w:rFonts w:cs="Arial"/>
                <w:color w:val="auto"/>
              </w:rPr>
              <w:t>-50%</w:t>
            </w:r>
          </w:p>
        </w:tc>
      </w:tr>
      <w:tr w:rsidR="005F281B" w:rsidRPr="00E668FC" w14:paraId="0E4301CF" w14:textId="77777777" w:rsidTr="00975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DE52AEC"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India</w:t>
            </w:r>
          </w:p>
        </w:tc>
        <w:tc>
          <w:tcPr>
            <w:tcW w:w="2700" w:type="dxa"/>
            <w:noWrap/>
            <w:hideMark/>
          </w:tcPr>
          <w:p w14:paraId="2BAC5B9B" w14:textId="77777777" w:rsidR="005F281B" w:rsidRPr="00E668FC" w:rsidRDefault="005F281B" w:rsidP="0097511D">
            <w:pPr>
              <w:keepNext/>
              <w:spacing w:line="360" w:lineRule="auto"/>
              <w:jc w:val="right"/>
              <w:cnfStyle w:val="000000100000" w:firstRow="0" w:lastRow="0" w:firstColumn="0" w:lastColumn="0" w:oddVBand="0" w:evenVBand="0" w:oddHBand="1" w:evenHBand="0" w:firstRowFirstColumn="0" w:firstRowLastColumn="0" w:lastRowFirstColumn="0" w:lastRowLastColumn="0"/>
              <w:rPr>
                <w:rFonts w:eastAsia="Arial,Times New Roman" w:cs="Arial"/>
                <w:color w:val="auto"/>
                <w:lang w:eastAsia="ja-JP"/>
              </w:rPr>
            </w:pPr>
            <w:r w:rsidRPr="00E668FC">
              <w:rPr>
                <w:rFonts w:cs="Arial"/>
                <w:color w:val="auto"/>
              </w:rPr>
              <w:t>+50%</w:t>
            </w:r>
          </w:p>
        </w:tc>
      </w:tr>
      <w:tr w:rsidR="005F281B" w:rsidRPr="00E668FC" w14:paraId="159D311D" w14:textId="77777777" w:rsidTr="0097511D">
        <w:trPr>
          <w:trHeight w:val="289"/>
        </w:trPr>
        <w:tc>
          <w:tcPr>
            <w:cnfStyle w:val="001000000000" w:firstRow="0" w:lastRow="0" w:firstColumn="1" w:lastColumn="0" w:oddVBand="0" w:evenVBand="0" w:oddHBand="0" w:evenHBand="0" w:firstRowFirstColumn="0" w:firstRowLastColumn="0" w:lastRowFirstColumn="0" w:lastRowLastColumn="0"/>
            <w:tcW w:w="2070" w:type="dxa"/>
            <w:noWrap/>
          </w:tcPr>
          <w:p w14:paraId="3BA91407" w14:textId="77777777" w:rsidR="005F281B" w:rsidRPr="00E668FC" w:rsidRDefault="005F281B" w:rsidP="0097511D">
            <w:pPr>
              <w:keepNext/>
              <w:spacing w:line="360" w:lineRule="auto"/>
              <w:jc w:val="left"/>
              <w:rPr>
                <w:rFonts w:cs="Arial"/>
                <w:bCs/>
                <w:color w:val="auto"/>
                <w:lang w:eastAsia="ja-JP"/>
              </w:rPr>
            </w:pPr>
            <w:r w:rsidRPr="00E668FC">
              <w:rPr>
                <w:rFonts w:cs="Arial"/>
                <w:bCs/>
                <w:color w:val="auto"/>
                <w:lang w:eastAsia="ja-JP"/>
              </w:rPr>
              <w:t>Indonesia</w:t>
            </w:r>
          </w:p>
        </w:tc>
        <w:tc>
          <w:tcPr>
            <w:tcW w:w="2700" w:type="dxa"/>
            <w:noWrap/>
          </w:tcPr>
          <w:p w14:paraId="6072225D" w14:textId="77777777" w:rsidR="005F281B" w:rsidRPr="00E668FC" w:rsidRDefault="005F281B" w:rsidP="0097511D">
            <w:pPr>
              <w:keepNext/>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-30%</w:t>
            </w:r>
          </w:p>
        </w:tc>
      </w:tr>
      <w:tr w:rsidR="005F281B" w:rsidRPr="00E668FC" w14:paraId="349C5239" w14:textId="77777777" w:rsidTr="00975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A71EB85"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Japan</w:t>
            </w:r>
          </w:p>
        </w:tc>
        <w:tc>
          <w:tcPr>
            <w:tcW w:w="2700" w:type="dxa"/>
            <w:noWrap/>
            <w:hideMark/>
          </w:tcPr>
          <w:p w14:paraId="0F6519D2" w14:textId="77777777" w:rsidR="005F281B" w:rsidRPr="00E668FC" w:rsidRDefault="005F281B" w:rsidP="0097511D">
            <w:pPr>
              <w:keepNext/>
              <w:spacing w:line="360" w:lineRule="auto"/>
              <w:jc w:val="right"/>
              <w:cnfStyle w:val="000000100000" w:firstRow="0" w:lastRow="0" w:firstColumn="0" w:lastColumn="0" w:oddVBand="0" w:evenVBand="0" w:oddHBand="1" w:evenHBand="0" w:firstRowFirstColumn="0" w:firstRowLastColumn="0" w:lastRowFirstColumn="0" w:lastRowLastColumn="0"/>
              <w:rPr>
                <w:rFonts w:eastAsia="Arial,Times New Roman" w:cs="Arial"/>
                <w:color w:val="auto"/>
                <w:lang w:eastAsia="ja-JP"/>
              </w:rPr>
            </w:pPr>
            <w:r w:rsidRPr="00E668FC">
              <w:rPr>
                <w:rFonts w:cs="Arial"/>
                <w:color w:val="auto"/>
              </w:rPr>
              <w:t>-50%</w:t>
            </w:r>
          </w:p>
        </w:tc>
      </w:tr>
      <w:tr w:rsidR="005F281B" w:rsidRPr="00E668FC" w14:paraId="01D49ED4" w14:textId="77777777" w:rsidTr="0097511D">
        <w:trPr>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6C0B32BD"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Mexico</w:t>
            </w:r>
          </w:p>
        </w:tc>
        <w:tc>
          <w:tcPr>
            <w:tcW w:w="2700" w:type="dxa"/>
            <w:noWrap/>
            <w:hideMark/>
          </w:tcPr>
          <w:p w14:paraId="04A67B4B" w14:textId="77777777" w:rsidR="005F281B" w:rsidRPr="00E668FC" w:rsidRDefault="005F281B" w:rsidP="0097511D">
            <w:pPr>
              <w:keepNext/>
              <w:spacing w:line="360" w:lineRule="auto"/>
              <w:jc w:val="right"/>
              <w:cnfStyle w:val="000000000000" w:firstRow="0" w:lastRow="0" w:firstColumn="0" w:lastColumn="0" w:oddVBand="0" w:evenVBand="0" w:oddHBand="0" w:evenHBand="0" w:firstRowFirstColumn="0" w:firstRowLastColumn="0" w:lastRowFirstColumn="0" w:lastRowLastColumn="0"/>
              <w:rPr>
                <w:rFonts w:eastAsia="Arial,Times New Roman" w:cs="Arial"/>
                <w:color w:val="auto"/>
                <w:lang w:eastAsia="ja-JP"/>
              </w:rPr>
            </w:pPr>
            <w:r w:rsidRPr="00E668FC">
              <w:rPr>
                <w:rFonts w:cs="Arial"/>
                <w:color w:val="auto"/>
              </w:rPr>
              <w:t>-40%</w:t>
            </w:r>
          </w:p>
        </w:tc>
      </w:tr>
      <w:tr w:rsidR="005F281B" w:rsidRPr="00E668FC" w14:paraId="260436C9" w14:textId="77777777" w:rsidTr="0097511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70" w:type="dxa"/>
            <w:noWrap/>
          </w:tcPr>
          <w:p w14:paraId="54DDCF6E" w14:textId="77777777" w:rsidR="005F281B" w:rsidRPr="00E668FC" w:rsidRDefault="005F281B" w:rsidP="0097511D">
            <w:pPr>
              <w:keepNext/>
              <w:spacing w:line="360" w:lineRule="auto"/>
              <w:jc w:val="left"/>
              <w:rPr>
                <w:rFonts w:cs="Arial"/>
                <w:bCs/>
                <w:color w:val="auto"/>
                <w:lang w:eastAsia="ja-JP"/>
              </w:rPr>
            </w:pPr>
            <w:r w:rsidRPr="00E668FC">
              <w:rPr>
                <w:rFonts w:cs="Arial"/>
                <w:bCs/>
                <w:color w:val="auto"/>
                <w:lang w:eastAsia="ja-JP"/>
              </w:rPr>
              <w:t>South Africa</w:t>
            </w:r>
          </w:p>
        </w:tc>
        <w:tc>
          <w:tcPr>
            <w:tcW w:w="2700" w:type="dxa"/>
            <w:noWrap/>
          </w:tcPr>
          <w:p w14:paraId="5C6B9371" w14:textId="77777777" w:rsidR="005F281B" w:rsidRPr="00E668FC" w:rsidRDefault="005F281B" w:rsidP="0097511D">
            <w:pPr>
              <w:keepNext/>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r>
      <w:tr w:rsidR="005F281B" w:rsidRPr="00E668FC" w14:paraId="32051DB5" w14:textId="77777777" w:rsidTr="0097511D">
        <w:trPr>
          <w:trHeight w:val="289"/>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AB6839B" w14:textId="77777777" w:rsidR="005F281B" w:rsidRPr="00E668FC" w:rsidRDefault="005F281B" w:rsidP="0097511D">
            <w:pPr>
              <w:keepNext/>
              <w:spacing w:line="360" w:lineRule="auto"/>
              <w:jc w:val="left"/>
              <w:rPr>
                <w:rFonts w:eastAsia="Arial,Times New Roman" w:cs="Arial"/>
                <w:bCs/>
                <w:color w:val="auto"/>
                <w:lang w:eastAsia="ja-JP"/>
              </w:rPr>
            </w:pPr>
            <w:r w:rsidRPr="00E668FC">
              <w:rPr>
                <w:rFonts w:cs="Arial"/>
                <w:bCs/>
                <w:color w:val="auto"/>
                <w:lang w:eastAsia="ja-JP"/>
              </w:rPr>
              <w:t>USA</w:t>
            </w:r>
          </w:p>
        </w:tc>
        <w:tc>
          <w:tcPr>
            <w:tcW w:w="2700" w:type="dxa"/>
            <w:noWrap/>
            <w:hideMark/>
          </w:tcPr>
          <w:p w14:paraId="16E388D5" w14:textId="77777777" w:rsidR="005F281B" w:rsidRPr="00E668FC" w:rsidRDefault="005F281B" w:rsidP="0097511D">
            <w:pPr>
              <w:keepNext/>
              <w:spacing w:line="360" w:lineRule="auto"/>
              <w:jc w:val="right"/>
              <w:cnfStyle w:val="000000000000" w:firstRow="0" w:lastRow="0" w:firstColumn="0" w:lastColumn="0" w:oddVBand="0" w:evenVBand="0" w:oddHBand="0" w:evenHBand="0" w:firstRowFirstColumn="0" w:firstRowLastColumn="0" w:lastRowFirstColumn="0" w:lastRowLastColumn="0"/>
              <w:rPr>
                <w:rFonts w:eastAsia="Arial,Times New Roman" w:cs="Arial"/>
                <w:color w:val="auto"/>
                <w:lang w:eastAsia="ja-JP"/>
              </w:rPr>
            </w:pPr>
            <w:r w:rsidRPr="00E668FC">
              <w:rPr>
                <w:rFonts w:cs="Arial"/>
                <w:color w:val="auto"/>
              </w:rPr>
              <w:t>-50%</w:t>
            </w:r>
          </w:p>
        </w:tc>
      </w:tr>
    </w:tbl>
    <w:p w14:paraId="095189CA" w14:textId="77777777" w:rsidR="005F281B" w:rsidRDefault="005F281B" w:rsidP="005F281B">
      <w:pPr>
        <w:pStyle w:val="Heading2"/>
        <w:numPr>
          <w:ilvl w:val="0"/>
          <w:numId w:val="0"/>
        </w:numPr>
        <w:ind w:left="576" w:hanging="576"/>
      </w:pPr>
      <w:r>
        <w:br w:type="page"/>
      </w:r>
    </w:p>
    <w:p w14:paraId="181FC67A" w14:textId="77777777" w:rsidR="005F281B" w:rsidRPr="00E668FC" w:rsidRDefault="005F281B" w:rsidP="005F281B">
      <w:pPr>
        <w:pStyle w:val="Heading2"/>
        <w:numPr>
          <w:ilvl w:val="0"/>
          <w:numId w:val="0"/>
        </w:numPr>
        <w:ind w:left="576" w:hanging="576"/>
      </w:pPr>
      <w:bookmarkStart w:id="20" w:name="_Toc34169190"/>
      <w:r>
        <w:lastRenderedPageBreak/>
        <w:t>S3.4:</w:t>
      </w:r>
      <w:r w:rsidRPr="00E668FC">
        <w:t xml:space="preserve"> </w:t>
      </w:r>
      <w:bookmarkEnd w:id="17"/>
      <w:bookmarkEnd w:id="18"/>
      <w:r>
        <w:t>Detailed description of the “partial conservative effect” method</w:t>
      </w:r>
      <w:bookmarkEnd w:id="20"/>
    </w:p>
    <w:p w14:paraId="160E03B9" w14:textId="77777777" w:rsidR="005F281B" w:rsidRDefault="005F281B" w:rsidP="005F281B">
      <w:pPr>
        <w:spacing w:line="360" w:lineRule="auto"/>
        <w:rPr>
          <w:b/>
          <w:bCs/>
        </w:rPr>
      </w:pPr>
    </w:p>
    <w:p w14:paraId="32B19C09" w14:textId="77777777" w:rsidR="005F281B" w:rsidRDefault="005F281B" w:rsidP="005F281B">
      <w:pPr>
        <w:spacing w:line="360" w:lineRule="auto"/>
      </w:pPr>
      <w:r w:rsidRPr="00E668FC">
        <w:rPr>
          <w:b/>
          <w:bCs/>
        </w:rPr>
        <w:t>The partial conservative effect method</w:t>
      </w:r>
      <w:r w:rsidRPr="00E668FC">
        <w:t xml:space="preserve"> assumes that there is always a group with “laggard” subnational actors and companies that do not implement any climate action. We assume that this group accounts for the same amount of 2016 GHG emissions as the actors with commitments (“frontrunners”). So, a group of frontrunners, a group of laggards, and a group of followers in between</w:t>
      </w:r>
      <w:r>
        <w:t xml:space="preserve"> exist</w:t>
      </w:r>
      <w:r w:rsidRPr="00E668FC">
        <w:t xml:space="preserve">. Implicitly, the group of followers implement climate action in line with the national current policies scenario (or NDCs). The assumption on </w:t>
      </w:r>
      <w:r>
        <w:t>the size of these</w:t>
      </w:r>
      <w:r w:rsidRPr="00E668FC">
        <w:t xml:space="preserve"> groups is not based on statistical data, as such data on progress is not available. These </w:t>
      </w:r>
      <w:r>
        <w:t xml:space="preserve">size assumptions </w:t>
      </w:r>
      <w:r w:rsidRPr="00E668FC">
        <w:t>can be improved when th</w:t>
      </w:r>
      <w:r>
        <w:t xml:space="preserve">is data </w:t>
      </w:r>
      <w:r w:rsidRPr="00E668FC">
        <w:t xml:space="preserve">comes available. Therefore, we have assumed that the group of laggards have the same size, in terms of emissions, as the group of frontrunners. </w:t>
      </w:r>
    </w:p>
    <w:p w14:paraId="62BBD837" w14:textId="7CA20175" w:rsidR="005F281B" w:rsidRDefault="005F281B" w:rsidP="005F281B">
      <w:pPr>
        <w:spacing w:line="360" w:lineRule="auto"/>
        <w:rPr>
          <w:color w:val="auto"/>
        </w:rPr>
      </w:pPr>
      <w:r w:rsidRPr="00E668FC">
        <w:t>This “laggard” group is assumed to follow a business-as-usual scenario, which is derived from the TIMER model</w:t>
      </w:r>
      <w:r>
        <w:t>, which</w:t>
      </w:r>
      <w:r w:rsidRPr="00E668FC">
        <w:rPr>
          <w:color w:val="auto"/>
        </w:rPr>
        <w:t xml:space="preserve"> forms part of the integrated assessment model IMAGE 3.0 </w:t>
      </w:r>
      <w:r w:rsidRPr="00CE0E68">
        <w:rPr>
          <w:color w:val="auto"/>
        </w:rPr>
        <w:fldChar w:fldCharType="begin" w:fldLock="1"/>
      </w:r>
      <w:r w:rsidR="0019581D">
        <w:rPr>
          <w:color w:val="auto"/>
        </w:rPr>
        <w:instrText>ADDIN CSL_CITATION {"citationItems":[{"id":"ITEM-1","itemData":{"author":[{"dropping-particle":"","family":"Stehfest","given":"E.","non-dropping-particle":"","parse-names":false,"suffix":""},{"dropping-particle":"","family":"Vuuren","given":"D.","non-dropping-particle":"van","parse-names":false,"suffix":""},{"dropping-particle":"","family":"Kram","given":"T.","non-dropping-particle":"","parse-names":false,"suffix":""},{"dropping-particle":"","family":"Bouwman","given":"L.","non-dropping-particle":"","parse-names":false,"suffix":""},{"dropping-particle":"","family":"Alkemade","given":"R.","non-dropping-particle":"","parse-names":false,"suffix":""},{"dropping-particle":"","family":"Bakkenes","given":"M.","non-dropping-particle":"","parse-names":false,"suffix":""},{"dropping-particle":"","family":"Biemans","given":"H.","non-dropping-particle":"","parse-names":false,"suffix":""},{"dropping-particle":"","family":"Bouwman","given":"A.","non-dropping-particle":"","parse-names":false,"suffix":""},{"dropping-particle":"","family":"Elzen","given":"M.","non-dropping-particle":"den","parse-names":false,"suffix":""},{"dropping-particle":"","family":"Janse","given":"J.","non-dropping-particle":"","parse-names":false,"suffix":""},{"dropping-particle":"","family":"Lucas","given":"P.","non-dropping-particle":"","parse-names":false,"suffix":""},{"dropping-particle":"","family":"Minnen","given":"J.","non-dropping-particle":"van","parse-names":false,"suffix":""},{"dropping-particle":"","family":"Müller","given":"C.","non-dropping-particle":"","parse-names":false,"suffix":""},{"dropping-particle":"","family":"Prins","given":"A.","non-dropping-particle":"","parse-names":false,"suffix":""}],"id":"ITEM-1","issued":{"date-parts":[["2014"]]},"publisher":"PBL Netherlands Environmental Assessment Agency","publisher-place":"Bilthoven, the Netherlands","title":"Integrated Assessment of Global Environmental Change with IMAGE 3.0 - Model description and policy applications","type":"report"},"uris":["http://www.mendeley.com/documents/?uuid=681068f9-3b9d-4f8b-a224-22935ef7396b"]}],"mendeley":{"formattedCitation":"(Stehfest et al., 2014)","plainTextFormattedCitation":"(Stehfest et al., 2014)","previouslyFormattedCitation":"(Stehfest &lt;i&gt;et al.&lt;/i&gt;, 2014)"},"properties":{"noteIndex":0},"schema":"https://github.com/citation-style-language/schema/raw/master/csl-citation.json"}</w:instrText>
      </w:r>
      <w:r w:rsidRPr="00CE0E68">
        <w:rPr>
          <w:color w:val="auto"/>
        </w:rPr>
        <w:fldChar w:fldCharType="separate"/>
      </w:r>
      <w:r w:rsidRPr="0019581D">
        <w:rPr>
          <w:noProof/>
          <w:color w:val="auto"/>
        </w:rPr>
        <w:t>(Stehfest et al., 2014)</w:t>
      </w:r>
      <w:r w:rsidRPr="00CE0E68">
        <w:rPr>
          <w:color w:val="auto"/>
        </w:rPr>
        <w:fldChar w:fldCharType="end"/>
      </w:r>
      <w:r w:rsidRPr="00E668FC">
        <w:rPr>
          <w:color w:val="auto"/>
        </w:rPr>
        <w:t>. It describes future energy demand and supply for 26 global regions, of which some are large countries (e.g., US, China), and can assess the implications of energy system trends for all major greenhouse gases and air pollutants. The model is built up from different modules, including energy demand modules for transport, industry, buildings and modules for energy supply, industrial processes and emissions.</w:t>
      </w:r>
      <w:r>
        <w:rPr>
          <w:color w:val="auto"/>
        </w:rPr>
        <w:t xml:space="preserve"> </w:t>
      </w:r>
    </w:p>
    <w:p w14:paraId="60E6CC31" w14:textId="77B84C93" w:rsidR="005F281B" w:rsidRDefault="005F281B" w:rsidP="00474677">
      <w:pPr>
        <w:spacing w:line="360" w:lineRule="auto"/>
        <w:rPr>
          <w:rFonts w:cs="Arial"/>
          <w:color w:val="auto"/>
          <w:szCs w:val="24"/>
        </w:rPr>
      </w:pPr>
      <w:r>
        <w:rPr>
          <w:color w:val="auto"/>
        </w:rPr>
        <w:t xml:space="preserve">For this study, no policy, business-as-usual scenario projections for </w:t>
      </w:r>
      <w:r w:rsidRPr="00E668FC">
        <w:rPr>
          <w:color w:val="auto"/>
        </w:rPr>
        <w:t>cities and companies</w:t>
      </w:r>
      <w:r>
        <w:rPr>
          <w:color w:val="auto"/>
        </w:rPr>
        <w:t xml:space="preserve"> were developed by calculating a weight average of</w:t>
      </w:r>
      <w:r w:rsidRPr="00E668FC">
        <w:rPr>
          <w:color w:val="auto"/>
        </w:rPr>
        <w:t xml:space="preserve"> </w:t>
      </w:r>
      <w:r>
        <w:rPr>
          <w:color w:val="auto"/>
        </w:rPr>
        <w:t xml:space="preserve">a </w:t>
      </w:r>
      <w:r w:rsidRPr="00E668FC">
        <w:rPr>
          <w:color w:val="auto"/>
        </w:rPr>
        <w:t>selection of sub</w:t>
      </w:r>
      <w:r w:rsidRPr="00E668FC">
        <w:rPr>
          <w:color w:val="auto"/>
        </w:rPr>
        <w:noBreakHyphen/>
        <w:t>sectors</w:t>
      </w:r>
      <w:r>
        <w:rPr>
          <w:color w:val="auto"/>
        </w:rPr>
        <w:t xml:space="preserve">. The </w:t>
      </w:r>
      <w:r w:rsidRPr="00E668FC">
        <w:rPr>
          <w:color w:val="auto"/>
        </w:rPr>
        <w:t>weight</w:t>
      </w:r>
      <w:r>
        <w:rPr>
          <w:color w:val="auto"/>
        </w:rPr>
        <w:t>ing factors</w:t>
      </w:r>
      <w:r w:rsidRPr="00E668FC">
        <w:rPr>
          <w:color w:val="auto"/>
        </w:rPr>
        <w:t xml:space="preserve"> </w:t>
      </w:r>
      <w:r>
        <w:rPr>
          <w:color w:val="auto"/>
        </w:rPr>
        <w:t xml:space="preserve">to </w:t>
      </w:r>
    </w:p>
    <w:p w14:paraId="113469D1" w14:textId="29CBC6C8" w:rsidR="00474677" w:rsidRDefault="00474677" w:rsidP="005F281B">
      <w:pPr>
        <w:widowControl w:val="0"/>
        <w:autoSpaceDE w:val="0"/>
        <w:autoSpaceDN w:val="0"/>
        <w:adjustRightInd w:val="0"/>
        <w:spacing w:line="360" w:lineRule="auto"/>
        <w:rPr>
          <w:rFonts w:cs="Arial"/>
          <w:color w:val="auto"/>
          <w:szCs w:val="24"/>
        </w:rPr>
      </w:pPr>
      <w:r>
        <w:rPr>
          <w:rFonts w:cs="Arial"/>
          <w:color w:val="auto"/>
          <w:szCs w:val="24"/>
        </w:rPr>
        <w:br w:type="page"/>
      </w:r>
    </w:p>
    <w:p w14:paraId="22CC2DA0" w14:textId="743EFB0A" w:rsidR="005F281B" w:rsidRPr="00E668FC" w:rsidRDefault="005F281B" w:rsidP="005F281B">
      <w:pPr>
        <w:pStyle w:val="Caption"/>
        <w:keepNext/>
        <w:spacing w:line="360" w:lineRule="auto"/>
        <w:rPr>
          <w:color w:val="auto"/>
        </w:rPr>
      </w:pPr>
      <w:bookmarkStart w:id="21" w:name="_Ref23422038"/>
      <w:r>
        <w:lastRenderedPageBreak/>
        <w:t>Table S-</w:t>
      </w:r>
      <w:r>
        <w:fldChar w:fldCharType="begin"/>
      </w:r>
      <w:r>
        <w:instrText xml:space="preserve"> SEQ Table_S- \* ARABIC </w:instrText>
      </w:r>
      <w:r>
        <w:fldChar w:fldCharType="separate"/>
      </w:r>
      <w:r w:rsidR="00B35840">
        <w:rPr>
          <w:noProof/>
        </w:rPr>
        <w:t>4</w:t>
      </w:r>
      <w:r>
        <w:fldChar w:fldCharType="end"/>
      </w:r>
      <w:bookmarkEnd w:id="21"/>
      <w:r w:rsidRPr="00E668FC">
        <w:t>: Weight (as percentage of total emissions coming from urban areas) applied to total sub-sector CO</w:t>
      </w:r>
      <w:r w:rsidRPr="0044569B">
        <w:rPr>
          <w:vertAlign w:val="subscript"/>
        </w:rPr>
        <w:t>2</w:t>
      </w:r>
      <w:r w:rsidRPr="00E668FC">
        <w:t xml:space="preserve"> emissions from TIMER Model to construct (per country) aggregated CO</w:t>
      </w:r>
      <w:r w:rsidRPr="0044569B">
        <w:rPr>
          <w:vertAlign w:val="subscript"/>
        </w:rPr>
        <w:t>2</w:t>
      </w:r>
      <w:r w:rsidRPr="00E668FC">
        <w:t xml:space="preserve"> emission projections for cities (for scope 1 and scope 2</w:t>
      </w:r>
      <w:r w:rsidR="00435042">
        <w:t xml:space="preserve"> emissions</w:t>
      </w:r>
      <w:r w:rsidRPr="00E668FC">
        <w:t>)</w:t>
      </w:r>
    </w:p>
    <w:tbl>
      <w:tblPr>
        <w:tblStyle w:val="NewClimateTableGrey"/>
        <w:tblW w:w="9082" w:type="dxa"/>
        <w:tblLook w:val="04A0" w:firstRow="1" w:lastRow="0" w:firstColumn="1" w:lastColumn="0" w:noHBand="0" w:noVBand="1"/>
      </w:tblPr>
      <w:tblGrid>
        <w:gridCol w:w="2388"/>
        <w:gridCol w:w="2212"/>
        <w:gridCol w:w="2257"/>
        <w:gridCol w:w="2225"/>
      </w:tblGrid>
      <w:tr w:rsidR="005F281B" w:rsidRPr="00E668FC" w14:paraId="25B21757" w14:textId="77777777" w:rsidTr="00B10E4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tcPr>
          <w:p w14:paraId="0DFF1D88" w14:textId="77777777" w:rsidR="005F281B" w:rsidRPr="00E668FC" w:rsidRDefault="005F281B" w:rsidP="0097511D">
            <w:pPr>
              <w:widowControl w:val="0"/>
              <w:autoSpaceDE w:val="0"/>
              <w:autoSpaceDN w:val="0"/>
              <w:adjustRightInd w:val="0"/>
              <w:spacing w:line="360" w:lineRule="auto"/>
              <w:rPr>
                <w:rFonts w:cs="Arial"/>
                <w:color w:val="auto"/>
              </w:rPr>
            </w:pPr>
            <w:r w:rsidRPr="00E668FC">
              <w:rPr>
                <w:rFonts w:cs="Arial"/>
                <w:color w:val="auto"/>
              </w:rPr>
              <w:t>Sector</w:t>
            </w:r>
          </w:p>
        </w:tc>
        <w:tc>
          <w:tcPr>
            <w:tcW w:w="0" w:type="auto"/>
            <w:noWrap/>
          </w:tcPr>
          <w:p w14:paraId="0F1CAC0C" w14:textId="77777777" w:rsidR="005F281B" w:rsidRPr="00E668FC" w:rsidRDefault="005F281B" w:rsidP="0097511D">
            <w:pPr>
              <w:widowControl w:val="0"/>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Sub-sector</w:t>
            </w:r>
          </w:p>
        </w:tc>
        <w:tc>
          <w:tcPr>
            <w:tcW w:w="0" w:type="auto"/>
            <w:noWrap/>
          </w:tcPr>
          <w:p w14:paraId="5A010054" w14:textId="77777777" w:rsidR="005F281B" w:rsidRPr="00E668FC" w:rsidRDefault="005F281B" w:rsidP="0097511D">
            <w:pPr>
              <w:widowControl w:val="0"/>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Weight scope 1</w:t>
            </w:r>
          </w:p>
        </w:tc>
        <w:tc>
          <w:tcPr>
            <w:tcW w:w="0" w:type="auto"/>
            <w:noWrap/>
          </w:tcPr>
          <w:p w14:paraId="73768AA7" w14:textId="77777777" w:rsidR="005F281B" w:rsidRPr="00E668FC" w:rsidRDefault="005F281B" w:rsidP="0097511D">
            <w:pPr>
              <w:widowControl w:val="0"/>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Weight scope 2</w:t>
            </w:r>
          </w:p>
        </w:tc>
      </w:tr>
      <w:tr w:rsidR="005F281B" w:rsidRPr="00E668FC" w14:paraId="59093EB7"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3C362305"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Industry</w:t>
            </w:r>
          </w:p>
        </w:tc>
        <w:tc>
          <w:tcPr>
            <w:tcW w:w="0" w:type="auto"/>
            <w:noWrap/>
            <w:hideMark/>
          </w:tcPr>
          <w:p w14:paraId="03EA5C6C"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Cement</w:t>
            </w:r>
          </w:p>
        </w:tc>
        <w:tc>
          <w:tcPr>
            <w:tcW w:w="0" w:type="auto"/>
            <w:noWrap/>
            <w:hideMark/>
          </w:tcPr>
          <w:p w14:paraId="50E85A66"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7CE0D99C"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r>
      <w:tr w:rsidR="005F281B" w:rsidRPr="00E668FC" w14:paraId="7279E394"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7D4DC"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716DE8B7"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Steel</w:t>
            </w:r>
          </w:p>
        </w:tc>
        <w:tc>
          <w:tcPr>
            <w:tcW w:w="0" w:type="auto"/>
            <w:noWrap/>
            <w:hideMark/>
          </w:tcPr>
          <w:p w14:paraId="2085AACB"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42F60064"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r>
      <w:tr w:rsidR="005F281B" w:rsidRPr="00E668FC" w14:paraId="7075E744"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C8A25"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66EC7E23"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Other</w:t>
            </w:r>
          </w:p>
        </w:tc>
        <w:tc>
          <w:tcPr>
            <w:tcW w:w="0" w:type="auto"/>
            <w:noWrap/>
            <w:hideMark/>
          </w:tcPr>
          <w:p w14:paraId="19AFF69C"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75%</w:t>
            </w:r>
          </w:p>
        </w:tc>
        <w:tc>
          <w:tcPr>
            <w:tcW w:w="0" w:type="auto"/>
            <w:noWrap/>
            <w:hideMark/>
          </w:tcPr>
          <w:p w14:paraId="0E9475BF"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75%</w:t>
            </w:r>
          </w:p>
        </w:tc>
      </w:tr>
      <w:tr w:rsidR="005F281B" w:rsidRPr="00E668FC" w14:paraId="27A996CB"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2134D868"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Transport</w:t>
            </w:r>
          </w:p>
        </w:tc>
        <w:tc>
          <w:tcPr>
            <w:tcW w:w="0" w:type="auto"/>
            <w:noWrap/>
            <w:hideMark/>
          </w:tcPr>
          <w:p w14:paraId="035ECEE6"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Bus</w:t>
            </w:r>
          </w:p>
        </w:tc>
        <w:tc>
          <w:tcPr>
            <w:tcW w:w="0" w:type="auto"/>
            <w:noWrap/>
            <w:hideMark/>
          </w:tcPr>
          <w:p w14:paraId="6733FB1C"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75%</w:t>
            </w:r>
          </w:p>
        </w:tc>
        <w:tc>
          <w:tcPr>
            <w:tcW w:w="0" w:type="auto"/>
            <w:noWrap/>
            <w:hideMark/>
          </w:tcPr>
          <w:p w14:paraId="50354BCB"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5F281B" w:rsidRPr="00E668FC" w14:paraId="7FAF5E49"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300AC0BD"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2790E815"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Train</w:t>
            </w:r>
          </w:p>
        </w:tc>
        <w:tc>
          <w:tcPr>
            <w:tcW w:w="0" w:type="auto"/>
            <w:noWrap/>
            <w:hideMark/>
          </w:tcPr>
          <w:p w14:paraId="7D2423CC"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50%</w:t>
            </w:r>
          </w:p>
        </w:tc>
        <w:tc>
          <w:tcPr>
            <w:tcW w:w="0" w:type="auto"/>
            <w:noWrap/>
            <w:hideMark/>
          </w:tcPr>
          <w:p w14:paraId="6E7E55D2"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5F281B" w:rsidRPr="00E668FC" w14:paraId="175649B7"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1003F"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58332FC0"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Car</w:t>
            </w:r>
          </w:p>
        </w:tc>
        <w:tc>
          <w:tcPr>
            <w:tcW w:w="0" w:type="auto"/>
            <w:noWrap/>
            <w:hideMark/>
          </w:tcPr>
          <w:p w14:paraId="3EBBC1CD"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 xml:space="preserve">Share of </w:t>
            </w:r>
          </w:p>
          <w:p w14:paraId="4406A246"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urban population</w:t>
            </w:r>
          </w:p>
        </w:tc>
        <w:tc>
          <w:tcPr>
            <w:tcW w:w="0" w:type="auto"/>
            <w:noWrap/>
            <w:hideMark/>
          </w:tcPr>
          <w:p w14:paraId="4D8C383D"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75%</w:t>
            </w:r>
          </w:p>
        </w:tc>
      </w:tr>
      <w:tr w:rsidR="005F281B" w:rsidRPr="00E668FC" w14:paraId="71EEB659"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6456A4E1"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6B003CCE"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High speed train</w:t>
            </w:r>
          </w:p>
        </w:tc>
        <w:tc>
          <w:tcPr>
            <w:tcW w:w="0" w:type="auto"/>
            <w:noWrap/>
            <w:hideMark/>
          </w:tcPr>
          <w:p w14:paraId="0329885A"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50%</w:t>
            </w:r>
          </w:p>
        </w:tc>
        <w:tc>
          <w:tcPr>
            <w:tcW w:w="0" w:type="auto"/>
            <w:noWrap/>
            <w:hideMark/>
          </w:tcPr>
          <w:p w14:paraId="6B608C2E"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5F281B" w:rsidRPr="00E668FC" w14:paraId="40DF6393"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D66BFD"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55F9CC42"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Air</w:t>
            </w:r>
          </w:p>
        </w:tc>
        <w:tc>
          <w:tcPr>
            <w:tcW w:w="0" w:type="auto"/>
            <w:noWrap/>
            <w:hideMark/>
          </w:tcPr>
          <w:p w14:paraId="6B1DE9D9"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75A11CEB"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5F281B" w:rsidRPr="00E668FC" w14:paraId="00D5EF78"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54FBD026"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5B6D2229"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Trucks</w:t>
            </w:r>
          </w:p>
        </w:tc>
        <w:tc>
          <w:tcPr>
            <w:tcW w:w="0" w:type="auto"/>
            <w:noWrap/>
            <w:hideMark/>
          </w:tcPr>
          <w:p w14:paraId="04C46F5E"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50%</w:t>
            </w:r>
          </w:p>
        </w:tc>
        <w:tc>
          <w:tcPr>
            <w:tcW w:w="0" w:type="auto"/>
            <w:noWrap/>
            <w:hideMark/>
          </w:tcPr>
          <w:p w14:paraId="7EF10EE9"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5F281B" w:rsidRPr="00E668FC" w14:paraId="01C91D00"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2A507496" w14:textId="77777777" w:rsidR="005F281B" w:rsidRPr="00E668FC" w:rsidRDefault="005F281B" w:rsidP="0097511D">
            <w:pPr>
              <w:widowControl w:val="0"/>
              <w:autoSpaceDE w:val="0"/>
              <w:autoSpaceDN w:val="0"/>
              <w:adjustRightInd w:val="0"/>
              <w:spacing w:line="360" w:lineRule="auto"/>
              <w:rPr>
                <w:rFonts w:cs="Arial"/>
                <w:b w:val="0"/>
                <w:color w:val="auto"/>
              </w:rPr>
            </w:pPr>
          </w:p>
        </w:tc>
        <w:tc>
          <w:tcPr>
            <w:tcW w:w="0" w:type="auto"/>
            <w:noWrap/>
            <w:hideMark/>
          </w:tcPr>
          <w:p w14:paraId="6B95557D"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Other freight</w:t>
            </w:r>
          </w:p>
        </w:tc>
        <w:tc>
          <w:tcPr>
            <w:tcW w:w="0" w:type="auto"/>
            <w:noWrap/>
            <w:hideMark/>
          </w:tcPr>
          <w:p w14:paraId="5AFD8E30"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4C44ADB7"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5F281B" w:rsidRPr="00E668FC" w14:paraId="65EF1430"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6C84A0DD"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Residential</w:t>
            </w:r>
          </w:p>
        </w:tc>
        <w:tc>
          <w:tcPr>
            <w:tcW w:w="0" w:type="auto"/>
            <w:noWrap/>
            <w:hideMark/>
          </w:tcPr>
          <w:p w14:paraId="371C228A"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Urban</w:t>
            </w:r>
          </w:p>
        </w:tc>
        <w:tc>
          <w:tcPr>
            <w:tcW w:w="0" w:type="auto"/>
            <w:noWrap/>
            <w:hideMark/>
          </w:tcPr>
          <w:p w14:paraId="4D65E378"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c>
          <w:tcPr>
            <w:tcW w:w="0" w:type="auto"/>
            <w:noWrap/>
            <w:hideMark/>
          </w:tcPr>
          <w:p w14:paraId="58D45C8B"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r>
      <w:tr w:rsidR="005F281B" w:rsidRPr="00E668FC" w14:paraId="5EC1104B"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1FE67185"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Services</w:t>
            </w:r>
          </w:p>
        </w:tc>
        <w:tc>
          <w:tcPr>
            <w:tcW w:w="0" w:type="auto"/>
            <w:noWrap/>
            <w:hideMark/>
          </w:tcPr>
          <w:p w14:paraId="669DCD5C"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c>
          <w:tcPr>
            <w:tcW w:w="0" w:type="auto"/>
            <w:noWrap/>
            <w:hideMark/>
          </w:tcPr>
          <w:p w14:paraId="4EDC3EA7"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c>
          <w:tcPr>
            <w:tcW w:w="0" w:type="auto"/>
            <w:noWrap/>
            <w:hideMark/>
          </w:tcPr>
          <w:p w14:paraId="725C6CA6"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r>
      <w:tr w:rsidR="005F281B" w:rsidRPr="00E668FC" w14:paraId="3052379C"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2F9AEDFB"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Other</w:t>
            </w:r>
          </w:p>
        </w:tc>
        <w:tc>
          <w:tcPr>
            <w:tcW w:w="0" w:type="auto"/>
            <w:noWrap/>
            <w:hideMark/>
          </w:tcPr>
          <w:p w14:paraId="65A87CC4"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c>
          <w:tcPr>
            <w:tcW w:w="0" w:type="auto"/>
            <w:noWrap/>
            <w:hideMark/>
          </w:tcPr>
          <w:p w14:paraId="0BC74917"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75%</w:t>
            </w:r>
          </w:p>
        </w:tc>
        <w:tc>
          <w:tcPr>
            <w:tcW w:w="0" w:type="auto"/>
            <w:noWrap/>
            <w:hideMark/>
          </w:tcPr>
          <w:p w14:paraId="774BC1AE"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75%</w:t>
            </w:r>
          </w:p>
        </w:tc>
      </w:tr>
      <w:tr w:rsidR="005F281B" w:rsidRPr="00E668FC" w14:paraId="74096D64" w14:textId="77777777" w:rsidTr="00B10E43">
        <w:trPr>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5D2C17D6"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Losses/leakages</w:t>
            </w:r>
          </w:p>
        </w:tc>
        <w:tc>
          <w:tcPr>
            <w:tcW w:w="0" w:type="auto"/>
            <w:noWrap/>
            <w:hideMark/>
          </w:tcPr>
          <w:p w14:paraId="7F9B6779"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c>
          <w:tcPr>
            <w:tcW w:w="0" w:type="auto"/>
            <w:noWrap/>
            <w:hideMark/>
          </w:tcPr>
          <w:p w14:paraId="07DD7B08"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56C58EF0" w14:textId="77777777" w:rsidR="005F281B" w:rsidRPr="00E668FC" w:rsidRDefault="005F281B" w:rsidP="0097511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r>
      <w:tr w:rsidR="005F281B" w:rsidRPr="00E668FC" w14:paraId="0CBC0D34" w14:textId="77777777" w:rsidTr="00B10E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noWrap/>
            <w:hideMark/>
          </w:tcPr>
          <w:p w14:paraId="28B69E39" w14:textId="77777777" w:rsidR="005F281B" w:rsidRPr="00E668FC" w:rsidRDefault="005F281B" w:rsidP="0097511D">
            <w:pPr>
              <w:widowControl w:val="0"/>
              <w:autoSpaceDE w:val="0"/>
              <w:autoSpaceDN w:val="0"/>
              <w:adjustRightInd w:val="0"/>
              <w:spacing w:line="360" w:lineRule="auto"/>
              <w:rPr>
                <w:rFonts w:cs="Arial"/>
                <w:b w:val="0"/>
                <w:color w:val="auto"/>
              </w:rPr>
            </w:pPr>
            <w:r w:rsidRPr="00E668FC">
              <w:rPr>
                <w:rFonts w:cs="Arial"/>
                <w:color w:val="auto"/>
              </w:rPr>
              <w:t>Bunkers</w:t>
            </w:r>
          </w:p>
        </w:tc>
        <w:tc>
          <w:tcPr>
            <w:tcW w:w="0" w:type="auto"/>
            <w:noWrap/>
            <w:hideMark/>
          </w:tcPr>
          <w:p w14:paraId="00E0C528"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c>
          <w:tcPr>
            <w:tcW w:w="0" w:type="auto"/>
            <w:noWrap/>
            <w:hideMark/>
          </w:tcPr>
          <w:p w14:paraId="49F837D8"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noWrap/>
            <w:hideMark/>
          </w:tcPr>
          <w:p w14:paraId="528328AB" w14:textId="77777777" w:rsidR="005F281B" w:rsidRPr="00E668FC" w:rsidRDefault="005F281B" w:rsidP="0097511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r>
    </w:tbl>
    <w:p w14:paraId="255338A4" w14:textId="4FAC55E8" w:rsidR="005F281B" w:rsidRDefault="005F281B" w:rsidP="005F281B">
      <w:pPr>
        <w:pStyle w:val="Caption"/>
        <w:keepNext/>
        <w:spacing w:line="360" w:lineRule="auto"/>
        <w:rPr>
          <w:rFonts w:cs="Arial"/>
          <w:color w:val="auto"/>
        </w:rPr>
      </w:pPr>
    </w:p>
    <w:p w14:paraId="55788CE2" w14:textId="270FC389" w:rsidR="00474677" w:rsidRPr="00E668FC" w:rsidRDefault="00474677" w:rsidP="00474677">
      <w:pPr>
        <w:spacing w:line="360" w:lineRule="auto"/>
        <w:rPr>
          <w:color w:val="auto"/>
        </w:rPr>
      </w:pPr>
      <w:r>
        <w:rPr>
          <w:color w:val="auto"/>
        </w:rPr>
        <w:t xml:space="preserve">develop the business-as-usual projections </w:t>
      </w:r>
      <w:r w:rsidRPr="00E668FC">
        <w:rPr>
          <w:color w:val="auto"/>
        </w:rPr>
        <w:t xml:space="preserve">is provided </w:t>
      </w:r>
      <w:r>
        <w:rPr>
          <w:color w:val="auto"/>
        </w:rPr>
        <w:fldChar w:fldCharType="begin"/>
      </w:r>
      <w:r>
        <w:rPr>
          <w:color w:val="auto"/>
        </w:rPr>
        <w:instrText xml:space="preserve"> REF _Ref23422029 \h </w:instrText>
      </w:r>
      <w:r>
        <w:rPr>
          <w:color w:val="auto"/>
        </w:rPr>
      </w:r>
      <w:r>
        <w:rPr>
          <w:color w:val="auto"/>
        </w:rPr>
        <w:fldChar w:fldCharType="separate"/>
      </w:r>
      <w:r w:rsidR="00B35840">
        <w:t>Table S-</w:t>
      </w:r>
      <w:r w:rsidR="00B35840">
        <w:rPr>
          <w:noProof/>
        </w:rPr>
        <w:t>5</w:t>
      </w:r>
      <w:r>
        <w:rPr>
          <w:color w:val="auto"/>
        </w:rPr>
        <w:fldChar w:fldCharType="end"/>
      </w:r>
      <w:r>
        <w:rPr>
          <w:color w:val="auto"/>
        </w:rPr>
        <w:t xml:space="preserve"> </w:t>
      </w:r>
      <w:r w:rsidRPr="00E668FC">
        <w:rPr>
          <w:color w:val="auto"/>
        </w:rPr>
        <w:t>and</w:t>
      </w:r>
      <w:r>
        <w:rPr>
          <w:color w:val="auto"/>
        </w:rPr>
        <w:t xml:space="preserve"> </w:t>
      </w:r>
      <w:r>
        <w:rPr>
          <w:color w:val="auto"/>
        </w:rPr>
        <w:fldChar w:fldCharType="begin"/>
      </w:r>
      <w:r>
        <w:rPr>
          <w:color w:val="auto"/>
        </w:rPr>
        <w:instrText xml:space="preserve"> REF _Ref23422038 \h </w:instrText>
      </w:r>
      <w:r>
        <w:rPr>
          <w:color w:val="auto"/>
        </w:rPr>
      </w:r>
      <w:r>
        <w:rPr>
          <w:color w:val="auto"/>
        </w:rPr>
        <w:fldChar w:fldCharType="separate"/>
      </w:r>
      <w:r w:rsidR="00B35840">
        <w:t>Table S-</w:t>
      </w:r>
      <w:r w:rsidR="00B35840">
        <w:rPr>
          <w:noProof/>
        </w:rPr>
        <w:t>4</w:t>
      </w:r>
      <w:r>
        <w:rPr>
          <w:color w:val="auto"/>
        </w:rPr>
        <w:fldChar w:fldCharType="end"/>
      </w:r>
      <w:r w:rsidRPr="00E668FC">
        <w:rPr>
          <w:color w:val="auto"/>
        </w:rPr>
        <w:t xml:space="preserve">. </w:t>
      </w:r>
      <w:r w:rsidRPr="00E668FC">
        <w:rPr>
          <w:color w:val="auto"/>
        </w:rPr>
        <w:br w:type="page"/>
      </w:r>
    </w:p>
    <w:p w14:paraId="0CC1AB3F" w14:textId="7F361C07" w:rsidR="00474677" w:rsidRPr="00E668FC" w:rsidRDefault="00474677" w:rsidP="00474677">
      <w:pPr>
        <w:pStyle w:val="Caption"/>
        <w:keepNext/>
        <w:spacing w:line="360" w:lineRule="auto"/>
        <w:rPr>
          <w:color w:val="auto"/>
        </w:rPr>
      </w:pPr>
      <w:bookmarkStart w:id="22" w:name="_Ref23422029"/>
      <w:r>
        <w:lastRenderedPageBreak/>
        <w:t>Table S-</w:t>
      </w:r>
      <w:r>
        <w:fldChar w:fldCharType="begin"/>
      </w:r>
      <w:r>
        <w:instrText xml:space="preserve"> SEQ Table_S- \* ARABIC </w:instrText>
      </w:r>
      <w:r>
        <w:fldChar w:fldCharType="separate"/>
      </w:r>
      <w:r w:rsidR="00B35840">
        <w:rPr>
          <w:noProof/>
        </w:rPr>
        <w:t>5</w:t>
      </w:r>
      <w:r>
        <w:fldChar w:fldCharType="end"/>
      </w:r>
      <w:bookmarkEnd w:id="22"/>
      <w:r w:rsidRPr="00E668FC">
        <w:t>: Weight applied to total sub-sector CO</w:t>
      </w:r>
      <w:r w:rsidRPr="00E668FC">
        <w:rPr>
          <w:vertAlign w:val="subscript"/>
        </w:rPr>
        <w:t>2</w:t>
      </w:r>
      <w:r w:rsidRPr="00E668FC">
        <w:t xml:space="preserve"> emissions from TIMER Model to construct (per country) aggregated CO</w:t>
      </w:r>
      <w:r w:rsidRPr="00E668FC">
        <w:rPr>
          <w:vertAlign w:val="subscript"/>
        </w:rPr>
        <w:t>2</w:t>
      </w:r>
      <w:r w:rsidRPr="00E668FC">
        <w:t xml:space="preserve"> emission projections for companies (for scope 1 and scope 2)</w:t>
      </w:r>
    </w:p>
    <w:tbl>
      <w:tblPr>
        <w:tblStyle w:val="NewClimateTableGrey"/>
        <w:tblW w:w="9194" w:type="dxa"/>
        <w:tblLook w:val="04A0" w:firstRow="1" w:lastRow="0" w:firstColumn="1" w:lastColumn="0" w:noHBand="0" w:noVBand="1"/>
      </w:tblPr>
      <w:tblGrid>
        <w:gridCol w:w="2425"/>
        <w:gridCol w:w="2247"/>
        <w:gridCol w:w="2261"/>
        <w:gridCol w:w="2261"/>
      </w:tblGrid>
      <w:tr w:rsidR="00474677" w:rsidRPr="00E668FC" w14:paraId="6CA7505E" w14:textId="77777777" w:rsidTr="00B3584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tcPr>
          <w:p w14:paraId="7CD35977" w14:textId="77777777" w:rsidR="00474677" w:rsidRPr="00E668FC" w:rsidRDefault="00474677" w:rsidP="008C29C3">
            <w:pPr>
              <w:spacing w:line="360" w:lineRule="auto"/>
              <w:rPr>
                <w:rFonts w:cs="Arial"/>
                <w:color w:val="auto"/>
              </w:rPr>
            </w:pPr>
            <w:r w:rsidRPr="00E668FC">
              <w:rPr>
                <w:rFonts w:cs="Arial"/>
                <w:color w:val="auto"/>
              </w:rPr>
              <w:t>Sector</w:t>
            </w:r>
          </w:p>
        </w:tc>
        <w:tc>
          <w:tcPr>
            <w:tcW w:w="0" w:type="auto"/>
            <w:noWrap/>
          </w:tcPr>
          <w:p w14:paraId="531C124E" w14:textId="77777777" w:rsidR="00474677" w:rsidRPr="00E668FC" w:rsidRDefault="00474677" w:rsidP="008C29C3">
            <w:pPr>
              <w:spacing w:line="360" w:lineRule="auto"/>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Sub-sector</w:t>
            </w:r>
          </w:p>
        </w:tc>
        <w:tc>
          <w:tcPr>
            <w:tcW w:w="0" w:type="auto"/>
            <w:noWrap/>
          </w:tcPr>
          <w:p w14:paraId="76F71FB6" w14:textId="77777777" w:rsidR="00474677" w:rsidRPr="00E668FC" w:rsidRDefault="00474677" w:rsidP="008C29C3">
            <w:pPr>
              <w:spacing w:line="360" w:lineRule="auto"/>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Weight scope 1</w:t>
            </w:r>
          </w:p>
        </w:tc>
        <w:tc>
          <w:tcPr>
            <w:tcW w:w="0" w:type="auto"/>
          </w:tcPr>
          <w:p w14:paraId="0188801C" w14:textId="77777777" w:rsidR="00474677" w:rsidRPr="00E668FC" w:rsidRDefault="00474677" w:rsidP="008C29C3">
            <w:pPr>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Weight scope 2</w:t>
            </w:r>
          </w:p>
        </w:tc>
      </w:tr>
      <w:tr w:rsidR="00474677" w:rsidRPr="00E668FC" w14:paraId="4A4ABD39"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9C307B4" w14:textId="77777777" w:rsidR="00474677" w:rsidRPr="00E668FC" w:rsidRDefault="00474677" w:rsidP="008C29C3">
            <w:pPr>
              <w:spacing w:line="360" w:lineRule="auto"/>
              <w:rPr>
                <w:rFonts w:cs="Arial"/>
                <w:b w:val="0"/>
                <w:color w:val="auto"/>
              </w:rPr>
            </w:pPr>
            <w:r w:rsidRPr="00E668FC">
              <w:rPr>
                <w:rFonts w:cs="Arial"/>
                <w:color w:val="auto"/>
              </w:rPr>
              <w:t>Industry</w:t>
            </w:r>
          </w:p>
        </w:tc>
        <w:tc>
          <w:tcPr>
            <w:tcW w:w="0" w:type="auto"/>
            <w:noWrap/>
            <w:hideMark/>
          </w:tcPr>
          <w:p w14:paraId="7A0B7CCC"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Cement</w:t>
            </w:r>
          </w:p>
        </w:tc>
        <w:tc>
          <w:tcPr>
            <w:tcW w:w="0" w:type="auto"/>
            <w:noWrap/>
            <w:hideMark/>
          </w:tcPr>
          <w:p w14:paraId="25BF9A58"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c>
          <w:tcPr>
            <w:tcW w:w="0" w:type="auto"/>
          </w:tcPr>
          <w:p w14:paraId="4290DBBD"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r>
      <w:tr w:rsidR="00474677" w:rsidRPr="00E668FC" w14:paraId="786D8D5A"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304A0C33" w14:textId="77777777" w:rsidR="00474677" w:rsidRPr="00E668FC" w:rsidRDefault="00474677" w:rsidP="008C29C3">
            <w:pPr>
              <w:spacing w:line="360" w:lineRule="auto"/>
              <w:rPr>
                <w:rFonts w:cs="Arial"/>
                <w:b w:val="0"/>
                <w:color w:val="auto"/>
              </w:rPr>
            </w:pPr>
          </w:p>
        </w:tc>
        <w:tc>
          <w:tcPr>
            <w:tcW w:w="0" w:type="auto"/>
            <w:noWrap/>
            <w:hideMark/>
          </w:tcPr>
          <w:p w14:paraId="23C2C7DC"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Steel</w:t>
            </w:r>
          </w:p>
        </w:tc>
        <w:tc>
          <w:tcPr>
            <w:tcW w:w="0" w:type="auto"/>
            <w:noWrap/>
            <w:hideMark/>
          </w:tcPr>
          <w:p w14:paraId="027A19C5"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c>
          <w:tcPr>
            <w:tcW w:w="0" w:type="auto"/>
          </w:tcPr>
          <w:p w14:paraId="213B3BB0"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r>
      <w:tr w:rsidR="00474677" w:rsidRPr="00E668FC" w14:paraId="151047F7"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4B24E" w14:textId="77777777" w:rsidR="00474677" w:rsidRPr="00E668FC" w:rsidRDefault="00474677" w:rsidP="008C29C3">
            <w:pPr>
              <w:spacing w:line="360" w:lineRule="auto"/>
              <w:rPr>
                <w:rFonts w:cs="Arial"/>
                <w:b w:val="0"/>
                <w:color w:val="auto"/>
              </w:rPr>
            </w:pPr>
          </w:p>
        </w:tc>
        <w:tc>
          <w:tcPr>
            <w:tcW w:w="0" w:type="auto"/>
            <w:noWrap/>
            <w:hideMark/>
          </w:tcPr>
          <w:p w14:paraId="03C91083"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Other</w:t>
            </w:r>
          </w:p>
        </w:tc>
        <w:tc>
          <w:tcPr>
            <w:tcW w:w="0" w:type="auto"/>
            <w:noWrap/>
            <w:hideMark/>
          </w:tcPr>
          <w:p w14:paraId="538B3194"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c>
          <w:tcPr>
            <w:tcW w:w="0" w:type="auto"/>
          </w:tcPr>
          <w:p w14:paraId="1DF9D941"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r>
      <w:tr w:rsidR="00474677" w:rsidRPr="00E668FC" w14:paraId="5C2467CB"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3656546E" w14:textId="77777777" w:rsidR="00474677" w:rsidRPr="00E668FC" w:rsidRDefault="00474677" w:rsidP="008C29C3">
            <w:pPr>
              <w:spacing w:line="360" w:lineRule="auto"/>
              <w:rPr>
                <w:rFonts w:cs="Arial"/>
                <w:b w:val="0"/>
                <w:color w:val="auto"/>
              </w:rPr>
            </w:pPr>
            <w:r w:rsidRPr="00E668FC">
              <w:rPr>
                <w:rFonts w:cs="Arial"/>
                <w:color w:val="auto"/>
              </w:rPr>
              <w:t>Transport</w:t>
            </w:r>
          </w:p>
        </w:tc>
        <w:tc>
          <w:tcPr>
            <w:tcW w:w="0" w:type="auto"/>
            <w:noWrap/>
            <w:hideMark/>
          </w:tcPr>
          <w:p w14:paraId="28F1C93E"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Bus</w:t>
            </w:r>
          </w:p>
        </w:tc>
        <w:tc>
          <w:tcPr>
            <w:tcW w:w="0" w:type="auto"/>
            <w:noWrap/>
            <w:hideMark/>
          </w:tcPr>
          <w:p w14:paraId="5EC21BB9"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tcPr>
          <w:p w14:paraId="57AE7DFE"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474677" w:rsidRPr="00E668FC" w14:paraId="2F459EDE"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7BAEAD82" w14:textId="77777777" w:rsidR="00474677" w:rsidRPr="00E668FC" w:rsidRDefault="00474677" w:rsidP="008C29C3">
            <w:pPr>
              <w:spacing w:line="360" w:lineRule="auto"/>
              <w:rPr>
                <w:rFonts w:cs="Arial"/>
                <w:b w:val="0"/>
                <w:color w:val="auto"/>
              </w:rPr>
            </w:pPr>
          </w:p>
        </w:tc>
        <w:tc>
          <w:tcPr>
            <w:tcW w:w="0" w:type="auto"/>
            <w:noWrap/>
            <w:hideMark/>
          </w:tcPr>
          <w:p w14:paraId="77436177"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Train</w:t>
            </w:r>
          </w:p>
        </w:tc>
        <w:tc>
          <w:tcPr>
            <w:tcW w:w="0" w:type="auto"/>
            <w:noWrap/>
            <w:hideMark/>
          </w:tcPr>
          <w:p w14:paraId="6EFEFB34"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tcPr>
          <w:p w14:paraId="46F7E629"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474677" w:rsidRPr="00E668FC" w14:paraId="088C8E6A"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1CEC7AAD" w14:textId="77777777" w:rsidR="00474677" w:rsidRPr="00E668FC" w:rsidRDefault="00474677" w:rsidP="008C29C3">
            <w:pPr>
              <w:spacing w:line="360" w:lineRule="auto"/>
              <w:rPr>
                <w:rFonts w:cs="Arial"/>
                <w:b w:val="0"/>
                <w:color w:val="auto"/>
              </w:rPr>
            </w:pPr>
          </w:p>
        </w:tc>
        <w:tc>
          <w:tcPr>
            <w:tcW w:w="0" w:type="auto"/>
            <w:noWrap/>
            <w:hideMark/>
          </w:tcPr>
          <w:p w14:paraId="372AF206"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Car</w:t>
            </w:r>
          </w:p>
        </w:tc>
        <w:tc>
          <w:tcPr>
            <w:tcW w:w="0" w:type="auto"/>
            <w:noWrap/>
            <w:hideMark/>
          </w:tcPr>
          <w:p w14:paraId="0593AC58"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5%</w:t>
            </w:r>
          </w:p>
        </w:tc>
        <w:tc>
          <w:tcPr>
            <w:tcW w:w="0" w:type="auto"/>
          </w:tcPr>
          <w:p w14:paraId="0D476F7C"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25%</w:t>
            </w:r>
          </w:p>
        </w:tc>
      </w:tr>
      <w:tr w:rsidR="00474677" w:rsidRPr="00E668FC" w14:paraId="46EA9B6F"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13402BFD" w14:textId="77777777" w:rsidR="00474677" w:rsidRPr="00E668FC" w:rsidRDefault="00474677" w:rsidP="008C29C3">
            <w:pPr>
              <w:spacing w:line="360" w:lineRule="auto"/>
              <w:rPr>
                <w:rFonts w:cs="Arial"/>
                <w:b w:val="0"/>
                <w:color w:val="auto"/>
              </w:rPr>
            </w:pPr>
          </w:p>
        </w:tc>
        <w:tc>
          <w:tcPr>
            <w:tcW w:w="0" w:type="auto"/>
            <w:noWrap/>
            <w:hideMark/>
          </w:tcPr>
          <w:p w14:paraId="1FE43439"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High speed train</w:t>
            </w:r>
          </w:p>
        </w:tc>
        <w:tc>
          <w:tcPr>
            <w:tcW w:w="0" w:type="auto"/>
            <w:noWrap/>
            <w:hideMark/>
          </w:tcPr>
          <w:p w14:paraId="10B421BD"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tcPr>
          <w:p w14:paraId="697EF785"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474677" w:rsidRPr="00E668FC" w14:paraId="2B656EB9"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3159BD4D" w14:textId="77777777" w:rsidR="00474677" w:rsidRPr="00E668FC" w:rsidRDefault="00474677" w:rsidP="008C29C3">
            <w:pPr>
              <w:spacing w:line="360" w:lineRule="auto"/>
              <w:rPr>
                <w:rFonts w:cs="Arial"/>
                <w:b w:val="0"/>
                <w:color w:val="auto"/>
              </w:rPr>
            </w:pPr>
          </w:p>
        </w:tc>
        <w:tc>
          <w:tcPr>
            <w:tcW w:w="0" w:type="auto"/>
            <w:noWrap/>
            <w:hideMark/>
          </w:tcPr>
          <w:p w14:paraId="5AC013DB"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Air</w:t>
            </w:r>
          </w:p>
        </w:tc>
        <w:tc>
          <w:tcPr>
            <w:tcW w:w="0" w:type="auto"/>
            <w:noWrap/>
            <w:hideMark/>
          </w:tcPr>
          <w:p w14:paraId="15C68D15"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tcPr>
          <w:p w14:paraId="7D1F0DE8"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474677" w:rsidRPr="00E668FC" w14:paraId="0BDD36C1"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D558958" w14:textId="77777777" w:rsidR="00474677" w:rsidRPr="00E668FC" w:rsidRDefault="00474677" w:rsidP="008C29C3">
            <w:pPr>
              <w:spacing w:line="360" w:lineRule="auto"/>
              <w:rPr>
                <w:rFonts w:cs="Arial"/>
                <w:b w:val="0"/>
                <w:color w:val="auto"/>
              </w:rPr>
            </w:pPr>
          </w:p>
        </w:tc>
        <w:tc>
          <w:tcPr>
            <w:tcW w:w="0" w:type="auto"/>
            <w:noWrap/>
            <w:hideMark/>
          </w:tcPr>
          <w:p w14:paraId="0582E285"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Trucks</w:t>
            </w:r>
          </w:p>
        </w:tc>
        <w:tc>
          <w:tcPr>
            <w:tcW w:w="0" w:type="auto"/>
            <w:noWrap/>
            <w:hideMark/>
          </w:tcPr>
          <w:p w14:paraId="0938AB03"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tcPr>
          <w:p w14:paraId="5E054963"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474677" w:rsidRPr="00E668FC" w14:paraId="5853EB48"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408A5125" w14:textId="77777777" w:rsidR="00474677" w:rsidRPr="00E668FC" w:rsidRDefault="00474677" w:rsidP="008C29C3">
            <w:pPr>
              <w:spacing w:line="360" w:lineRule="auto"/>
              <w:rPr>
                <w:rFonts w:cs="Arial"/>
                <w:b w:val="0"/>
                <w:color w:val="auto"/>
              </w:rPr>
            </w:pPr>
          </w:p>
        </w:tc>
        <w:tc>
          <w:tcPr>
            <w:tcW w:w="0" w:type="auto"/>
            <w:noWrap/>
            <w:hideMark/>
          </w:tcPr>
          <w:p w14:paraId="1557D9C7"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Other freight</w:t>
            </w:r>
          </w:p>
        </w:tc>
        <w:tc>
          <w:tcPr>
            <w:tcW w:w="0" w:type="auto"/>
            <w:noWrap/>
            <w:hideMark/>
          </w:tcPr>
          <w:p w14:paraId="664A58E5"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0%</w:t>
            </w:r>
          </w:p>
        </w:tc>
        <w:tc>
          <w:tcPr>
            <w:tcW w:w="0" w:type="auto"/>
          </w:tcPr>
          <w:p w14:paraId="4D412C79"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474677" w:rsidRPr="00E668FC" w14:paraId="2DEB817C"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07CEA160" w14:textId="77777777" w:rsidR="00474677" w:rsidRPr="00E668FC" w:rsidRDefault="00474677" w:rsidP="008C29C3">
            <w:pPr>
              <w:spacing w:line="360" w:lineRule="auto"/>
              <w:rPr>
                <w:rFonts w:cs="Arial"/>
                <w:b w:val="0"/>
                <w:color w:val="auto"/>
              </w:rPr>
            </w:pPr>
            <w:r w:rsidRPr="00E668FC">
              <w:rPr>
                <w:rFonts w:cs="Arial"/>
                <w:color w:val="auto"/>
              </w:rPr>
              <w:t>Residential</w:t>
            </w:r>
          </w:p>
        </w:tc>
        <w:tc>
          <w:tcPr>
            <w:tcW w:w="0" w:type="auto"/>
            <w:noWrap/>
            <w:hideMark/>
          </w:tcPr>
          <w:p w14:paraId="1D11A6FC"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Urban</w:t>
            </w:r>
          </w:p>
        </w:tc>
        <w:tc>
          <w:tcPr>
            <w:tcW w:w="0" w:type="auto"/>
            <w:noWrap/>
            <w:hideMark/>
          </w:tcPr>
          <w:p w14:paraId="493FD37C"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tcPr>
          <w:p w14:paraId="30A10FE5"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r>
      <w:tr w:rsidR="00474677" w:rsidRPr="00E668FC" w14:paraId="19C98F0F"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3ED33BDA" w14:textId="77777777" w:rsidR="00474677" w:rsidRPr="00E668FC" w:rsidRDefault="00474677" w:rsidP="008C29C3">
            <w:pPr>
              <w:spacing w:line="360" w:lineRule="auto"/>
              <w:rPr>
                <w:rFonts w:cs="Arial"/>
                <w:b w:val="0"/>
                <w:color w:val="auto"/>
              </w:rPr>
            </w:pPr>
            <w:r w:rsidRPr="00E668FC">
              <w:rPr>
                <w:rFonts w:cs="Arial"/>
                <w:color w:val="auto"/>
              </w:rPr>
              <w:t>Services</w:t>
            </w:r>
          </w:p>
        </w:tc>
        <w:tc>
          <w:tcPr>
            <w:tcW w:w="0" w:type="auto"/>
            <w:noWrap/>
            <w:hideMark/>
          </w:tcPr>
          <w:p w14:paraId="48ABF0D0"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c>
          <w:tcPr>
            <w:tcW w:w="0" w:type="auto"/>
            <w:noWrap/>
            <w:hideMark/>
          </w:tcPr>
          <w:p w14:paraId="07423482"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c>
          <w:tcPr>
            <w:tcW w:w="0" w:type="auto"/>
          </w:tcPr>
          <w:p w14:paraId="11E503A5"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r>
      <w:tr w:rsidR="00474677" w:rsidRPr="00E668FC" w14:paraId="0E9D3CC8"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481FC2D" w14:textId="77777777" w:rsidR="00474677" w:rsidRPr="00E668FC" w:rsidRDefault="00474677" w:rsidP="008C29C3">
            <w:pPr>
              <w:spacing w:line="360" w:lineRule="auto"/>
              <w:rPr>
                <w:rFonts w:cs="Arial"/>
                <w:b w:val="0"/>
                <w:color w:val="auto"/>
              </w:rPr>
            </w:pPr>
            <w:r w:rsidRPr="00E668FC">
              <w:rPr>
                <w:rFonts w:cs="Arial"/>
                <w:color w:val="auto"/>
              </w:rPr>
              <w:t>Other</w:t>
            </w:r>
          </w:p>
        </w:tc>
        <w:tc>
          <w:tcPr>
            <w:tcW w:w="0" w:type="auto"/>
            <w:noWrap/>
            <w:hideMark/>
          </w:tcPr>
          <w:p w14:paraId="69B4405C"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c>
          <w:tcPr>
            <w:tcW w:w="0" w:type="auto"/>
            <w:noWrap/>
            <w:hideMark/>
          </w:tcPr>
          <w:p w14:paraId="4315E67C"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c>
          <w:tcPr>
            <w:tcW w:w="0" w:type="auto"/>
          </w:tcPr>
          <w:p w14:paraId="3A37ED74"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100%</w:t>
            </w:r>
          </w:p>
        </w:tc>
      </w:tr>
      <w:tr w:rsidR="00474677" w:rsidRPr="00E668FC" w14:paraId="13FF8A99" w14:textId="77777777" w:rsidTr="00B35840">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17CA1" w14:textId="77777777" w:rsidR="00474677" w:rsidRPr="00E668FC" w:rsidRDefault="00474677" w:rsidP="008C29C3">
            <w:pPr>
              <w:spacing w:line="360" w:lineRule="auto"/>
              <w:rPr>
                <w:rFonts w:cs="Arial"/>
                <w:b w:val="0"/>
                <w:color w:val="auto"/>
              </w:rPr>
            </w:pPr>
            <w:r w:rsidRPr="00E668FC">
              <w:rPr>
                <w:rFonts w:cs="Arial"/>
                <w:color w:val="auto"/>
              </w:rPr>
              <w:t>Losses/leakages</w:t>
            </w:r>
          </w:p>
        </w:tc>
        <w:tc>
          <w:tcPr>
            <w:tcW w:w="0" w:type="auto"/>
            <w:noWrap/>
            <w:hideMark/>
          </w:tcPr>
          <w:p w14:paraId="2286FA44"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p>
        </w:tc>
        <w:tc>
          <w:tcPr>
            <w:tcW w:w="0" w:type="auto"/>
            <w:noWrap/>
            <w:hideMark/>
          </w:tcPr>
          <w:p w14:paraId="2F3BCB03"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c>
          <w:tcPr>
            <w:tcW w:w="0" w:type="auto"/>
          </w:tcPr>
          <w:p w14:paraId="23E7F06F" w14:textId="77777777" w:rsidR="00474677" w:rsidRPr="00E668FC" w:rsidRDefault="00474677" w:rsidP="008C29C3">
            <w:pPr>
              <w:spacing w:line="36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E668FC">
              <w:rPr>
                <w:rFonts w:cs="Arial"/>
                <w:color w:val="auto"/>
              </w:rPr>
              <w:t>100%</w:t>
            </w:r>
          </w:p>
        </w:tc>
      </w:tr>
      <w:tr w:rsidR="00474677" w:rsidRPr="00E668FC" w14:paraId="1F1419CE" w14:textId="77777777" w:rsidTr="00B3584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4D74D2DE" w14:textId="77777777" w:rsidR="00474677" w:rsidRPr="00E668FC" w:rsidRDefault="00474677" w:rsidP="008C29C3">
            <w:pPr>
              <w:spacing w:line="360" w:lineRule="auto"/>
              <w:rPr>
                <w:rFonts w:cs="Arial"/>
                <w:b w:val="0"/>
                <w:color w:val="auto"/>
              </w:rPr>
            </w:pPr>
            <w:r w:rsidRPr="00E668FC">
              <w:rPr>
                <w:rFonts w:cs="Arial"/>
                <w:color w:val="auto"/>
              </w:rPr>
              <w:t>Bunkers</w:t>
            </w:r>
          </w:p>
        </w:tc>
        <w:tc>
          <w:tcPr>
            <w:tcW w:w="0" w:type="auto"/>
            <w:noWrap/>
            <w:hideMark/>
          </w:tcPr>
          <w:p w14:paraId="15CA6CD6"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p>
        </w:tc>
        <w:tc>
          <w:tcPr>
            <w:tcW w:w="0" w:type="auto"/>
            <w:noWrap/>
            <w:hideMark/>
          </w:tcPr>
          <w:p w14:paraId="11BE0D96"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c>
          <w:tcPr>
            <w:tcW w:w="0" w:type="auto"/>
          </w:tcPr>
          <w:p w14:paraId="431BDDAD" w14:textId="77777777" w:rsidR="00474677" w:rsidRPr="00E668FC" w:rsidRDefault="00474677" w:rsidP="008C29C3">
            <w:pPr>
              <w:spacing w:line="36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E668FC">
              <w:rPr>
                <w:rFonts w:cs="Arial"/>
                <w:color w:val="auto"/>
              </w:rPr>
              <w:t>0%</w:t>
            </w:r>
          </w:p>
        </w:tc>
      </w:tr>
    </w:tbl>
    <w:p w14:paraId="612EB326" w14:textId="77777777" w:rsidR="00474677" w:rsidRDefault="00474677" w:rsidP="00474677">
      <w:pPr>
        <w:widowControl w:val="0"/>
        <w:autoSpaceDE w:val="0"/>
        <w:autoSpaceDN w:val="0"/>
        <w:adjustRightInd w:val="0"/>
        <w:spacing w:line="360" w:lineRule="auto"/>
        <w:rPr>
          <w:rFonts w:cs="Arial"/>
          <w:color w:val="auto"/>
          <w:szCs w:val="24"/>
        </w:rPr>
      </w:pPr>
      <w:r>
        <w:rPr>
          <w:rFonts w:cs="Arial"/>
          <w:color w:val="auto"/>
          <w:szCs w:val="24"/>
        </w:rPr>
        <w:br w:type="page"/>
      </w:r>
    </w:p>
    <w:p w14:paraId="21688065" w14:textId="77777777" w:rsidR="00474677" w:rsidRPr="00474677" w:rsidRDefault="00474677" w:rsidP="00474677"/>
    <w:p w14:paraId="04B0C0A0" w14:textId="64A901CF" w:rsidR="005F281B" w:rsidRPr="00E668FC" w:rsidRDefault="005F281B" w:rsidP="005F281B">
      <w:pPr>
        <w:spacing w:line="360" w:lineRule="auto"/>
        <w:rPr>
          <w:rFonts w:cs="Arial"/>
          <w:color w:val="auto"/>
        </w:rPr>
      </w:pPr>
      <w:r w:rsidRPr="00E668FC">
        <w:rPr>
          <w:rFonts w:cs="Arial"/>
          <w:color w:val="auto"/>
        </w:rPr>
        <w:t>For illustration purposes, we show an example of calculating aggregated additional city impact relative to the region (see top panel in</w:t>
      </w:r>
      <w:r w:rsidR="002069F0">
        <w:rPr>
          <w:rFonts w:cs="Arial"/>
          <w:color w:val="auto"/>
        </w:rPr>
        <w:t xml:space="preserve"> </w:t>
      </w:r>
      <w:r w:rsidR="00BC20A4">
        <w:rPr>
          <w:rFonts w:cs="Arial"/>
          <w:color w:val="auto"/>
        </w:rPr>
        <w:t>Figure 1 of the article</w:t>
      </w:r>
      <w:r w:rsidRPr="00E668FC">
        <w:rPr>
          <w:rFonts w:cs="Arial"/>
          <w:color w:val="auto"/>
        </w:rPr>
        <w:t>). Suppose the “forerunner” cities in area (C-R) cover 120 MtCO</w:t>
      </w:r>
      <w:r w:rsidRPr="00E668FC">
        <w:rPr>
          <w:rFonts w:cs="Arial"/>
          <w:color w:val="auto"/>
          <w:vertAlign w:val="subscript"/>
        </w:rPr>
        <w:t>2</w:t>
      </w:r>
      <w:r w:rsidRPr="00E668FC">
        <w:rPr>
          <w:rFonts w:cs="Arial"/>
          <w:color w:val="auto"/>
        </w:rPr>
        <w:t>e/year in 2015, and this group has committed to an annual 2.8% emission reduction rate below 2015 by 2030; the “laggard” cities group which by definition also covers 120 MtCO</w:t>
      </w:r>
      <w:r w:rsidRPr="00E668FC">
        <w:rPr>
          <w:rFonts w:cs="Arial"/>
          <w:color w:val="auto"/>
          <w:vertAlign w:val="subscript"/>
        </w:rPr>
        <w:t>2</w:t>
      </w:r>
      <w:r w:rsidRPr="00E668FC">
        <w:rPr>
          <w:rFonts w:cs="Arial"/>
          <w:color w:val="auto"/>
        </w:rPr>
        <w:t>e/year in 2015, follows a lower 0.2% business-as-usual emission reduction rate below 2015 by 2030. Further suppose the group of regions (area (C-R)) have on average committed to a 1.4% emission reduction rate below 2015 by 2030. This method assumes that the “forerunner” cities in area (C-R) would deliver emissions reductions additional to those of the regions only when the average emissions reduction rate of “forerunner” cities in area (C-R) and the “laggard” cities, i.e. 1.5% (</w:t>
      </w:r>
      <w:r w:rsidRPr="00E668FC">
        <w:rPr>
          <w:rFonts w:cs="Arial"/>
          <w:i/>
          <w:iCs/>
          <w:color w:val="auto"/>
        </w:rPr>
        <w:t>2.8%+0.2%</w:t>
      </w:r>
      <w:r w:rsidRPr="00E668FC">
        <w:rPr>
          <w:rFonts w:cs="Arial"/>
          <w:color w:val="auto"/>
        </w:rPr>
        <w:t>)/2), is larger the regions’ 1.4%. In this case the additional mitigation impact is 0.12</w:t>
      </w:r>
      <w:r w:rsidRPr="00E668FC">
        <w:rPr>
          <w:rFonts w:cs="Arial"/>
          <w:i/>
          <w:iCs/>
          <w:color w:val="auto"/>
        </w:rPr>
        <w:t xml:space="preserve"> </w:t>
      </w:r>
      <w:r w:rsidRPr="00E668FC">
        <w:rPr>
          <w:rFonts w:cs="Arial"/>
          <w:color w:val="auto"/>
        </w:rPr>
        <w:t>MtCO</w:t>
      </w:r>
      <w:r w:rsidRPr="00E668FC">
        <w:rPr>
          <w:rFonts w:cs="Arial"/>
          <w:color w:val="auto"/>
          <w:vertAlign w:val="subscript"/>
        </w:rPr>
        <w:t>2</w:t>
      </w:r>
      <w:r w:rsidRPr="00E668FC">
        <w:rPr>
          <w:rFonts w:cs="Arial"/>
          <w:color w:val="auto"/>
        </w:rPr>
        <w:t xml:space="preserve">e/year (0.1%*120).  </w:t>
      </w:r>
    </w:p>
    <w:p w14:paraId="0BDA73D3" w14:textId="77777777" w:rsidR="005F281B" w:rsidRPr="00E668FC" w:rsidRDefault="005F281B" w:rsidP="005F281B"/>
    <w:p w14:paraId="569A13E2" w14:textId="77777777" w:rsidR="005F281B" w:rsidRPr="00E668FC" w:rsidRDefault="005F281B" w:rsidP="005F281B">
      <w:pPr>
        <w:spacing w:line="360" w:lineRule="auto"/>
        <w:rPr>
          <w:color w:val="auto"/>
        </w:rPr>
      </w:pPr>
    </w:p>
    <w:p w14:paraId="6FF9A1B6" w14:textId="77777777" w:rsidR="005F281B" w:rsidRPr="00E668FC" w:rsidRDefault="005F281B" w:rsidP="005F281B">
      <w:pPr>
        <w:pStyle w:val="Heading2"/>
        <w:numPr>
          <w:ilvl w:val="0"/>
          <w:numId w:val="0"/>
        </w:numPr>
        <w:ind w:left="576" w:hanging="576"/>
      </w:pPr>
      <w:r w:rsidRPr="00E668FC">
        <w:br w:type="page"/>
      </w:r>
    </w:p>
    <w:p w14:paraId="56BDB070" w14:textId="77777777" w:rsidR="005F281B" w:rsidRPr="00E668FC" w:rsidRDefault="005F281B" w:rsidP="005F281B">
      <w:pPr>
        <w:pStyle w:val="Heading1"/>
        <w:numPr>
          <w:ilvl w:val="0"/>
          <w:numId w:val="0"/>
        </w:numPr>
        <w:ind w:left="432" w:hanging="432"/>
      </w:pPr>
      <w:bookmarkStart w:id="23" w:name="_Toc34169191"/>
      <w:r>
        <w:lastRenderedPageBreak/>
        <w:t>S4</w:t>
      </w:r>
      <w:r w:rsidRPr="00E668FC">
        <w:t>: Supplementary data on the GHG emissions coverage per actor group</w:t>
      </w:r>
      <w:bookmarkEnd w:id="23"/>
    </w:p>
    <w:p w14:paraId="46269320" w14:textId="77777777" w:rsidR="005F281B" w:rsidRPr="00E668FC" w:rsidRDefault="005F281B" w:rsidP="005F281B">
      <w:pPr>
        <w:pStyle w:val="Heading2"/>
        <w:numPr>
          <w:ilvl w:val="0"/>
          <w:numId w:val="0"/>
        </w:numPr>
        <w:ind w:left="576" w:hanging="576"/>
      </w:pPr>
      <w:bookmarkStart w:id="24" w:name="_Toc34169192"/>
      <w:r>
        <w:t xml:space="preserve">S4.1: </w:t>
      </w:r>
      <w:r w:rsidRPr="00E668FC">
        <w:t>Regions and cities</w:t>
      </w:r>
      <w:bookmarkEnd w:id="24"/>
    </w:p>
    <w:p w14:paraId="50E715AE" w14:textId="77777777" w:rsidR="005F281B" w:rsidRPr="00E668FC" w:rsidRDefault="005F281B" w:rsidP="005F281B">
      <w:pPr>
        <w:spacing w:line="360" w:lineRule="auto"/>
        <w:rPr>
          <w:rFonts w:cs="Arial"/>
          <w:color w:val="auto"/>
        </w:rPr>
      </w:pPr>
      <w:r w:rsidRPr="00E668FC">
        <w:rPr>
          <w:rFonts w:cs="Arial"/>
          <w:color w:val="auto"/>
        </w:rPr>
        <w:t>The regions and cities included in this study represent a population of 579 million, while participating regions hold nearly 514 million people.</w:t>
      </w:r>
      <w:r w:rsidRPr="00E668FC">
        <w:rPr>
          <w:rFonts w:cs="Arial"/>
          <w:b/>
          <w:bCs/>
          <w:color w:val="auto"/>
        </w:rPr>
        <w:t xml:space="preserve"> </w:t>
      </w:r>
      <w:r w:rsidRPr="00E668FC">
        <w:rPr>
          <w:rFonts w:cs="Arial"/>
          <w:color w:val="auto"/>
        </w:rPr>
        <w:t>In other words, they represent populations that rival those of large countries</w:t>
      </w:r>
      <w:r w:rsidRPr="00E668FC">
        <w:rPr>
          <w:rFonts w:cs="Arial"/>
          <w:b/>
          <w:bCs/>
          <w:color w:val="auto"/>
        </w:rPr>
        <w:t xml:space="preserve">; </w:t>
      </w:r>
      <w:r w:rsidRPr="00E668FC">
        <w:rPr>
          <w:rFonts w:cs="Arial"/>
          <w:color w:val="auto"/>
        </w:rPr>
        <w:t>only China and India have larger populations.</w:t>
      </w:r>
      <w:r w:rsidRPr="00E668FC">
        <w:rPr>
          <w:rFonts w:cs="Arial"/>
          <w:b/>
          <w:bCs/>
          <w:color w:val="auto"/>
        </w:rPr>
        <w:t xml:space="preserve"> </w:t>
      </w:r>
      <w:r w:rsidRPr="00E668FC">
        <w:rPr>
          <w:rFonts w:cs="Arial"/>
          <w:color w:val="auto"/>
        </w:rPr>
        <w:t>Cities taking climate action hold more people than the US and Brazil combined, while regions taking climate action represent a population about four times the size of Japan’s (World Bank, 2019).</w:t>
      </w:r>
    </w:p>
    <w:p w14:paraId="4C3792FF" w14:textId="7F12CC6F" w:rsidR="005F281B" w:rsidRPr="00E668FC" w:rsidRDefault="00120399" w:rsidP="005F281B">
      <w:pPr>
        <w:spacing w:line="360" w:lineRule="auto"/>
        <w:rPr>
          <w:rFonts w:cs="Arial"/>
          <w:color w:val="auto"/>
        </w:rPr>
      </w:pPr>
      <w:r w:rsidRPr="00120399">
        <w:rPr>
          <w:noProof/>
        </w:rPr>
        <w:drawing>
          <wp:inline distT="0" distB="0" distL="0" distR="0" wp14:anchorId="1965BBD0" wp14:editId="7398E2F4">
            <wp:extent cx="5638800" cy="3869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299" cy="3879870"/>
                    </a:xfrm>
                    <a:prstGeom prst="rect">
                      <a:avLst/>
                    </a:prstGeom>
                    <a:noFill/>
                    <a:ln>
                      <a:noFill/>
                    </a:ln>
                  </pic:spPr>
                </pic:pic>
              </a:graphicData>
            </a:graphic>
          </wp:inline>
        </w:drawing>
      </w:r>
      <w:r w:rsidR="005F281B" w:rsidRPr="00E668FC">
        <w:rPr>
          <w:rFonts w:cs="Arial"/>
          <w:color w:val="auto"/>
        </w:rPr>
        <w:t xml:space="preserve"> </w:t>
      </w:r>
    </w:p>
    <w:p w14:paraId="0B0F11DD" w14:textId="4B3D021E" w:rsidR="005F281B" w:rsidRPr="00E668FC" w:rsidRDefault="005F281B" w:rsidP="005F281B">
      <w:pPr>
        <w:pStyle w:val="Caption"/>
      </w:pPr>
      <w:bookmarkStart w:id="25" w:name="_Ref23424732"/>
      <w:bookmarkStart w:id="26" w:name="_Toc16552235"/>
      <w:r>
        <w:t>Figure S-</w:t>
      </w:r>
      <w:r>
        <w:fldChar w:fldCharType="begin"/>
      </w:r>
      <w:r>
        <w:instrText xml:space="preserve"> SEQ Figure_S- \* ARABIC </w:instrText>
      </w:r>
      <w:r>
        <w:fldChar w:fldCharType="separate"/>
      </w:r>
      <w:r w:rsidR="00B35840">
        <w:rPr>
          <w:noProof/>
        </w:rPr>
        <w:t>1</w:t>
      </w:r>
      <w:r>
        <w:fldChar w:fldCharType="end"/>
      </w:r>
      <w:bookmarkEnd w:id="25"/>
      <w:r w:rsidRPr="00E668FC">
        <w:t xml:space="preserve">: Population of cities and regions making quantifiable commitments to reduce GHG emissions by geographic region. Data source: various. </w:t>
      </w:r>
      <w:bookmarkEnd w:id="26"/>
    </w:p>
    <w:p w14:paraId="5C2CFADD" w14:textId="7D751FD0" w:rsidR="005F281B" w:rsidRPr="00E668FC" w:rsidRDefault="005F281B" w:rsidP="005F281B">
      <w:pPr>
        <w:spacing w:line="360" w:lineRule="auto"/>
        <w:rPr>
          <w:rFonts w:cs="Arial"/>
          <w:color w:val="auto"/>
        </w:rPr>
      </w:pPr>
      <w:r w:rsidRPr="00E668FC">
        <w:rPr>
          <w:rFonts w:cs="Arial"/>
          <w:color w:val="auto"/>
        </w:rPr>
        <w:t>Europe and North America host the greatest number of cities and regions making quantifiable commitments to reduce GHG emissions. Subnational governments in East Asia and the Pacific, however, represent the largest collective population (</w:t>
      </w:r>
      <w:r>
        <w:rPr>
          <w:rFonts w:cs="Arial"/>
          <w:color w:val="auto"/>
        </w:rPr>
        <w:fldChar w:fldCharType="begin"/>
      </w:r>
      <w:r>
        <w:rPr>
          <w:rFonts w:cs="Arial"/>
          <w:color w:val="auto"/>
        </w:rPr>
        <w:instrText xml:space="preserve"> REF _Ref23424732 \h </w:instrText>
      </w:r>
      <w:r>
        <w:rPr>
          <w:rFonts w:cs="Arial"/>
          <w:color w:val="auto"/>
        </w:rPr>
      </w:r>
      <w:r>
        <w:rPr>
          <w:rFonts w:cs="Arial"/>
          <w:color w:val="auto"/>
        </w:rPr>
        <w:fldChar w:fldCharType="separate"/>
      </w:r>
      <w:r w:rsidR="00B35840">
        <w:t>Figure S-</w:t>
      </w:r>
      <w:r w:rsidR="00B35840">
        <w:rPr>
          <w:noProof/>
        </w:rPr>
        <w:t>1</w:t>
      </w:r>
      <w:r>
        <w:rPr>
          <w:rFonts w:cs="Arial"/>
          <w:color w:val="auto"/>
        </w:rPr>
        <w:fldChar w:fldCharType="end"/>
      </w:r>
      <w:r w:rsidRPr="00E668FC">
        <w:rPr>
          <w:rFonts w:cs="Arial"/>
          <w:color w:val="auto"/>
        </w:rPr>
        <w:t xml:space="preserve">). Many of the participating actors in this region are megacities – urban areas home to more than 10 million people – that exercise huge influence over their countries and region’s emissions. While relatively few actors are making quantifiable commitments in South Asia and Latin America these cities and regions also represent large populations, giving their efforts substantial influence within their countries. Cities making quantifiable climate commitments in Latin America and the Caribbean collectively hold 41 million people, roughly 4 million more than Canada’s 2018 population </w:t>
      </w:r>
      <w:r w:rsidRPr="00CE0E68">
        <w:rPr>
          <w:rFonts w:cs="Arial"/>
          <w:color w:val="auto"/>
        </w:rPr>
        <w:fldChar w:fldCharType="begin" w:fldLock="1"/>
      </w:r>
      <w:r>
        <w:rPr>
          <w:rFonts w:cs="Arial"/>
          <w:color w:val="auto"/>
        </w:rPr>
        <w:instrText>ADDIN CSL_CITATION {"citationItems":[{"id":"ITEM-1","itemData":{"URL":"https://data.worldbank.org/indicator/SP.POP.TOTL?view=chart","accessed":{"date-parts":[["2019","9","5"]]},"author":[{"dropping-particle":"","family":"World Bank","given":"","non-dropping-particle":"","parse-names":false,"suffix":""}],"id":"ITEM-1","issued":{"date-parts":[["2019"]]},"publisher":"World Bank","title":"World Development Indicators. Population, total","type":"webpage"},"uris":["http://www.mendeley.com/documents/?uuid=a888fef7-a3fb-4153-977e-2c7e991ab5f2"]}],"mendeley":{"formattedCitation":"(World Bank, 2019b)","plainTextFormattedCitation":"(World Bank, 2019b)","previouslyFormattedCitation":"(World Bank, 2019b)"},"properties":{"noteIndex":0},"schema":"https://github.com/citation-style-language/schema/raw/master/csl-citation.json"}</w:instrText>
      </w:r>
      <w:r w:rsidRPr="00CE0E68">
        <w:rPr>
          <w:rFonts w:cs="Arial"/>
          <w:color w:val="auto"/>
        </w:rPr>
        <w:fldChar w:fldCharType="separate"/>
      </w:r>
      <w:r w:rsidRPr="004911C6">
        <w:rPr>
          <w:rFonts w:cs="Arial"/>
          <w:noProof/>
          <w:color w:val="auto"/>
        </w:rPr>
        <w:t>(World Bank, 2019b)</w:t>
      </w:r>
      <w:r w:rsidRPr="00CE0E68">
        <w:rPr>
          <w:rFonts w:cs="Arial"/>
          <w:color w:val="auto"/>
        </w:rPr>
        <w:fldChar w:fldCharType="end"/>
      </w:r>
      <w:r w:rsidRPr="00E668FC">
        <w:rPr>
          <w:rFonts w:cs="Arial"/>
          <w:color w:val="auto"/>
        </w:rPr>
        <w:t>.</w:t>
      </w:r>
    </w:p>
    <w:p w14:paraId="2C13F01B" w14:textId="16FEAB6D" w:rsidR="0091214D" w:rsidRDefault="005F281B" w:rsidP="005F281B">
      <w:pPr>
        <w:spacing w:line="360" w:lineRule="auto"/>
        <w:rPr>
          <w:rFonts w:eastAsia="Arial" w:cs="Arial"/>
          <w:szCs w:val="20"/>
          <w:lang w:val="en-SG"/>
        </w:rPr>
      </w:pPr>
      <w:r w:rsidRPr="00E668FC">
        <w:rPr>
          <w:rFonts w:eastAsia="Arial" w:cs="Arial"/>
          <w:color w:val="auto"/>
        </w:rPr>
        <w:lastRenderedPageBreak/>
        <w:t>The vast majority (93% percent) of subnational governments’ quantifiable emission reduction commitments focus on short-term targets, aiming to reduce emissions by or in 2020.</w:t>
      </w:r>
      <w:r w:rsidRPr="00E668FC">
        <w:rPr>
          <w:rFonts w:eastAsia="Arial" w:cs="Arial"/>
          <w:b/>
          <w:bCs/>
          <w:color w:val="auto"/>
        </w:rPr>
        <w:t xml:space="preserve"> </w:t>
      </w:r>
      <w:r w:rsidRPr="00E668FC">
        <w:rPr>
          <w:rFonts w:eastAsia="Arial" w:cs="Arial"/>
          <w:color w:val="auto"/>
        </w:rPr>
        <w:t>The remaining 7% of targets are split relatively evenly between mid-term targets – which set target years between 2021 and 2030 – and long-term post-2030 targets (</w:t>
      </w:r>
      <w:r>
        <w:rPr>
          <w:rFonts w:eastAsia="Arial" w:cs="Arial"/>
          <w:color w:val="auto"/>
        </w:rPr>
        <w:fldChar w:fldCharType="begin"/>
      </w:r>
      <w:r>
        <w:rPr>
          <w:rFonts w:eastAsia="Arial" w:cs="Arial"/>
          <w:color w:val="auto"/>
        </w:rPr>
        <w:instrText xml:space="preserve"> REF _Ref23424742 \h </w:instrText>
      </w:r>
      <w:r>
        <w:rPr>
          <w:rFonts w:eastAsia="Arial" w:cs="Arial"/>
          <w:color w:val="auto"/>
        </w:rPr>
      </w:r>
      <w:r>
        <w:rPr>
          <w:rFonts w:eastAsia="Arial" w:cs="Arial"/>
          <w:color w:val="auto"/>
        </w:rPr>
        <w:fldChar w:fldCharType="separate"/>
      </w:r>
      <w:r w:rsidR="00B35840">
        <w:t>Figure S-</w:t>
      </w:r>
      <w:r w:rsidR="00B35840">
        <w:rPr>
          <w:noProof/>
        </w:rPr>
        <w:t>2</w:t>
      </w:r>
      <w:r>
        <w:rPr>
          <w:rFonts w:eastAsia="Arial" w:cs="Arial"/>
          <w:color w:val="auto"/>
        </w:rPr>
        <w:fldChar w:fldCharType="end"/>
      </w:r>
      <w:r w:rsidRPr="00E668FC">
        <w:rPr>
          <w:rFonts w:eastAsia="Arial" w:cs="Arial"/>
          <w:color w:val="auto"/>
        </w:rPr>
        <w:t xml:space="preserve">). </w:t>
      </w:r>
      <w:r w:rsidR="00CC57CF" w:rsidRPr="53E72375">
        <w:rPr>
          <w:rFonts w:eastAsia="Arial" w:cs="Arial"/>
          <w:szCs w:val="20"/>
          <w:lang w:val="en-SG"/>
        </w:rPr>
        <w:t>In terms of the share of emissions, subnational actors with only short-term (by or in 2020) targets, and no mid- or long-term targets, represent</w:t>
      </w:r>
      <w:r w:rsidR="00CC57CF" w:rsidRPr="53E72375">
        <w:rPr>
          <w:rFonts w:eastAsia="Arial" w:cs="Arial"/>
          <w:sz w:val="22"/>
          <w:lang w:val="en-SG"/>
        </w:rPr>
        <w:t xml:space="preserve"> </w:t>
      </w:r>
      <w:r w:rsidR="00CC57CF" w:rsidRPr="53E72375">
        <w:rPr>
          <w:rFonts w:eastAsia="Arial" w:cs="Arial"/>
          <w:szCs w:val="20"/>
          <w:lang w:val="en-SG"/>
        </w:rPr>
        <w:t>34 %</w:t>
      </w:r>
      <w:r w:rsidR="00CC57CF" w:rsidRPr="53E72375">
        <w:rPr>
          <w:rFonts w:eastAsia="Arial" w:cs="Arial"/>
          <w:sz w:val="22"/>
          <w:lang w:val="en-SG"/>
        </w:rPr>
        <w:t xml:space="preserve"> </w:t>
      </w:r>
      <w:r w:rsidR="00CC57CF" w:rsidRPr="53E72375">
        <w:rPr>
          <w:rFonts w:eastAsia="Arial" w:cs="Arial"/>
          <w:szCs w:val="20"/>
          <w:lang w:val="en-SG"/>
        </w:rPr>
        <w:t xml:space="preserve">of all subnational actors’ base year emissions in 2015. </w:t>
      </w:r>
      <w:r w:rsidR="0091214D" w:rsidRPr="53E72375">
        <w:rPr>
          <w:rFonts w:eastAsia="Arial" w:cs="Arial"/>
          <w:szCs w:val="20"/>
          <w:lang w:val="en-SG"/>
        </w:rPr>
        <w:t>Among subnational actors, the most common short-term emissions reduction target is 22%, while the most common midterm (2021-2030) emissions reduction target is 40%, and the most common target for longer-term targets (set after 2030) is 80%.</w:t>
      </w:r>
      <w:r w:rsidR="0091214D">
        <w:rPr>
          <w:rFonts w:eastAsia="Arial" w:cs="Arial"/>
          <w:szCs w:val="20"/>
          <w:lang w:val="en-SG"/>
        </w:rPr>
        <w:t xml:space="preserve"> </w:t>
      </w:r>
    </w:p>
    <w:p w14:paraId="44A0D73D" w14:textId="4C8F2F3C" w:rsidR="005F281B" w:rsidRDefault="005F281B" w:rsidP="005F281B">
      <w:pPr>
        <w:spacing w:line="360" w:lineRule="auto"/>
        <w:rPr>
          <w:rFonts w:eastAsia="Arial" w:cs="Arial"/>
          <w:color w:val="auto"/>
        </w:rPr>
      </w:pPr>
      <w:r w:rsidRPr="00E668FC">
        <w:rPr>
          <w:rFonts w:eastAsia="Arial" w:cs="Arial"/>
          <w:color w:val="auto"/>
        </w:rPr>
        <w:t>The heavy focus on short-term targets reflects, in large part, high levels of adoption of a 2020 goal by the European participants in the Global Covenant of Mayors for Climate and Energy</w:t>
      </w:r>
      <w:r w:rsidR="004B463A">
        <w:rPr>
          <w:rFonts w:eastAsia="Arial" w:cs="Arial"/>
          <w:color w:val="auto"/>
        </w:rPr>
        <w:t>, which are</w:t>
      </w:r>
      <w:r w:rsidR="004B463A" w:rsidRPr="53E72375">
        <w:rPr>
          <w:rFonts w:eastAsia="Arial" w:cs="Arial"/>
          <w:szCs w:val="20"/>
          <w:lang w:val="en-SG"/>
        </w:rPr>
        <w:t xml:space="preserve"> </w:t>
      </w:r>
      <w:r w:rsidR="004B463A">
        <w:rPr>
          <w:rFonts w:eastAsia="Arial" w:cs="Arial"/>
          <w:szCs w:val="20"/>
          <w:lang w:val="en-SG"/>
        </w:rPr>
        <w:t xml:space="preserve">mostly </w:t>
      </w:r>
      <w:r w:rsidR="004B463A" w:rsidRPr="53E72375">
        <w:rPr>
          <w:rFonts w:eastAsia="Arial" w:cs="Arial"/>
          <w:szCs w:val="20"/>
          <w:lang w:val="en-SG"/>
        </w:rPr>
        <w:t xml:space="preserve">small towns and communities </w:t>
      </w:r>
      <w:r w:rsidR="004B463A">
        <w:rPr>
          <w:rFonts w:eastAsia="Arial" w:cs="Arial"/>
          <w:szCs w:val="20"/>
          <w:lang w:val="en-SG"/>
        </w:rPr>
        <w:t>with</w:t>
      </w:r>
      <w:r w:rsidR="004B463A" w:rsidRPr="53E72375">
        <w:rPr>
          <w:rFonts w:eastAsia="Arial" w:cs="Arial"/>
          <w:szCs w:val="20"/>
          <w:lang w:val="en-SG"/>
        </w:rPr>
        <w:t xml:space="preserve"> relatively low emissions</w:t>
      </w:r>
      <w:r w:rsidRPr="00E668FC">
        <w:rPr>
          <w:rFonts w:eastAsia="Arial" w:cs="Arial"/>
          <w:color w:val="auto"/>
        </w:rPr>
        <w:t xml:space="preserve">. This trend also applies – less dramatically – across other geographic locations. One exception is the US, which leads in terms of the number of cities and states making long-term quantifiable commitments. More than half of the US cities and states with 2050 targets also had mid-term targets for years after 2025. </w:t>
      </w:r>
    </w:p>
    <w:p w14:paraId="46C53389" w14:textId="77777777" w:rsidR="000A74F8" w:rsidRPr="00E668FC" w:rsidRDefault="000A74F8" w:rsidP="005F281B">
      <w:pPr>
        <w:spacing w:line="360" w:lineRule="auto"/>
        <w:rPr>
          <w:rFonts w:eastAsia="Arial" w:cs="Arial"/>
          <w:color w:val="auto"/>
        </w:rPr>
      </w:pPr>
    </w:p>
    <w:p w14:paraId="696E08AA" w14:textId="11EE9618" w:rsidR="005F281B" w:rsidRPr="00E668FC" w:rsidDel="15692DF0" w:rsidRDefault="00CB7442" w:rsidP="005F281B">
      <w:pPr>
        <w:spacing w:line="360" w:lineRule="auto"/>
        <w:rPr>
          <w:rFonts w:cs="Arial"/>
          <w:color w:val="auto"/>
        </w:rPr>
      </w:pPr>
      <w:r w:rsidRPr="00CB7442">
        <w:rPr>
          <w:noProof/>
        </w:rPr>
        <w:drawing>
          <wp:inline distT="0" distB="0" distL="0" distR="0" wp14:anchorId="19B5AD94" wp14:editId="262A26EA">
            <wp:extent cx="5687465" cy="3214424"/>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138" cy="3218761"/>
                    </a:xfrm>
                    <a:prstGeom prst="rect">
                      <a:avLst/>
                    </a:prstGeom>
                    <a:noFill/>
                    <a:ln>
                      <a:noFill/>
                    </a:ln>
                  </pic:spPr>
                </pic:pic>
              </a:graphicData>
            </a:graphic>
          </wp:inline>
        </w:drawing>
      </w:r>
    </w:p>
    <w:p w14:paraId="3D4F42DE" w14:textId="77C85401" w:rsidR="005F281B" w:rsidRPr="00E668FC" w:rsidRDefault="005F281B" w:rsidP="005F281B">
      <w:pPr>
        <w:pStyle w:val="Caption"/>
        <w:spacing w:line="360" w:lineRule="auto"/>
        <w:rPr>
          <w:rFonts w:cs="Arial"/>
          <w:b/>
          <w:bCs/>
          <w:color w:val="auto"/>
        </w:rPr>
      </w:pPr>
      <w:bookmarkStart w:id="27" w:name="_Ref23424742"/>
      <w:bookmarkStart w:id="28" w:name="_Toc16552236"/>
      <w:r>
        <w:t>Figure S-</w:t>
      </w:r>
      <w:r>
        <w:fldChar w:fldCharType="begin"/>
      </w:r>
      <w:r>
        <w:instrText xml:space="preserve"> SEQ Figure_S- \* ARABIC </w:instrText>
      </w:r>
      <w:r>
        <w:fldChar w:fldCharType="separate"/>
      </w:r>
      <w:r w:rsidR="00B35840">
        <w:rPr>
          <w:noProof/>
        </w:rPr>
        <w:t>2</w:t>
      </w:r>
      <w:r>
        <w:fldChar w:fldCharType="end"/>
      </w:r>
      <w:bookmarkEnd w:id="27"/>
      <w:r w:rsidRPr="00983724">
        <w:t xml:space="preserve">: Number and target years of cities and regions’ quantifiable commitments to reduce GHG emissions in the </w:t>
      </w:r>
      <w:r>
        <w:t xml:space="preserve">ten major </w:t>
      </w:r>
      <w:r w:rsidRPr="00983724">
        <w:t>emitting economies.</w:t>
      </w:r>
      <w:r w:rsidRPr="00E668FC">
        <w:rPr>
          <w:rFonts w:cs="Arial"/>
          <w:b/>
          <w:bCs/>
          <w:color w:val="auto"/>
        </w:rPr>
        <w:t xml:space="preserve"> </w:t>
      </w:r>
      <w:bookmarkEnd w:id="28"/>
    </w:p>
    <w:p w14:paraId="24C501B6" w14:textId="77777777" w:rsidR="005F281B" w:rsidRPr="00E668FC" w:rsidRDefault="005F281B" w:rsidP="005F281B">
      <w:pPr>
        <w:spacing w:line="360" w:lineRule="auto"/>
        <w:rPr>
          <w:rFonts w:eastAsia="Arial" w:cs="Arial"/>
          <w:color w:val="auto"/>
        </w:rPr>
      </w:pPr>
    </w:p>
    <w:p w14:paraId="34DF6C66" w14:textId="77777777" w:rsidR="005F281B" w:rsidRPr="00E668FC" w:rsidRDefault="005F281B" w:rsidP="005F281B">
      <w:pPr>
        <w:pStyle w:val="Heading2"/>
        <w:numPr>
          <w:ilvl w:val="0"/>
          <w:numId w:val="0"/>
        </w:numPr>
        <w:ind w:left="576" w:hanging="576"/>
      </w:pPr>
      <w:bookmarkStart w:id="29" w:name="_Toc34169193"/>
      <w:r>
        <w:t xml:space="preserve">S4.2: </w:t>
      </w:r>
      <w:r w:rsidRPr="00E668FC">
        <w:t>Companies</w:t>
      </w:r>
      <w:bookmarkEnd w:id="29"/>
      <w:r w:rsidRPr="00E668FC">
        <w:t xml:space="preserve"> </w:t>
      </w:r>
    </w:p>
    <w:p w14:paraId="7A4E5141" w14:textId="77777777" w:rsidR="005F281B" w:rsidRPr="00E668FC" w:rsidRDefault="005F281B" w:rsidP="005F281B">
      <w:pPr>
        <w:spacing w:line="360" w:lineRule="auto"/>
        <w:rPr>
          <w:rFonts w:cs="Arial"/>
          <w:color w:val="auto"/>
        </w:rPr>
      </w:pPr>
      <w:r w:rsidRPr="00E668FC">
        <w:rPr>
          <w:rFonts w:cs="Arial"/>
          <w:color w:val="auto"/>
        </w:rPr>
        <w:t xml:space="preserve">Nearly 1,500 companies, operating </w:t>
      </w:r>
      <w:r w:rsidRPr="00E668FC">
        <w:rPr>
          <w:rFonts w:eastAsia="Arial" w:cs="Arial"/>
          <w:color w:val="auto"/>
        </w:rPr>
        <w:t>within 10 of the world’s major emitting economies</w:t>
      </w:r>
      <w:r w:rsidRPr="00E668FC">
        <w:rPr>
          <w:rFonts w:cs="Arial"/>
          <w:color w:val="auto"/>
        </w:rPr>
        <w:t xml:space="preserve">, have made quantifiable commitments to reduce GHG emissions through CDP. Their combined revenue totals over $21 trillion US Dollars (USD), roughly the size of the US GDP </w:t>
      </w:r>
      <w:r>
        <w:rPr>
          <w:rFonts w:cs="Arial"/>
          <w:color w:val="auto"/>
        </w:rPr>
        <w:fldChar w:fldCharType="begin" w:fldLock="1"/>
      </w:r>
      <w:r>
        <w:rPr>
          <w:rFonts w:cs="Arial"/>
          <w:color w:val="auto"/>
        </w:rPr>
        <w:instrText>ADDIN CSL_CITATION {"citationItems":[{"id":"ITEM-1","itemData":{"URL":"https://data.worldbank.org/indicator/ny.gdp.mktp.cd","accessed":{"date-parts":[["2019","8","1"]]},"author":[{"dropping-particle":"","family":"World Bank","given":"","non-dropping-particle":"","parse-names":false,"suffix":""}],"id":"ITEM-1","issued":{"date-parts":[["2019"]]},"publisher":"World Bank","title":"GDP (current US$)","type":"webpage"},"uris":["http://www.mendeley.com/documents/?uuid=8718c93d-8020-4360-a42c-bcdd2d9e694d"]}],"mendeley":{"formattedCitation":"(World Bank, 2019a)","plainTextFormattedCitation":"(World Bank, 2019a)","previouslyFormattedCitation":"(World Bank, 2019a)"},"properties":{"noteIndex":0},"schema":"https://github.com/citation-style-language/schema/raw/master/csl-citation.json"}</w:instrText>
      </w:r>
      <w:r>
        <w:rPr>
          <w:rFonts w:cs="Arial"/>
          <w:color w:val="auto"/>
        </w:rPr>
        <w:fldChar w:fldCharType="separate"/>
      </w:r>
      <w:r w:rsidRPr="004911C6">
        <w:rPr>
          <w:rFonts w:cs="Arial"/>
          <w:noProof/>
          <w:color w:val="auto"/>
        </w:rPr>
        <w:t>(World Bank, 2019a)</w:t>
      </w:r>
      <w:r>
        <w:rPr>
          <w:rFonts w:cs="Arial"/>
          <w:color w:val="auto"/>
        </w:rPr>
        <w:fldChar w:fldCharType="end"/>
      </w:r>
      <w:r w:rsidRPr="00E668FC">
        <w:rPr>
          <w:rFonts w:cs="Arial"/>
          <w:color w:val="auto"/>
        </w:rPr>
        <w:t xml:space="preserve">. More than 450, or </w:t>
      </w:r>
      <w:r w:rsidRPr="00E668FC">
        <w:rPr>
          <w:rFonts w:cs="Arial"/>
          <w:color w:val="auto"/>
        </w:rPr>
        <w:lastRenderedPageBreak/>
        <w:t xml:space="preserve">just over 20%, of the world’s largest companies – defined in terms of their membership in the 2019 Fortune Global 500 and Global Forbes 2000 lists – are included in this total. </w:t>
      </w:r>
    </w:p>
    <w:p w14:paraId="29902067" w14:textId="27877405" w:rsidR="005F281B" w:rsidRPr="00E668FC" w:rsidRDefault="154EABF8" w:rsidP="154EABF8">
      <w:pPr>
        <w:spacing w:line="360" w:lineRule="auto"/>
        <w:rPr>
          <w:rFonts w:cs="Arial"/>
          <w:color w:val="auto"/>
        </w:rPr>
      </w:pPr>
      <w:r w:rsidRPr="154EABF8">
        <w:rPr>
          <w:rFonts w:cs="Arial"/>
          <w:color w:val="auto"/>
        </w:rPr>
        <w:t>Across the 10 major emitting economies this report considers, the EU28, the US, and China host the greatest number of companies making quantifiable GHG reduction commitments. Targets set by companies headquartered in the US and the EU28 cover markedly more (self-defined) baseline emissions than companies in other regions, likely reflecting the high level of participation in these locations. Similarly, the largest concentration of revenue is found among companies headquartered in the US, the EU28, and Japan.</w:t>
      </w:r>
    </w:p>
    <w:p w14:paraId="1937D794" w14:textId="1D654484" w:rsidR="005F281B" w:rsidRPr="00E668FC" w:rsidRDefault="154EABF8" w:rsidP="005F281B">
      <w:pPr>
        <w:spacing w:line="360" w:lineRule="auto"/>
        <w:rPr>
          <w:rFonts w:cs="Arial"/>
          <w:color w:val="auto"/>
        </w:rPr>
      </w:pPr>
      <w:r w:rsidRPr="154EABF8">
        <w:rPr>
          <w:rFonts w:cs="Arial"/>
          <w:color w:val="auto"/>
        </w:rPr>
        <w:t>As with commitments by regions and cities, most company commitments focus on short-term timelines, up to or in 2020. Across the GHG emissions reduction commitments made by companies reporting quantifiable emissions reductions to CDP in the 10 major emitting economies, 58% have targets up to or in 2020; 40% aim for target years between 2021 and 2030; and 2% set targets after 2030. The most common GHG emissions reduction target aims to cut GHG emissions by roughly 20%, with varying base years between 1990 and 2018 (the most common base year is 2014).</w:t>
      </w:r>
      <w:r w:rsidR="006F1151">
        <w:rPr>
          <w:rFonts w:cs="Arial"/>
          <w:color w:val="auto"/>
        </w:rPr>
        <w:t xml:space="preserve"> </w:t>
      </w:r>
      <w:r w:rsidR="006F1151" w:rsidRPr="006F1151">
        <w:rPr>
          <w:rFonts w:cs="Arial"/>
          <w:color w:val="auto"/>
        </w:rPr>
        <w:t>Company branches with only short-term (by or in 2020) targets, and no mid- or long-term targets, represent 45.2 % of all companies’ base year emissions.</w:t>
      </w:r>
      <w:r w:rsidRPr="154EABF8">
        <w:rPr>
          <w:rFonts w:cs="Arial"/>
          <w:color w:val="auto"/>
        </w:rPr>
        <w:t xml:space="preserve">  </w:t>
      </w:r>
    </w:p>
    <w:p w14:paraId="0E55F92C" w14:textId="6AF07CD6" w:rsidR="005F281B" w:rsidRPr="00E668FC" w:rsidRDefault="005F281B" w:rsidP="005F281B">
      <w:pPr>
        <w:spacing w:line="360" w:lineRule="auto"/>
        <w:rPr>
          <w:rFonts w:cs="Arial"/>
          <w:color w:val="auto"/>
        </w:rPr>
      </w:pPr>
      <w:r w:rsidRPr="00E668FC">
        <w:rPr>
          <w:rFonts w:cs="Arial"/>
          <w:color w:val="auto"/>
        </w:rPr>
        <w:t>Commitments span a wide range of sectors, with particularly high concentration in the manufacturing and services sectors (</w:t>
      </w:r>
      <w:r>
        <w:rPr>
          <w:rFonts w:cs="Arial"/>
          <w:color w:val="auto"/>
        </w:rPr>
        <w:fldChar w:fldCharType="begin"/>
      </w:r>
      <w:r>
        <w:rPr>
          <w:rFonts w:cs="Arial"/>
          <w:color w:val="auto"/>
        </w:rPr>
        <w:instrText xml:space="preserve"> REF _Ref23424757 \h </w:instrText>
      </w:r>
      <w:r>
        <w:rPr>
          <w:rFonts w:cs="Arial"/>
          <w:color w:val="auto"/>
        </w:rPr>
      </w:r>
      <w:r>
        <w:rPr>
          <w:rFonts w:cs="Arial"/>
          <w:color w:val="auto"/>
        </w:rPr>
        <w:fldChar w:fldCharType="separate"/>
      </w:r>
      <w:r w:rsidR="00B35840">
        <w:t>Figure S-</w:t>
      </w:r>
      <w:r w:rsidR="00B35840">
        <w:rPr>
          <w:noProof/>
        </w:rPr>
        <w:t>3</w:t>
      </w:r>
      <w:r>
        <w:rPr>
          <w:rFonts w:cs="Arial"/>
          <w:color w:val="auto"/>
        </w:rPr>
        <w:fldChar w:fldCharType="end"/>
      </w:r>
      <w:r w:rsidRPr="00E668FC">
        <w:rPr>
          <w:rFonts w:cs="Arial"/>
          <w:color w:val="auto"/>
        </w:rPr>
        <w:t xml:space="preserve">). More than 500 commitments each reference renewable energy and fuel efficiency, while over 350 commitments in energy efficiency, and nearly 200 mention transport. </w:t>
      </w:r>
    </w:p>
    <w:p w14:paraId="1344CD80" w14:textId="77777777" w:rsidR="005F281B" w:rsidRPr="00E668FC" w:rsidRDefault="005F281B" w:rsidP="005F281B">
      <w:pPr>
        <w:spacing w:line="360" w:lineRule="auto"/>
        <w:rPr>
          <w:rFonts w:cs="Arial"/>
          <w:color w:val="auto"/>
        </w:rPr>
      </w:pPr>
      <w:r w:rsidRPr="00280041">
        <w:rPr>
          <w:noProof/>
        </w:rPr>
        <w:drawing>
          <wp:inline distT="0" distB="0" distL="0" distR="0" wp14:anchorId="6407C98D" wp14:editId="19CC1A97">
            <wp:extent cx="5589917" cy="33572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4047" cy="3365744"/>
                    </a:xfrm>
                    <a:prstGeom prst="rect">
                      <a:avLst/>
                    </a:prstGeom>
                    <a:noFill/>
                    <a:ln>
                      <a:noFill/>
                    </a:ln>
                  </pic:spPr>
                </pic:pic>
              </a:graphicData>
            </a:graphic>
          </wp:inline>
        </w:drawing>
      </w:r>
    </w:p>
    <w:p w14:paraId="518C6A09" w14:textId="5FCDC0AA" w:rsidR="005F281B" w:rsidRPr="00983724" w:rsidRDefault="005F281B" w:rsidP="005F281B">
      <w:pPr>
        <w:pStyle w:val="Caption"/>
        <w:spacing w:line="360" w:lineRule="auto"/>
      </w:pPr>
      <w:bookmarkStart w:id="30" w:name="_Ref23424757"/>
      <w:bookmarkStart w:id="31" w:name="_Toc16552240"/>
      <w:r>
        <w:t>Figure S-</w:t>
      </w:r>
      <w:r>
        <w:fldChar w:fldCharType="begin"/>
      </w:r>
      <w:r>
        <w:instrText xml:space="preserve"> SEQ Figure_S- \* ARABIC </w:instrText>
      </w:r>
      <w:r>
        <w:fldChar w:fldCharType="separate"/>
      </w:r>
      <w:r w:rsidR="00B35840">
        <w:rPr>
          <w:noProof/>
        </w:rPr>
        <w:t>3</w:t>
      </w:r>
      <w:r>
        <w:fldChar w:fldCharType="end"/>
      </w:r>
      <w:bookmarkEnd w:id="30"/>
      <w:r w:rsidRPr="00983724">
        <w:t xml:space="preserve">: The distribution of companies making quantified GHG emissions reduction commitments by sector. Data source: CDP Corporate Climate Targets Dataset 2018 </w:t>
      </w:r>
      <w:bookmarkEnd w:id="31"/>
    </w:p>
    <w:p w14:paraId="12CCC080" w14:textId="77777777" w:rsidR="005F281B" w:rsidRDefault="005F281B" w:rsidP="005F281B">
      <w:pPr>
        <w:spacing w:line="360" w:lineRule="auto"/>
      </w:pPr>
      <w:r w:rsidRPr="00E668FC">
        <w:rPr>
          <w:rFonts w:cs="Arial"/>
          <w:color w:val="auto"/>
        </w:rPr>
        <w:t xml:space="preserve">  </w:t>
      </w:r>
    </w:p>
    <w:p w14:paraId="5FF74B3D" w14:textId="77777777" w:rsidR="008B4F14" w:rsidRDefault="005F281B">
      <w:pPr>
        <w:pStyle w:val="Heading1"/>
        <w:numPr>
          <w:ilvl w:val="0"/>
          <w:numId w:val="0"/>
        </w:numPr>
      </w:pPr>
      <w:bookmarkStart w:id="32" w:name="_Toc34169194"/>
      <w:r>
        <w:lastRenderedPageBreak/>
        <w:t>References</w:t>
      </w:r>
      <w:bookmarkEnd w:id="32"/>
    </w:p>
    <w:p w14:paraId="49CF6803" w14:textId="56AD1FCB" w:rsidR="0019581D" w:rsidRPr="0019581D" w:rsidRDefault="005F281B" w:rsidP="0019581D">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19581D" w:rsidRPr="0019581D">
        <w:rPr>
          <w:rFonts w:cs="Arial"/>
          <w:noProof/>
          <w:szCs w:val="24"/>
        </w:rPr>
        <w:t xml:space="preserve">CDP (2018). “Appendix C: Developing climate action datasets,” in </w:t>
      </w:r>
      <w:r w:rsidR="0019581D" w:rsidRPr="0019581D">
        <w:rPr>
          <w:rFonts w:cs="Arial"/>
          <w:i/>
          <w:iCs/>
          <w:noProof/>
          <w:szCs w:val="24"/>
        </w:rPr>
        <w:t>Non-State and Subnational Action Guidance: Guidance for integrating the impact of non-state and subnational mitigation actions into national greenhouse gas projections, targets and planning</w:t>
      </w:r>
      <w:r w:rsidR="0019581D" w:rsidRPr="0019581D">
        <w:rPr>
          <w:rFonts w:cs="Arial"/>
          <w:noProof/>
          <w:szCs w:val="24"/>
        </w:rPr>
        <w:t>, eds. NewClimate Institute, World Resources Institute, CDP, and The Climate Group (NewClimate Institute, World Resources Institute, CDP, The Climate Group), 1–117. Available at: http://www.climateactiontransparency.org/wp-content/uploads/2017/07/ICAT-Non-State-and-Subnational-Action-Guidance-26-JUL-2017.pdf.</w:t>
      </w:r>
    </w:p>
    <w:p w14:paraId="34D62497"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CDP (2019). Global Climate Change Analysis 2018. Available at: https://www.cdp.net/en/research/global-reports/global-climate-change-report-2018 [Accessed September 10, 2019].</w:t>
      </w:r>
    </w:p>
    <w:p w14:paraId="1646851B"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CEIC (2019). China Premium Database. Available at: https://www.ceicdata.com/en/products/china-economic-database [Accessed August 1, 2019].</w:t>
      </w:r>
    </w:p>
    <w:p w14:paraId="2A6D24E4"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D&amp;B Hoovers (2019). Company Search Database. Available at: http://www.hoovers.com/company-information/company-search.html [Accessed October 20, 2019].</w:t>
      </w:r>
    </w:p>
    <w:p w14:paraId="382D0EA1"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Fortune (2019). Fortune Global 500. Available at: https://fortune.com/global500/2019/ [Accessed October 20, 2019].</w:t>
      </w:r>
    </w:p>
    <w:p w14:paraId="3396FB20"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Griffin, P., and Taylor, H. (2016). The Clean and Complete Dataset 2016. Technical Annex II: Bottom-up Estimation Methodology. CDP.</w:t>
      </w:r>
    </w:p>
    <w:p w14:paraId="422CBCC9"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 xml:space="preserve">Höhne, N., den Elzen, M., and Escalante, D. (2014). Regional GHG reduction targets based on effort sharing: a comparison of studies. </w:t>
      </w:r>
      <w:r w:rsidRPr="0019581D">
        <w:rPr>
          <w:rFonts w:cs="Arial"/>
          <w:i/>
          <w:iCs/>
          <w:noProof/>
          <w:szCs w:val="24"/>
        </w:rPr>
        <w:t>Clim. Policy</w:t>
      </w:r>
      <w:r w:rsidRPr="0019581D">
        <w:rPr>
          <w:rFonts w:cs="Arial"/>
          <w:noProof/>
          <w:szCs w:val="24"/>
        </w:rPr>
        <w:t xml:space="preserve"> 14, 122–147. doi:10.1080/14693062.2014.849452.</w:t>
      </w:r>
    </w:p>
    <w:p w14:paraId="495353C5"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IGDP (2019). China Policy Mapping Tool. Available at: http://www.igdp.cn/policy-mapping-tool/ [Accessed August 1, 2019].</w:t>
      </w:r>
    </w:p>
    <w:p w14:paraId="1CC183DC"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IPCC (2014). Climate Change 2014: Synthesis Report. Contribution of Working Groups I, II and III to the Fifth Assessment Report of the Intergovernmental Panel on Climate Change. , eds. R. K. Pachauri and L. A. Meyer Geneva, Switzerland, Switzerland: IPCC.</w:t>
      </w:r>
    </w:p>
    <w:p w14:paraId="46EC59DA"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Liu, Z., and Cai, B. (2018). High-resolution Carbon Emissions Data for Chinese Cities. Environment and Natural Resources Program, Belfer Center Available at: https://www.belfercenter.org/publication/high-resolution-carbon-emissions-data-chinese-cities.</w:t>
      </w:r>
    </w:p>
    <w:p w14:paraId="743FCC3F"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Murphy, A., Ponciano, J., Hansen, S., and Touryalai, H. (2019). GLOBAL 2000: The World’s Largest Public Companies. Available at: https://www.forbes.com/global2000/#1309417e335d [Accessed October 20, 2019].</w:t>
      </w:r>
    </w:p>
    <w:p w14:paraId="4E8B74BD"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 xml:space="preserve">Ramachandra, T. V., Aithal, B. H., and Sreejith, K. (2015). GHG footprint of major cities in India. </w:t>
      </w:r>
      <w:r w:rsidRPr="0019581D">
        <w:rPr>
          <w:rFonts w:cs="Arial"/>
          <w:i/>
          <w:iCs/>
          <w:noProof/>
          <w:szCs w:val="24"/>
        </w:rPr>
        <w:t>Renew. Sustain. Energy Rev.</w:t>
      </w:r>
      <w:r w:rsidRPr="0019581D">
        <w:rPr>
          <w:rFonts w:cs="Arial"/>
          <w:noProof/>
          <w:szCs w:val="24"/>
        </w:rPr>
        <w:t xml:space="preserve"> 44, 473–495. doi:10.1016/j.rser.2014.12.036.</w:t>
      </w:r>
    </w:p>
    <w:p w14:paraId="570A4735"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Sawbridge, H., and Griffin, P. (2016). CDP Full GHG Emissions Dataset 2016. Technical Annex IV : Scope 3 Overview and Modelling. CDP.</w:t>
      </w:r>
    </w:p>
    <w:p w14:paraId="405AA035"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Sawbridge, H., Griffin, P., Van der Vlugt, I., Peirano, J., Shannon, R., Crocker, T., et al. (2016a). The CDP Clean and Complete Dataset 2016: Summary. CDP.</w:t>
      </w:r>
    </w:p>
    <w:p w14:paraId="6FC0F6EE"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Sawbridge, H., Shannon, R., and Griffin, P. (2016b). CDP Clean and Complete Dataset 2016. Technical Annex I : Data Cleaning Approach. CDP.</w:t>
      </w:r>
    </w:p>
    <w:p w14:paraId="58CDF4F5"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Sawbridge, H., Shannon, R., and Griffin, P. (2016c). CDP Clean and Complete Dataset 2016. Technical Annex III : Statistical Framework. CDP.</w:t>
      </w:r>
    </w:p>
    <w:p w14:paraId="703B3571"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Stehfest, E., van Vuuren, D., Kram, T., Bouwman, L., Alkemade, R., Bakkenes, M., et al. (2014). Integrated Assessment of Global Environmental Change with IMAGE 3.0 - Model description and policy applications. Bilthoven, the Netherlands: PBL Netherlands Environmental Assessment Agency Available at: http://www.pbl.nl/sites/default/files/cms/publicaties/pbl-2014-integrated assessment of global environmental change with image30_735.pdf.</w:t>
      </w:r>
    </w:p>
    <w:p w14:paraId="2A7E131C"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lastRenderedPageBreak/>
        <w:t>UN DESA (2014). World Urbanization Prospects. doi:10.4054/DemRes.2005.12.9.</w:t>
      </w:r>
    </w:p>
    <w:p w14:paraId="41AFD1BE" w14:textId="77777777" w:rsidR="0019581D" w:rsidRPr="0019581D" w:rsidRDefault="0019581D" w:rsidP="0019581D">
      <w:pPr>
        <w:widowControl w:val="0"/>
        <w:autoSpaceDE w:val="0"/>
        <w:autoSpaceDN w:val="0"/>
        <w:adjustRightInd w:val="0"/>
        <w:spacing w:line="240" w:lineRule="auto"/>
        <w:ind w:left="480" w:hanging="480"/>
        <w:rPr>
          <w:rFonts w:cs="Arial"/>
          <w:noProof/>
          <w:szCs w:val="24"/>
        </w:rPr>
      </w:pPr>
      <w:r w:rsidRPr="0019581D">
        <w:rPr>
          <w:rFonts w:cs="Arial"/>
          <w:noProof/>
          <w:szCs w:val="24"/>
        </w:rPr>
        <w:t>World Bank (2019a). GDP (current US$). Available at: https://data.worldbank.org/indicator/ny.gdp.mktp.cd [Accessed August 1, 2019].</w:t>
      </w:r>
    </w:p>
    <w:p w14:paraId="110E4530" w14:textId="77777777" w:rsidR="0019581D" w:rsidRPr="0019581D" w:rsidRDefault="0019581D" w:rsidP="0019581D">
      <w:pPr>
        <w:widowControl w:val="0"/>
        <w:autoSpaceDE w:val="0"/>
        <w:autoSpaceDN w:val="0"/>
        <w:adjustRightInd w:val="0"/>
        <w:spacing w:line="240" w:lineRule="auto"/>
        <w:ind w:left="480" w:hanging="480"/>
        <w:rPr>
          <w:rFonts w:cs="Arial"/>
          <w:noProof/>
        </w:rPr>
      </w:pPr>
      <w:r w:rsidRPr="0019581D">
        <w:rPr>
          <w:rFonts w:cs="Arial"/>
          <w:noProof/>
          <w:szCs w:val="24"/>
        </w:rPr>
        <w:t>World Bank (2019b). World Development Indicators. Population, total. Available at: https://data.worldbank.org/indicator/SP.POP.TOTL?view=chart [Accessed September 5, 2019].</w:t>
      </w:r>
    </w:p>
    <w:p w14:paraId="2BEF16AF" w14:textId="77777777" w:rsidR="005F281B" w:rsidRPr="005F281B" w:rsidRDefault="005F281B" w:rsidP="005F281B">
      <w:r>
        <w:fldChar w:fldCharType="end"/>
      </w:r>
    </w:p>
    <w:sectPr w:rsidR="005F281B" w:rsidRPr="005F281B" w:rsidSect="007D0B1F">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743E" w14:textId="77777777" w:rsidR="00546509" w:rsidRDefault="00546509">
      <w:pPr>
        <w:spacing w:after="0" w:line="240" w:lineRule="auto"/>
      </w:pPr>
      <w:r>
        <w:separator/>
      </w:r>
    </w:p>
  </w:endnote>
  <w:endnote w:type="continuationSeparator" w:id="0">
    <w:p w14:paraId="49424AC4" w14:textId="77777777" w:rsidR="00546509" w:rsidRDefault="0054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Times New Roman">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2656"/>
      <w:docPartObj>
        <w:docPartGallery w:val="Page Numbers (Bottom of Page)"/>
        <w:docPartUnique/>
      </w:docPartObj>
    </w:sdtPr>
    <w:sdtEndPr>
      <w:rPr>
        <w:noProof/>
      </w:rPr>
    </w:sdtEndPr>
    <w:sdtContent>
      <w:p w14:paraId="61C91A3E" w14:textId="60FCBACD" w:rsidR="002F54B6" w:rsidRDefault="002F5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4C9B4" w14:textId="200B04EF" w:rsidR="00BB7DE1" w:rsidRPr="00115C4F" w:rsidRDefault="00DB035B" w:rsidP="005F399B">
    <w:pPr>
      <w:pStyle w:val="Footer"/>
      <w:tabs>
        <w:tab w:val="clear" w:pos="4513"/>
        <w:tab w:val="center" w:pos="284"/>
        <w:tab w:val="left" w:pos="8760"/>
        <w:tab w:val="left" w:pos="8958"/>
      </w:tabs>
      <w:ind w:right="100"/>
      <w:jc w:val="right"/>
      <w:rPr>
        <w:color w:val="6D8B9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17DC" w14:textId="77777777" w:rsidR="00546509" w:rsidRDefault="00546509">
      <w:pPr>
        <w:spacing w:after="0" w:line="240" w:lineRule="auto"/>
      </w:pPr>
      <w:r>
        <w:separator/>
      </w:r>
    </w:p>
  </w:footnote>
  <w:footnote w:type="continuationSeparator" w:id="0">
    <w:p w14:paraId="591C9BC7" w14:textId="77777777" w:rsidR="00546509" w:rsidRDefault="0054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D0F"/>
    <w:multiLevelType w:val="hybridMultilevel"/>
    <w:tmpl w:val="649879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6555E"/>
    <w:multiLevelType w:val="hybridMultilevel"/>
    <w:tmpl w:val="6CB841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B2B15E4"/>
    <w:multiLevelType w:val="multilevel"/>
    <w:tmpl w:val="1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FF8657F"/>
    <w:multiLevelType w:val="hybridMultilevel"/>
    <w:tmpl w:val="E42618E0"/>
    <w:lvl w:ilvl="0" w:tplc="89248A7C">
      <w:start w:val="1"/>
      <w:numFmt w:val="bullet"/>
      <w:pStyle w:val="FooterNewClimatePageNumber"/>
      <w:lvlText w:val=""/>
      <w:lvlJc w:val="left"/>
      <w:pPr>
        <w:ind w:left="6173" w:hanging="360"/>
      </w:pPr>
      <w:rPr>
        <w:rFonts w:ascii="Symbol" w:hAnsi="Symbol" w:hint="default"/>
        <w:color w:val="auto"/>
        <w:sz w:val="19"/>
        <w:szCs w:val="19"/>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4" w15:restartNumberingAfterBreak="0">
    <w:nsid w:val="76F56152"/>
    <w:multiLevelType w:val="multilevel"/>
    <w:tmpl w:val="B7EED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224B2"/>
    <w:multiLevelType w:val="hybridMultilevel"/>
    <w:tmpl w:val="9B3CCA4A"/>
    <w:lvl w:ilvl="0" w:tplc="3FBC82DC">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1B"/>
    <w:rsid w:val="000154B7"/>
    <w:rsid w:val="00015583"/>
    <w:rsid w:val="00074DBE"/>
    <w:rsid w:val="000A4A7A"/>
    <w:rsid w:val="000A74F8"/>
    <w:rsid w:val="00120399"/>
    <w:rsid w:val="00123B46"/>
    <w:rsid w:val="00166A0D"/>
    <w:rsid w:val="0019581D"/>
    <w:rsid w:val="001B7B56"/>
    <w:rsid w:val="002069F0"/>
    <w:rsid w:val="00244135"/>
    <w:rsid w:val="002629E1"/>
    <w:rsid w:val="002F54B6"/>
    <w:rsid w:val="00342985"/>
    <w:rsid w:val="004133F6"/>
    <w:rsid w:val="00435042"/>
    <w:rsid w:val="00451B7E"/>
    <w:rsid w:val="00474677"/>
    <w:rsid w:val="004B463A"/>
    <w:rsid w:val="004F2B1A"/>
    <w:rsid w:val="00546509"/>
    <w:rsid w:val="005644B3"/>
    <w:rsid w:val="00576754"/>
    <w:rsid w:val="00596CAB"/>
    <w:rsid w:val="005C3DBC"/>
    <w:rsid w:val="005C6958"/>
    <w:rsid w:val="005D2E66"/>
    <w:rsid w:val="005F281B"/>
    <w:rsid w:val="006038CF"/>
    <w:rsid w:val="006F1151"/>
    <w:rsid w:val="007426A6"/>
    <w:rsid w:val="007431C5"/>
    <w:rsid w:val="00794CE7"/>
    <w:rsid w:val="007C37C1"/>
    <w:rsid w:val="007D0B1F"/>
    <w:rsid w:val="007F3AAD"/>
    <w:rsid w:val="008041A3"/>
    <w:rsid w:val="008042A9"/>
    <w:rsid w:val="008B4F14"/>
    <w:rsid w:val="008C5CE3"/>
    <w:rsid w:val="0091214D"/>
    <w:rsid w:val="00924448"/>
    <w:rsid w:val="009D2B92"/>
    <w:rsid w:val="00A35631"/>
    <w:rsid w:val="00A97DB1"/>
    <w:rsid w:val="00AB68BE"/>
    <w:rsid w:val="00B10E43"/>
    <w:rsid w:val="00B35840"/>
    <w:rsid w:val="00BC20A4"/>
    <w:rsid w:val="00C40162"/>
    <w:rsid w:val="00C909CC"/>
    <w:rsid w:val="00CB7442"/>
    <w:rsid w:val="00CC57CF"/>
    <w:rsid w:val="00D04754"/>
    <w:rsid w:val="00D465EC"/>
    <w:rsid w:val="00DA00CD"/>
    <w:rsid w:val="00DB035B"/>
    <w:rsid w:val="00DF4687"/>
    <w:rsid w:val="00E534B1"/>
    <w:rsid w:val="00ED4112"/>
    <w:rsid w:val="00F007CE"/>
    <w:rsid w:val="00F15C06"/>
    <w:rsid w:val="00F2414D"/>
    <w:rsid w:val="00F33583"/>
    <w:rsid w:val="00F64D7A"/>
    <w:rsid w:val="154EABF8"/>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C48B2"/>
  <w15:chartTrackingRefBased/>
  <w15:docId w15:val="{B6F0DEFF-A772-4460-944E-39C53EC0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NewClimate"/>
    <w:qFormat/>
    <w:rsid w:val="005F281B"/>
    <w:pPr>
      <w:spacing w:line="288" w:lineRule="auto"/>
      <w:jc w:val="both"/>
    </w:pPr>
    <w:rPr>
      <w:rFonts w:ascii="Arial" w:hAnsi="Arial"/>
      <w:color w:val="000000" w:themeColor="text1"/>
      <w:sz w:val="20"/>
      <w:lang w:val="en-GB" w:eastAsia="en-US"/>
    </w:rPr>
  </w:style>
  <w:style w:type="paragraph" w:styleId="Heading1">
    <w:name w:val="heading 1"/>
    <w:basedOn w:val="Normal"/>
    <w:next w:val="Normal"/>
    <w:link w:val="Heading1Char"/>
    <w:uiPriority w:val="9"/>
    <w:qFormat/>
    <w:rsid w:val="005F281B"/>
    <w:pPr>
      <w:keepNext/>
      <w:keepLines/>
      <w:numPr>
        <w:numId w:val="5"/>
      </w:numPr>
      <w:spacing w:before="240" w:after="0"/>
      <w:outlineLvl w:val="0"/>
    </w:pPr>
    <w:rPr>
      <w:rFonts w:eastAsiaTheme="majorEastAsia" w:cstheme="majorBidi"/>
      <w:color w:val="auto"/>
      <w:sz w:val="32"/>
      <w:szCs w:val="32"/>
    </w:rPr>
  </w:style>
  <w:style w:type="paragraph" w:styleId="Heading2">
    <w:name w:val="heading 2"/>
    <w:basedOn w:val="Normal"/>
    <w:next w:val="Normal"/>
    <w:link w:val="Heading2Char"/>
    <w:uiPriority w:val="9"/>
    <w:unhideWhenUsed/>
    <w:qFormat/>
    <w:rsid w:val="005F281B"/>
    <w:pPr>
      <w:keepNext/>
      <w:keepLines/>
      <w:numPr>
        <w:ilvl w:val="1"/>
        <w:numId w:val="5"/>
      </w:numPr>
      <w:spacing w:before="40" w:after="0"/>
      <w:outlineLvl w:val="1"/>
    </w:pPr>
    <w:rPr>
      <w:rFonts w:eastAsiaTheme="majorEastAsia" w:cstheme="majorBidi"/>
      <w:color w:val="auto"/>
      <w:sz w:val="26"/>
      <w:szCs w:val="26"/>
    </w:rPr>
  </w:style>
  <w:style w:type="paragraph" w:styleId="Heading3">
    <w:name w:val="heading 3"/>
    <w:basedOn w:val="Normal"/>
    <w:next w:val="Normal"/>
    <w:link w:val="Heading3Char"/>
    <w:uiPriority w:val="9"/>
    <w:unhideWhenUsed/>
    <w:qFormat/>
    <w:rsid w:val="005F281B"/>
    <w:pPr>
      <w:keepNext/>
      <w:keepLines/>
      <w:numPr>
        <w:ilvl w:val="2"/>
        <w:numId w:val="5"/>
      </w:numPr>
      <w:spacing w:before="40" w:after="0"/>
      <w:outlineLvl w:val="2"/>
    </w:pPr>
    <w:rPr>
      <w:rFonts w:eastAsiaTheme="majorEastAsia" w:cstheme="majorBidi"/>
      <w:color w:val="auto"/>
      <w:sz w:val="24"/>
      <w:szCs w:val="24"/>
    </w:rPr>
  </w:style>
  <w:style w:type="paragraph" w:styleId="Heading4">
    <w:name w:val="heading 4"/>
    <w:basedOn w:val="Normal"/>
    <w:next w:val="Normal"/>
    <w:link w:val="Heading4Char"/>
    <w:uiPriority w:val="9"/>
    <w:unhideWhenUsed/>
    <w:qFormat/>
    <w:rsid w:val="005F281B"/>
    <w:pPr>
      <w:keepNext/>
      <w:keepLines/>
      <w:numPr>
        <w:ilvl w:val="3"/>
        <w:numId w:val="5"/>
      </w:numPr>
      <w:spacing w:before="40" w:after="0"/>
      <w:outlineLvl w:val="3"/>
    </w:pPr>
    <w:rPr>
      <w:rFonts w:eastAsiaTheme="majorEastAsia" w:cstheme="majorBidi"/>
      <w:iCs/>
      <w:color w:val="auto"/>
    </w:rPr>
  </w:style>
  <w:style w:type="paragraph" w:styleId="Heading5">
    <w:name w:val="heading 5"/>
    <w:basedOn w:val="Normal"/>
    <w:next w:val="Normal"/>
    <w:link w:val="Heading5Char"/>
    <w:uiPriority w:val="9"/>
    <w:unhideWhenUsed/>
    <w:qFormat/>
    <w:rsid w:val="005F281B"/>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Heading No Number"/>
    <w:basedOn w:val="Normal"/>
    <w:next w:val="Normal"/>
    <w:link w:val="Heading6Char"/>
    <w:uiPriority w:val="9"/>
    <w:unhideWhenUsed/>
    <w:qFormat/>
    <w:rsid w:val="005F281B"/>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Heading 5_NEW"/>
    <w:basedOn w:val="Normal"/>
    <w:next w:val="Normal"/>
    <w:link w:val="Heading7Char"/>
    <w:uiPriority w:val="9"/>
    <w:unhideWhenUsed/>
    <w:qFormat/>
    <w:rsid w:val="005F281B"/>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F281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F281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1B"/>
    <w:rPr>
      <w:rFonts w:ascii="Arial" w:eastAsiaTheme="majorEastAsia" w:hAnsi="Arial" w:cstheme="majorBidi"/>
      <w:sz w:val="32"/>
      <w:szCs w:val="32"/>
      <w:lang w:val="en-GB" w:eastAsia="en-US"/>
    </w:rPr>
  </w:style>
  <w:style w:type="character" w:customStyle="1" w:styleId="Heading2Char">
    <w:name w:val="Heading 2 Char"/>
    <w:basedOn w:val="DefaultParagraphFont"/>
    <w:link w:val="Heading2"/>
    <w:uiPriority w:val="9"/>
    <w:rsid w:val="005F281B"/>
    <w:rPr>
      <w:rFonts w:ascii="Arial" w:eastAsiaTheme="majorEastAsia" w:hAnsi="Arial" w:cstheme="majorBidi"/>
      <w:sz w:val="26"/>
      <w:szCs w:val="26"/>
      <w:lang w:val="en-GB" w:eastAsia="en-US"/>
    </w:rPr>
  </w:style>
  <w:style w:type="character" w:customStyle="1" w:styleId="Heading3Char">
    <w:name w:val="Heading 3 Char"/>
    <w:basedOn w:val="DefaultParagraphFont"/>
    <w:link w:val="Heading3"/>
    <w:uiPriority w:val="9"/>
    <w:rsid w:val="005F281B"/>
    <w:rPr>
      <w:rFonts w:ascii="Arial" w:eastAsiaTheme="majorEastAsia" w:hAnsi="Arial" w:cstheme="majorBidi"/>
      <w:sz w:val="24"/>
      <w:szCs w:val="24"/>
      <w:lang w:val="en-GB" w:eastAsia="en-US"/>
    </w:rPr>
  </w:style>
  <w:style w:type="character" w:customStyle="1" w:styleId="Heading4Char">
    <w:name w:val="Heading 4 Char"/>
    <w:basedOn w:val="DefaultParagraphFont"/>
    <w:link w:val="Heading4"/>
    <w:uiPriority w:val="9"/>
    <w:rsid w:val="005F281B"/>
    <w:rPr>
      <w:rFonts w:ascii="Arial" w:eastAsiaTheme="majorEastAsia" w:hAnsi="Arial" w:cstheme="majorBidi"/>
      <w:iCs/>
      <w:sz w:val="20"/>
      <w:lang w:val="en-GB" w:eastAsia="en-US"/>
    </w:rPr>
  </w:style>
  <w:style w:type="character" w:customStyle="1" w:styleId="Heading5Char">
    <w:name w:val="Heading 5 Char"/>
    <w:basedOn w:val="DefaultParagraphFont"/>
    <w:link w:val="Heading5"/>
    <w:uiPriority w:val="9"/>
    <w:rsid w:val="005F281B"/>
    <w:rPr>
      <w:rFonts w:asciiTheme="majorHAnsi" w:eastAsiaTheme="majorEastAsia" w:hAnsiTheme="majorHAnsi" w:cstheme="majorBidi"/>
      <w:color w:val="2F5496" w:themeColor="accent1" w:themeShade="BF"/>
      <w:sz w:val="20"/>
      <w:lang w:val="en-GB" w:eastAsia="en-US"/>
    </w:rPr>
  </w:style>
  <w:style w:type="character" w:customStyle="1" w:styleId="Heading6Char">
    <w:name w:val="Heading 6 Char"/>
    <w:aliases w:val="Heading No Number Char"/>
    <w:basedOn w:val="DefaultParagraphFont"/>
    <w:link w:val="Heading6"/>
    <w:uiPriority w:val="9"/>
    <w:rsid w:val="005F281B"/>
    <w:rPr>
      <w:rFonts w:asciiTheme="majorHAnsi" w:eastAsiaTheme="majorEastAsia" w:hAnsiTheme="majorHAnsi" w:cstheme="majorBidi"/>
      <w:color w:val="1F3763" w:themeColor="accent1" w:themeShade="7F"/>
      <w:sz w:val="20"/>
      <w:lang w:val="en-GB" w:eastAsia="en-US"/>
    </w:rPr>
  </w:style>
  <w:style w:type="character" w:customStyle="1" w:styleId="Heading7Char">
    <w:name w:val="Heading 7 Char"/>
    <w:aliases w:val="Heading 5_NEW Char"/>
    <w:basedOn w:val="DefaultParagraphFont"/>
    <w:link w:val="Heading7"/>
    <w:uiPriority w:val="9"/>
    <w:rsid w:val="005F281B"/>
    <w:rPr>
      <w:rFonts w:asciiTheme="majorHAnsi" w:eastAsiaTheme="majorEastAsia" w:hAnsiTheme="majorHAnsi" w:cstheme="majorBidi"/>
      <w:i/>
      <w:iCs/>
      <w:color w:val="1F3763" w:themeColor="accent1" w:themeShade="7F"/>
      <w:sz w:val="20"/>
      <w:lang w:val="en-GB" w:eastAsia="en-US"/>
    </w:rPr>
  </w:style>
  <w:style w:type="character" w:customStyle="1" w:styleId="Heading8Char">
    <w:name w:val="Heading 8 Char"/>
    <w:basedOn w:val="DefaultParagraphFont"/>
    <w:link w:val="Heading8"/>
    <w:uiPriority w:val="9"/>
    <w:rsid w:val="005F281B"/>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rsid w:val="005F281B"/>
    <w:rPr>
      <w:rFonts w:asciiTheme="majorHAnsi" w:eastAsiaTheme="majorEastAsia" w:hAnsiTheme="majorHAnsi" w:cstheme="majorBidi"/>
      <w:i/>
      <w:iCs/>
      <w:color w:val="272727" w:themeColor="text1" w:themeTint="D8"/>
      <w:sz w:val="21"/>
      <w:szCs w:val="21"/>
      <w:lang w:val="en-GB" w:eastAsia="en-US"/>
    </w:rPr>
  </w:style>
  <w:style w:type="table" w:customStyle="1" w:styleId="NewClimateTableGrey">
    <w:name w:val="NewClimate_TableGrey"/>
    <w:basedOn w:val="TableNormal"/>
    <w:uiPriority w:val="99"/>
    <w:rsid w:val="005F281B"/>
    <w:pPr>
      <w:spacing w:after="0" w:line="240" w:lineRule="auto"/>
    </w:pPr>
    <w:rPr>
      <w:rFonts w:ascii="Arial" w:eastAsia="MS Mincho" w:hAnsi="Arial" w:cs="Times New Roman"/>
      <w:sz w:val="20"/>
      <w:szCs w:val="20"/>
      <w:lang w:val="en-US"/>
    </w:rPr>
    <w:tblPr>
      <w:tblStyleRowBandSize w:val="1"/>
      <w:tblStyleColBandSize w:val="1"/>
      <w:tblBorders>
        <w:top w:val="single" w:sz="4" w:space="0" w:color="6D8B95"/>
        <w:bottom w:val="single" w:sz="4" w:space="0" w:color="6D8B95"/>
        <w:insideV w:val="single" w:sz="4" w:space="0" w:color="6D8B95"/>
      </w:tblBorders>
    </w:tblPr>
    <w:tcPr>
      <w:shd w:val="clear" w:color="auto" w:fill="auto"/>
    </w:tcPr>
    <w:tblStylePr w:type="firstRow">
      <w:rPr>
        <w:rFonts w:ascii="Arial" w:hAnsi="Arial"/>
        <w:b/>
        <w:sz w:val="20"/>
      </w:rPr>
      <w:tblPr/>
      <w:tcPr>
        <w:tcBorders>
          <w:bottom w:val="single" w:sz="4" w:space="0" w:color="6D8B95"/>
        </w:tcBorders>
        <w:shd w:val="clear" w:color="auto" w:fill="auto"/>
      </w:tcPr>
    </w:tblStylePr>
    <w:tblStylePr w:type="lastRow">
      <w:rPr>
        <w:rFonts w:ascii="Arial" w:hAnsi="Arial"/>
        <w:sz w:val="20"/>
      </w:rPr>
      <w:tblPr/>
      <w:tcPr>
        <w:tcBorders>
          <w:top w:val="double" w:sz="4" w:space="0" w:color="6D8B95"/>
        </w:tcBorders>
        <w:shd w:val="clear" w:color="auto" w:fill="auto"/>
      </w:tcPr>
    </w:tblStylePr>
    <w:tblStylePr w:type="firstCol">
      <w:rPr>
        <w:rFonts w:ascii="Arial" w:hAnsi="Arial"/>
        <w:b/>
        <w:sz w:val="20"/>
      </w:rPr>
    </w:tblStylePr>
    <w:tblStylePr w:type="band1Vert">
      <w:tblPr/>
      <w:tcPr>
        <w:shd w:val="clear" w:color="auto" w:fill="DBE3E6"/>
      </w:tcPr>
    </w:tblStylePr>
    <w:tblStylePr w:type="band1Horz">
      <w:tblPr/>
      <w:tcPr>
        <w:shd w:val="clear" w:color="auto" w:fill="DBE3E6"/>
      </w:tcPr>
    </w:tblStylePr>
  </w:style>
  <w:style w:type="paragraph" w:customStyle="1" w:styleId="ColorfulList-Accent11">
    <w:name w:val="Colorful List - Accent 11"/>
    <w:aliases w:val="Dot pt,F5 List Paragraph,List Paragraph1,No Spacing1,List Paragraph Char Char Char,Indicator Text,Numbered Para 1,Bullet 1,Bullet Points,MAIN CONTENT,List Paragraph12,List Paragraph2,Normal numbered"/>
    <w:basedOn w:val="Normal"/>
    <w:link w:val="ColorfulList-Accent1Char"/>
    <w:uiPriority w:val="34"/>
    <w:qFormat/>
    <w:rsid w:val="005F281B"/>
    <w:pPr>
      <w:ind w:left="720"/>
      <w:contextualSpacing/>
    </w:pPr>
    <w:rPr>
      <w:rFonts w:eastAsia="MS Mincho" w:cs="Times New Roman"/>
      <w:color w:val="000000"/>
    </w:rPr>
  </w:style>
  <w:style w:type="character" w:customStyle="1" w:styleId="ColorfulList-Accent1Char">
    <w:name w:val="Colorful List - Accent 1 Char"/>
    <w:aliases w:val="Dot pt Char,F5 List Paragraph Char,List Paragraph1 Char,No Spacing1 Char,List Paragraph Char Char Char Char,Indicator Text Char,Numbered Para 1 Char,Colorful List - Accent 11 Char,Bullet 1 Char,Bullet Points Char"/>
    <w:link w:val="ColorfulList-Accent11"/>
    <w:uiPriority w:val="34"/>
    <w:qFormat/>
    <w:rsid w:val="005F281B"/>
    <w:rPr>
      <w:rFonts w:ascii="Arial" w:eastAsia="MS Mincho" w:hAnsi="Arial" w:cs="Times New Roman"/>
      <w:color w:val="000000"/>
      <w:sz w:val="20"/>
      <w:lang w:val="en-GB" w:eastAsia="en-US"/>
    </w:rPr>
  </w:style>
  <w:style w:type="paragraph" w:styleId="ListParagraph">
    <w:name w:val="List Paragraph"/>
    <w:aliases w:val="Recommendatio"/>
    <w:basedOn w:val="Normal"/>
    <w:uiPriority w:val="34"/>
    <w:qFormat/>
    <w:rsid w:val="005F281B"/>
    <w:pPr>
      <w:ind w:left="720"/>
      <w:contextualSpacing/>
    </w:pPr>
    <w:rPr>
      <w:rFonts w:eastAsia="Arial" w:cs="Arial"/>
      <w:color w:val="auto"/>
      <w:szCs w:val="20"/>
    </w:rPr>
  </w:style>
  <w:style w:type="paragraph" w:styleId="Footer">
    <w:name w:val="footer"/>
    <w:basedOn w:val="Normal"/>
    <w:link w:val="FooterChar"/>
    <w:uiPriority w:val="99"/>
    <w:unhideWhenUsed/>
    <w:qFormat/>
    <w:rsid w:val="005F281B"/>
    <w:pPr>
      <w:tabs>
        <w:tab w:val="center" w:pos="4513"/>
        <w:tab w:val="right" w:pos="9026"/>
      </w:tabs>
      <w:spacing w:after="0"/>
    </w:pPr>
    <w:rPr>
      <w:rFonts w:eastAsia="MS Mincho" w:cs="Times New Roman"/>
      <w:color w:val="000000"/>
    </w:rPr>
  </w:style>
  <w:style w:type="character" w:customStyle="1" w:styleId="FooterChar">
    <w:name w:val="Footer Char"/>
    <w:basedOn w:val="DefaultParagraphFont"/>
    <w:link w:val="Footer"/>
    <w:uiPriority w:val="99"/>
    <w:rsid w:val="005F281B"/>
    <w:rPr>
      <w:rFonts w:ascii="Arial" w:eastAsia="MS Mincho" w:hAnsi="Arial" w:cs="Times New Roman"/>
      <w:color w:val="000000"/>
      <w:sz w:val="20"/>
      <w:lang w:val="en-GB" w:eastAsia="en-US"/>
    </w:rPr>
  </w:style>
  <w:style w:type="paragraph" w:styleId="Title">
    <w:name w:val="Title"/>
    <w:basedOn w:val="Normal"/>
    <w:next w:val="Normal"/>
    <w:link w:val="TitleChar"/>
    <w:qFormat/>
    <w:rsid w:val="005F281B"/>
    <w:pPr>
      <w:spacing w:after="240" w:line="240" w:lineRule="auto"/>
      <w:contextualSpacing/>
      <w:jc w:val="left"/>
    </w:pPr>
    <w:rPr>
      <w:rFonts w:eastAsia="MS Gothic" w:cs="Times New Roman"/>
      <w:b/>
      <w:color w:val="E75113"/>
      <w:sz w:val="56"/>
      <w:szCs w:val="56"/>
    </w:rPr>
  </w:style>
  <w:style w:type="character" w:customStyle="1" w:styleId="TitleChar">
    <w:name w:val="Title Char"/>
    <w:basedOn w:val="DefaultParagraphFont"/>
    <w:link w:val="Title"/>
    <w:rsid w:val="005F281B"/>
    <w:rPr>
      <w:rFonts w:ascii="Arial" w:eastAsia="MS Gothic" w:hAnsi="Arial" w:cs="Times New Roman"/>
      <w:b/>
      <w:color w:val="E75113"/>
      <w:sz w:val="56"/>
      <w:szCs w:val="56"/>
      <w:lang w:val="en-GB" w:eastAsia="en-US"/>
    </w:rPr>
  </w:style>
  <w:style w:type="paragraph" w:styleId="Caption">
    <w:name w:val="caption"/>
    <w:aliases w:val="Caption for figures or tables,Source after Chart,Caption-tables"/>
    <w:basedOn w:val="Normal"/>
    <w:next w:val="Normal"/>
    <w:link w:val="CaptionChar"/>
    <w:uiPriority w:val="35"/>
    <w:qFormat/>
    <w:rsid w:val="005F281B"/>
    <w:pPr>
      <w:tabs>
        <w:tab w:val="left" w:pos="1418"/>
      </w:tabs>
      <w:spacing w:after="120"/>
    </w:pPr>
    <w:rPr>
      <w:rFonts w:eastAsia="MS Mincho" w:cs="Times New Roman"/>
      <w:iCs/>
      <w:color w:val="6D8B95"/>
      <w:szCs w:val="18"/>
    </w:rPr>
  </w:style>
  <w:style w:type="paragraph" w:customStyle="1" w:styleId="FooterNewClimatePageNumber">
    <w:name w:val="Footer_NewClimate_PageNumber"/>
    <w:basedOn w:val="Footer"/>
    <w:link w:val="FooterNewClimatePageNumberChar"/>
    <w:rsid w:val="005F281B"/>
    <w:pPr>
      <w:numPr>
        <w:numId w:val="3"/>
      </w:numPr>
      <w:tabs>
        <w:tab w:val="clear" w:pos="4513"/>
        <w:tab w:val="center" w:pos="284"/>
      </w:tabs>
      <w:jc w:val="left"/>
    </w:pPr>
    <w:rPr>
      <w:color w:val="6D8B95"/>
      <w:szCs w:val="20"/>
    </w:rPr>
  </w:style>
  <w:style w:type="character" w:customStyle="1" w:styleId="FooterNewClimatePageNumberChar">
    <w:name w:val="Footer_NewClimate_PageNumber Char"/>
    <w:link w:val="FooterNewClimatePageNumber"/>
    <w:rsid w:val="005F281B"/>
    <w:rPr>
      <w:rFonts w:ascii="Arial" w:eastAsia="MS Mincho" w:hAnsi="Arial" w:cs="Times New Roman"/>
      <w:color w:val="6D8B95"/>
      <w:sz w:val="20"/>
      <w:szCs w:val="20"/>
      <w:lang w:val="en-GB" w:eastAsia="en-US"/>
    </w:rPr>
  </w:style>
  <w:style w:type="character" w:customStyle="1" w:styleId="CaptionChar">
    <w:name w:val="Caption Char"/>
    <w:aliases w:val="Caption for figures or tables Char,Source after Chart Char,Caption-tables Char"/>
    <w:link w:val="Caption"/>
    <w:uiPriority w:val="35"/>
    <w:rsid w:val="005F281B"/>
    <w:rPr>
      <w:rFonts w:ascii="Arial" w:eastAsia="MS Mincho" w:hAnsi="Arial" w:cs="Times New Roman"/>
      <w:iCs/>
      <w:color w:val="6D8B95"/>
      <w:sz w:val="20"/>
      <w:szCs w:val="18"/>
      <w:lang w:val="en-GB" w:eastAsia="en-US"/>
    </w:rPr>
  </w:style>
  <w:style w:type="character" w:styleId="LineNumber">
    <w:name w:val="line number"/>
    <w:basedOn w:val="DefaultParagraphFont"/>
    <w:uiPriority w:val="99"/>
    <w:semiHidden/>
    <w:unhideWhenUsed/>
    <w:rsid w:val="005F281B"/>
  </w:style>
  <w:style w:type="paragraph" w:styleId="Subtitle">
    <w:name w:val="Subtitle"/>
    <w:basedOn w:val="Normal"/>
    <w:next w:val="Normal"/>
    <w:link w:val="SubtitleChar"/>
    <w:qFormat/>
    <w:rsid w:val="005F281B"/>
    <w:pPr>
      <w:numPr>
        <w:ilvl w:val="1"/>
      </w:numPr>
      <w:spacing w:after="0"/>
    </w:pPr>
    <w:rPr>
      <w:sz w:val="36"/>
    </w:rPr>
  </w:style>
  <w:style w:type="character" w:customStyle="1" w:styleId="SubtitleChar">
    <w:name w:val="Subtitle Char"/>
    <w:basedOn w:val="DefaultParagraphFont"/>
    <w:link w:val="Subtitle"/>
    <w:rsid w:val="005F281B"/>
    <w:rPr>
      <w:rFonts w:ascii="Arial" w:hAnsi="Arial"/>
      <w:color w:val="000000" w:themeColor="text1"/>
      <w:sz w:val="36"/>
      <w:lang w:val="en-GB" w:eastAsia="en-US"/>
    </w:rPr>
  </w:style>
  <w:style w:type="paragraph" w:styleId="TOCHeading">
    <w:name w:val="TOC Heading"/>
    <w:basedOn w:val="Heading1"/>
    <w:next w:val="Normal"/>
    <w:uiPriority w:val="39"/>
    <w:unhideWhenUsed/>
    <w:qFormat/>
    <w:rsid w:val="005F281B"/>
    <w:pPr>
      <w:numPr>
        <w:numId w:val="0"/>
      </w:numPr>
      <w:spacing w:line="259" w:lineRule="auto"/>
      <w:jc w:val="left"/>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5F281B"/>
    <w:pPr>
      <w:spacing w:after="100"/>
    </w:pPr>
  </w:style>
  <w:style w:type="paragraph" w:styleId="TOC2">
    <w:name w:val="toc 2"/>
    <w:basedOn w:val="Normal"/>
    <w:next w:val="Normal"/>
    <w:autoRedefine/>
    <w:uiPriority w:val="39"/>
    <w:unhideWhenUsed/>
    <w:rsid w:val="005F281B"/>
    <w:pPr>
      <w:spacing w:after="100"/>
      <w:ind w:left="200"/>
    </w:pPr>
  </w:style>
  <w:style w:type="character" w:styleId="Hyperlink">
    <w:name w:val="Hyperlink"/>
    <w:basedOn w:val="DefaultParagraphFont"/>
    <w:uiPriority w:val="99"/>
    <w:unhideWhenUsed/>
    <w:rsid w:val="005F281B"/>
    <w:rPr>
      <w:color w:val="0563C1" w:themeColor="hyperlink"/>
      <w:u w:val="single"/>
    </w:rPr>
  </w:style>
  <w:style w:type="paragraph" w:styleId="BalloonText">
    <w:name w:val="Balloon Text"/>
    <w:basedOn w:val="Normal"/>
    <w:link w:val="BalloonTextChar"/>
    <w:uiPriority w:val="99"/>
    <w:semiHidden/>
    <w:unhideWhenUsed/>
    <w:rsid w:val="0020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F0"/>
    <w:rPr>
      <w:rFonts w:ascii="Segoe UI" w:hAnsi="Segoe UI" w:cs="Segoe UI"/>
      <w:color w:val="000000" w:themeColor="text1"/>
      <w:sz w:val="18"/>
      <w:szCs w:val="18"/>
      <w:lang w:val="en-GB" w:eastAsia="en-US"/>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color w:val="000000" w:themeColor="text1"/>
      <w:sz w:val="20"/>
      <w:szCs w:val="20"/>
      <w:lang w:val="en-GB"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F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4B6"/>
    <w:rPr>
      <w:rFonts w:ascii="Arial" w:hAnsi="Arial"/>
      <w:color w:val="000000" w:themeColor="text1"/>
      <w:sz w:val="20"/>
      <w:lang w:val="en-GB" w:eastAsia="en-US"/>
    </w:rPr>
  </w:style>
  <w:style w:type="character" w:customStyle="1" w:styleId="FirstPageTextChar">
    <w:name w:val="First Page_Text Char"/>
    <w:basedOn w:val="DefaultParagraphFont"/>
    <w:link w:val="FirstPageText"/>
    <w:locked/>
    <w:rsid w:val="00015583"/>
    <w:rPr>
      <w:rFonts w:ascii="Arial" w:hAnsi="Arial" w:cs="Arial"/>
      <w:sz w:val="20"/>
      <w:lang w:val="en-GB" w:eastAsia="en-US"/>
    </w:rPr>
  </w:style>
  <w:style w:type="paragraph" w:customStyle="1" w:styleId="FirstPageText">
    <w:name w:val="First Page_Text"/>
    <w:basedOn w:val="Normal"/>
    <w:link w:val="FirstPageTextChar"/>
    <w:qFormat/>
    <w:rsid w:val="00015583"/>
    <w:pPr>
      <w:spacing w:after="0" w:line="240" w:lineRule="auto"/>
    </w:pPr>
    <w:rPr>
      <w:rFonts w:cs="Arial"/>
      <w:color w:val="auto"/>
    </w:rPr>
  </w:style>
  <w:style w:type="character" w:customStyle="1" w:styleId="CommentsontablesorfiguresChar">
    <w:name w:val="Comments on tables or figures Char"/>
    <w:link w:val="Commentsontablesorfigures"/>
    <w:locked/>
    <w:rsid w:val="00015583"/>
    <w:rPr>
      <w:rFonts w:ascii="Arial" w:eastAsia="MS Mincho" w:hAnsi="Arial" w:cs="Times New Roman"/>
      <w:i/>
      <w:color w:val="000000"/>
      <w:sz w:val="18"/>
      <w:lang w:val="en-GB" w:eastAsia="en-US"/>
    </w:rPr>
  </w:style>
  <w:style w:type="paragraph" w:customStyle="1" w:styleId="Commentsontablesorfigures">
    <w:name w:val="Comments on tables or figures"/>
    <w:basedOn w:val="Normal"/>
    <w:next w:val="Normal"/>
    <w:link w:val="CommentsontablesorfiguresChar"/>
    <w:qFormat/>
    <w:rsid w:val="00015583"/>
    <w:pPr>
      <w:ind w:firstLine="284"/>
    </w:pPr>
    <w:rPr>
      <w:rFonts w:eastAsia="MS Mincho" w:cs="Times New Roman"/>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uramochi@newclima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B3EB765437D41A39F14AC2FCAB2A1" ma:contentTypeVersion="" ma:contentTypeDescription="Create a new document." ma:contentTypeScope="" ma:versionID="fc6c283afc990902adc9a6972d1d2a13">
  <xsd:schema xmlns:xsd="http://www.w3.org/2001/XMLSchema" xmlns:xs="http://www.w3.org/2001/XMLSchema" xmlns:p="http://schemas.microsoft.com/office/2006/metadata/properties" xmlns:ns2="177c0d21-8603-4dea-bf57-eabd5d6ac44f" xmlns:ns3="3b6e609c-a16d-4f47-8fef-059c4efe9d5d" targetNamespace="http://schemas.microsoft.com/office/2006/metadata/properties" ma:root="true" ma:fieldsID="ad5180abd147e9dfa681df27e812d44e" ns2:_="" ns3:_="">
    <xsd:import namespace="177c0d21-8603-4dea-bf57-eabd5d6ac44f"/>
    <xsd:import namespace="3b6e609c-a16d-4f47-8fef-059c4efe9d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c0d21-8603-4dea-bf57-eabd5d6ac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e609c-a16d-4f47-8fef-059c4efe9d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42FB-5B92-40DD-8FAF-C39089C6F73F}">
  <ds:schemaRefs>
    <ds:schemaRef ds:uri="http://schemas.microsoft.com/office/2006/documentManagement/types"/>
    <ds:schemaRef ds:uri="http://purl.org/dc/elements/1.1/"/>
    <ds:schemaRef ds:uri="http://www.w3.org/XML/1998/namespace"/>
    <ds:schemaRef ds:uri="http://schemas.microsoft.com/office/infopath/2007/PartnerControls"/>
    <ds:schemaRef ds:uri="177c0d21-8603-4dea-bf57-eabd5d6ac44f"/>
    <ds:schemaRef ds:uri="http://purl.org/dc/terms/"/>
    <ds:schemaRef ds:uri="http://schemas.openxmlformats.org/package/2006/metadata/core-properties"/>
    <ds:schemaRef ds:uri="3b6e609c-a16d-4f47-8fef-059c4efe9d5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65C11F-18D2-42C9-9AE0-E9DA2D1DADBA}">
  <ds:schemaRefs>
    <ds:schemaRef ds:uri="http://schemas.microsoft.com/sharepoint/v3/contenttype/forms"/>
  </ds:schemaRefs>
</ds:datastoreItem>
</file>

<file path=customXml/itemProps3.xml><?xml version="1.0" encoding="utf-8"?>
<ds:datastoreItem xmlns:ds="http://schemas.openxmlformats.org/officeDocument/2006/customXml" ds:itemID="{777173E4-41EC-47B4-892E-34E7CA16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c0d21-8603-4dea-bf57-eabd5d6ac44f"/>
    <ds:schemaRef ds:uri="3b6e609c-a16d-4f47-8fef-059c4efe9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B290B-25C2-4750-845F-B595D71C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9792</Words>
  <Characters>55819</Characters>
  <Application>Microsoft Office Word</Application>
  <DocSecurity>0</DocSecurity>
  <Lines>465</Lines>
  <Paragraphs>130</Paragraphs>
  <ScaleCrop>false</ScaleCrop>
  <Company/>
  <LinksUpToDate>false</LinksUpToDate>
  <CharactersWithSpaces>65481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Kuramochi</dc:creator>
  <cp:keywords/>
  <dc:description/>
  <cp:lastModifiedBy>Takeshi Kuramochi</cp:lastModifiedBy>
  <cp:revision>55</cp:revision>
  <dcterms:created xsi:type="dcterms:W3CDTF">2019-11-01T23:56:00Z</dcterms:created>
  <dcterms:modified xsi:type="dcterms:W3CDTF">2020-03-04T20:54:00Z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http://csl.mendeley.com/styles/22817841/Convert-to-EndNote</vt:lpwstr>
  </property>
  <property fmtid="{D5CDD505-2E9C-101B-9397-08002B2CF9AE}" pid="7" name="Mendeley Recent Style Name 2_1">
    <vt:lpwstr>American Psychological Association 6th edition - Jason Berman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http://www.zotero.org/styles/energy-policy</vt:lpwstr>
  </property>
  <property fmtid="{D5CDD505-2E9C-101B-9397-08002B2CF9AE}" pid="15" name="Mendeley Recent Style Name 6_1">
    <vt:lpwstr>Energy Policy</vt:lpwstr>
  </property>
  <property fmtid="{D5CDD505-2E9C-101B-9397-08002B2CF9AE}" pid="16" name="Mendeley Recent Style Id 7_1">
    <vt:lpwstr>http://www.zotero.org/styles/frontiers</vt:lpwstr>
  </property>
  <property fmtid="{D5CDD505-2E9C-101B-9397-08002B2CF9AE}" pid="17" name="Mendeley Recent Style Name 7_1">
    <vt:lpwstr>Frontiers journals</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6c889d2c-a86d-3ef5-8cf9-d5d3b63e1630</vt:lpwstr>
  </property>
  <property fmtid="{D5CDD505-2E9C-101B-9397-08002B2CF9AE}" pid="24" name="Mendeley Citation Style_1">
    <vt:lpwstr>http://www.zotero.org/styles/frontiers</vt:lpwstr>
  </property>
  <property fmtid="{D5CDD505-2E9C-101B-9397-08002B2CF9AE}" pid="25" name="ContentTypeId">
    <vt:lpwstr>0x010100F7AB3EB765437D41A39F14AC2FCAB2A1</vt:lpwstr>
  </property>
</Properties>
</file>