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Supplemental material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Supplemental methods: Detailed description of the RMP measurements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A reference laboratory with accreditation according to ISO 17025 and ISO 15195, performed the RMP measurements on a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Cary 300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 analyzer (ThermoFisher Scientific). The RMP was an automated version of the manual PRMP developed by the Committee on Reference Systems for Enzymes (C-RSE) of the IFCC, applying the same measurement principle.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LP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catalyzes the hydrolysis of NPP, forming phosphate and free 4-nitrophenol; under alkaline conditions, 4-nitrophenol is converted to the 4-nitrophenoxide ion. AMP and 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used as phosphate-acceptors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The concentration of 4-nitrophenol is determined by measuring absorbance at 405 nm.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b/>
          <w:bCs w:val="0"/>
          <w:sz w:val="24"/>
          <w:szCs w:val="24"/>
          <w:vertAlign w:val="subscript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Calculations for d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vertAlign w:val="subscript"/>
          <w:lang w:val="en-US" w:eastAsia="zh-CN"/>
        </w:rPr>
        <w:t xml:space="preserve">CRM 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vertAlign w:val="baseline"/>
          <w:lang w:val="en-US" w:eastAsia="zh-CN"/>
        </w:rPr>
        <w:t>and U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vertAlign w:val="subscript"/>
          <w:lang w:val="en-US" w:eastAsia="zh-CN"/>
        </w:rPr>
        <w:t>(dCanRM)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BCS is the mean ofthe differences Bi.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List of supplemental Figures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Tables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and </w:t>
      </w:r>
      <w:r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An ethical approval for using patient serum samples</w:t>
      </w:r>
    </w:p>
    <w:p>
      <w:pPr>
        <w:spacing w:line="360" w:lineRule="auto"/>
        <w:rPr>
          <w:rFonts w:hint="default" w:ascii="Segoe UI" w:hAnsi="Segoe UI" w:eastAsia="Segoe UI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Table S1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basic information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ALP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Kits for commutability evaluation.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: Imprecision of routine methods for serum ALP measurements.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The concentrations of QC materials were 96.9U/L, 245.7U/L and 499.2U/L.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Verification of the imprecision of the routine methods was carried out in accordance with CLSI guideline EP15-A3 [10]. Two levels of GCs were tested in triplicate over 5 consecutive days.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In the imprecision study, the calculated within-run imprecision values for ALP using the three control materials for the five assays were 0.63%-2.98%, 0.45%-1.71%, and 0.51-2.11%, while the corresponding within-laboratory imprecision values were 0.89%-1.86%, 0.77%-1.44% and 0.70%-2.26%, respectively. The imprecision of routine methods are listed in Table.S3.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Table S3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Regression information and Fig.S1</w:t>
      </w:r>
    </w:p>
    <w:p>
      <w:pPr>
        <w:spacing w:line="360" w:lineRule="auto"/>
        <w:rPr>
          <w:rFonts w:hint="eastAsia" w:ascii="Helvetica" w:hAnsi="Helvetica" w:cs="Helvetica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results from the reference methods were designated as the x-axis, and the results of each of the routine methods were designated as the y-axis. The results from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CSs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were used to generate a scatter plot, and the slope, intercept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correlation coefficient of each regression line were calculated.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Segoe UI" w:cs="Times New Roman"/>
          <w:sz w:val="24"/>
          <w:szCs w:val="40"/>
          <w:lang w:val="en-US" w:eastAsia="zh-CN"/>
        </w:rPr>
      </w:pPr>
      <w:r>
        <w:rPr>
          <w:rFonts w:hint="default" w:ascii="Times New Roman" w:hAnsi="Times New Roman" w:eastAsia="Segoe UI" w:cs="Times New Roman"/>
          <w:sz w:val="24"/>
          <w:szCs w:val="40"/>
          <w:lang w:val="en-US" w:eastAsia="zh-CN"/>
        </w:rPr>
        <w:t>Clinical and Laboratory Standards Institute. User verification of precision and estimation of bias; approved guideline, 3rd ed.; ISBN 1-56238-965-3; CLSI document EP 15-A3, 2014.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华文行楷" w:cs="Times New Roman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default" w:ascii="Segoe UI" w:hAnsi="Segoe UI" w:eastAsia="Segoe UI"/>
          <w:sz w:val="1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Table S1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basic information of TG Kits for commutability evaluation.</w:t>
      </w:r>
    </w:p>
    <w:tbl>
      <w:tblPr>
        <w:tblStyle w:val="3"/>
        <w:tblW w:w="90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350"/>
        <w:gridCol w:w="1927"/>
        <w:gridCol w:w="2057"/>
        <w:gridCol w:w="2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Manufacturers 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orgin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Calibrator lots</w:t>
            </w: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ALP Reagent lots 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Catalogue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n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umber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Beckman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America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1121B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AUZ6780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OSR6004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Biosino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China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170122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100020020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DiaSys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Germany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50239185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00004625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14104171701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China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877UE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30812010205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Roche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Switzerland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10759350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381222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05166888190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Wako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Japan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AJ730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AH993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996-63891/99663991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Segoe UI" w:hAnsi="Segoe UI" w:eastAsia="Segoe UI"/>
          <w:sz w:val="1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Tabl</w:t>
      </w: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e 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S2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 Imprecision of routine methods for serum ALP measurements.</w:t>
      </w:r>
    </w:p>
    <w:tbl>
      <w:tblPr>
        <w:tblStyle w:val="3"/>
        <w:tblW w:w="86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525"/>
        <w:gridCol w:w="795"/>
        <w:gridCol w:w="795"/>
        <w:gridCol w:w="435"/>
        <w:gridCol w:w="795"/>
        <w:gridCol w:w="795"/>
        <w:gridCol w:w="435"/>
        <w:gridCol w:w="795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Instrument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Method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Level 1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Level 2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Level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25" w:type="dxa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CV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r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CV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CV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r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CV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CV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r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CV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Beckman AU5400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Beckman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1.86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Hitachi 7180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Biosino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Hitachi 7180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Diasys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1.04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Hitachi 7180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1.26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Roche C701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Roche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0.73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0.72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0.62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Hitachi 7180 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Wako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0.70 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华文行楷" w:cs="Times New Roman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华文行楷" w:cs="Times New Roman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Table S3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: Regression information</w:t>
      </w:r>
    </w:p>
    <w:tbl>
      <w:tblPr>
        <w:tblStyle w:val="3"/>
        <w:tblW w:w="5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3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Analytical system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Intercept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Slope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Beckman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Biosino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Diasys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Roche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Wako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-2.2656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0.9996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华文行楷" w:cs="Times New Roman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Helvetica" w:hAnsi="Helvetica" w:cs="Helvetica"/>
          <w:b/>
          <w:sz w:val="24"/>
          <w:szCs w:val="24"/>
          <w:lang w:val="en-US"/>
        </w:rPr>
      </w:pPr>
    </w:p>
    <w:p>
      <w:pPr>
        <w:spacing w:line="360" w:lineRule="auto"/>
        <w:rPr>
          <w:rFonts w:ascii="Helvetica" w:hAnsi="Helvetica" w:cs="Helvetica"/>
          <w:b/>
          <w:sz w:val="24"/>
          <w:szCs w:val="24"/>
          <w:lang w:val="en-US"/>
        </w:rPr>
      </w:pPr>
    </w:p>
    <w:p>
      <w:pPr>
        <w:spacing w:line="360" w:lineRule="auto"/>
        <w:rPr>
          <w:rFonts w:ascii="Helvetica" w:hAnsi="Helvetica" w:cs="Helvetica"/>
          <w:b/>
          <w:sz w:val="24"/>
          <w:szCs w:val="24"/>
          <w:lang w:val="en-US"/>
        </w:rPr>
      </w:pPr>
    </w:p>
    <w:p>
      <w:pPr>
        <w:spacing w:line="360" w:lineRule="auto"/>
        <w:rPr>
          <w:rFonts w:ascii="Helvetica" w:hAnsi="Helvetica" w:cs="Helvetica"/>
          <w:b/>
          <w:sz w:val="24"/>
          <w:szCs w:val="24"/>
          <w:lang w:val="en-US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Supplemental Figure 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1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1135" cy="7576185"/>
            <wp:effectExtent l="0" t="0" r="5715" b="5715"/>
            <wp:docPr id="1" name="图片 1" descr="回归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回归曲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Supplemental Figure 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2 </w:t>
      </w:r>
    </w:p>
    <w:p>
      <w:pPr>
        <w:numPr>
          <w:ilvl w:val="0"/>
          <w:numId w:val="0"/>
        </w:num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Scatter plots of CRMs ALP concentrations measured by reference method and routine methods.</w:t>
      </w:r>
    </w:p>
    <w:p>
      <w:pPr>
        <w:numPr>
          <w:ilvl w:val="0"/>
          <w:numId w:val="0"/>
        </w:num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Scatter plots of 9 CRMs concentrations measured with the comparative method (x-axis) and the routine methods (y-axis). The black solid lines are the regression lines, and the black dotted lines are the two-tailed 95% prediction lines. The black circles, red squares, yellow triangles and blue crosses represent results of CSs, ETVs, GCs and SRMs measured with the reference method and the routine methods.</w:t>
      </w:r>
    </w:p>
    <w:p>
      <w:pPr>
        <w:spacing w:line="360" w:lineRule="auto"/>
        <w:rPr>
          <w:rFonts w:hint="default" w:ascii="Helvetica" w:hAnsi="Helvetica" w:cs="Helvetica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1770" cy="4319905"/>
            <wp:effectExtent l="0" t="0" r="5080" b="444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1770" cy="4310380"/>
            <wp:effectExtent l="0" t="0" r="5080" b="13970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1770" cy="4310380"/>
            <wp:effectExtent l="0" t="0" r="5080" b="13970"/>
            <wp:docPr id="6" name="图片 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spacing w:line="360" w:lineRule="auto"/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1770" cy="4310380"/>
            <wp:effectExtent l="0" t="0" r="5080" b="13970"/>
            <wp:docPr id="7" name="图片 7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1770" cy="4310380"/>
            <wp:effectExtent l="0" t="0" r="5080" b="13970"/>
            <wp:docPr id="8" name="图片 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1770" cy="4310380"/>
            <wp:effectExtent l="0" t="0" r="5080" b="13970"/>
            <wp:docPr id="9" name="图片 9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spacing w:line="360" w:lineRule="auto"/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spacing w:line="360" w:lineRule="auto"/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An ethical approval for using patient serum samples</w:t>
      </w:r>
    </w:p>
    <w:p>
      <w:pPr>
        <w:spacing w:line="360" w:lineRule="auto"/>
        <w:rPr>
          <w:rFonts w:hint="default" w:ascii="Times New Roman" w:hAnsi="Times New Roman" w:eastAsia="Verdana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  <w:lang w:eastAsia="zh-CN"/>
        </w:rPr>
        <w:drawing>
          <wp:inline distT="0" distB="0" distL="114300" distR="114300">
            <wp:extent cx="5271135" cy="7386955"/>
            <wp:effectExtent l="0" t="0" r="5715" b="4445"/>
            <wp:docPr id="3" name="图片 3" descr="伦理_ZCB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伦理_ZCB(1)_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5095"/>
    <w:multiLevelType w:val="singleLevel"/>
    <w:tmpl w:val="47805095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1AEA"/>
    <w:rsid w:val="00B10831"/>
    <w:rsid w:val="039C7387"/>
    <w:rsid w:val="099A585D"/>
    <w:rsid w:val="0DCF5B35"/>
    <w:rsid w:val="15920721"/>
    <w:rsid w:val="1F452368"/>
    <w:rsid w:val="231D5D39"/>
    <w:rsid w:val="290414D4"/>
    <w:rsid w:val="2ED8567D"/>
    <w:rsid w:val="3ACA445D"/>
    <w:rsid w:val="3B3026DC"/>
    <w:rsid w:val="3E5F50E9"/>
    <w:rsid w:val="49930905"/>
    <w:rsid w:val="49D21AEA"/>
    <w:rsid w:val="58711825"/>
    <w:rsid w:val="59386905"/>
    <w:rsid w:val="63FA3366"/>
    <w:rsid w:val="686A4D30"/>
    <w:rsid w:val="70D87BF2"/>
    <w:rsid w:val="723B48AA"/>
    <w:rsid w:val="7425094F"/>
    <w:rsid w:val="7A3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6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2019-08-20T03:16:00Z</dcterms:created>
  <dc:creator>AMANDA.Q</dc:creator>
  <cp:lastModifiedBy>AMANDA.Q</cp:lastModifiedBy>
  <dcterms:modified xsi:type="dcterms:W3CDTF">2020-03-09T09:21:17Z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