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9A6" w:rsidRPr="00BD6893" w:rsidRDefault="003229A6" w:rsidP="00BB5D9C">
      <w:pPr>
        <w:pStyle w:val="BodyText"/>
        <w:spacing w:after="0" w:line="480" w:lineRule="auto"/>
        <w:jc w:val="both"/>
        <w:rPr>
          <w:rFonts w:ascii="Times New Roman" w:hAnsi="Times New Roman" w:cs="Times New Roman"/>
          <w:lang w:val="en-CA"/>
        </w:rPr>
      </w:pPr>
      <w:bookmarkStart w:id="0" w:name="_GoBack"/>
      <w:bookmarkEnd w:id="0"/>
      <w:r w:rsidRPr="00BD6893">
        <w:rPr>
          <w:rFonts w:ascii="Times New Roman" w:hAnsi="Times New Roman" w:cs="Times New Roman"/>
          <w:b/>
          <w:lang w:val="en-CA"/>
        </w:rPr>
        <w:t>Supplemental Materials</w:t>
      </w:r>
    </w:p>
    <w:p w:rsidR="003229A6" w:rsidRDefault="003229A6" w:rsidP="00952F7C">
      <w:pPr>
        <w:pStyle w:val="BodyText"/>
        <w:spacing w:after="0" w:line="480" w:lineRule="auto"/>
        <w:jc w:val="both"/>
        <w:rPr>
          <w:rFonts w:ascii="Times New Roman" w:hAnsi="Times New Roman" w:cs="Times New Roman"/>
          <w:b/>
        </w:rPr>
      </w:pPr>
    </w:p>
    <w:p w:rsidR="003229A6" w:rsidRPr="00952F7C" w:rsidRDefault="003229A6" w:rsidP="00952F7C">
      <w:pPr>
        <w:pStyle w:val="BodyText"/>
        <w:spacing w:after="0" w:line="480" w:lineRule="auto"/>
        <w:jc w:val="both"/>
        <w:rPr>
          <w:rFonts w:ascii="Times New Roman" w:hAnsi="Times New Roman" w:cs="Times New Roman"/>
          <w:b/>
        </w:rPr>
      </w:pPr>
      <w:r w:rsidRPr="00952F7C">
        <w:rPr>
          <w:rFonts w:ascii="Times New Roman" w:hAnsi="Times New Roman" w:cs="Times New Roman"/>
          <w:b/>
        </w:rPr>
        <w:t>Overview of evaluation methods used in the study</w:t>
      </w:r>
    </w:p>
    <w:p w:rsidR="003229A6" w:rsidRPr="00F54B48" w:rsidRDefault="003229A6" w:rsidP="00952F7C">
      <w:pPr>
        <w:pStyle w:val="BodyText"/>
        <w:spacing w:after="0" w:line="480" w:lineRule="auto"/>
        <w:jc w:val="both"/>
        <w:rPr>
          <w:rFonts w:ascii="Times New Roman" w:hAnsi="Times New Roman" w:cs="Times New Roman"/>
        </w:rPr>
      </w:pPr>
      <w:r w:rsidRPr="00F54B48">
        <w:rPr>
          <w:rFonts w:ascii="Times New Roman" w:hAnsi="Times New Roman" w:cs="Times New Roman"/>
        </w:rPr>
        <w:t xml:space="preserve">The ASSET-EZ4-NCO sampler was developed by the </w:t>
      </w:r>
      <w:r w:rsidRPr="00F54B48">
        <w:rPr>
          <w:rFonts w:ascii="Times New Roman" w:hAnsi="Times New Roman" w:cs="Times New Roman"/>
          <w:color w:val="242021"/>
        </w:rPr>
        <w:t>InstitutetförKemisk</w:t>
      </w:r>
      <w:r>
        <w:rPr>
          <w:rFonts w:ascii="Times New Roman" w:hAnsi="Times New Roman" w:cs="Times New Roman"/>
          <w:color w:val="242021"/>
        </w:rPr>
        <w:t xml:space="preserve">- </w:t>
      </w:r>
      <w:r w:rsidRPr="00F54B48">
        <w:rPr>
          <w:rFonts w:ascii="Times New Roman" w:hAnsi="Times New Roman" w:cs="Times New Roman"/>
          <w:color w:val="242021"/>
        </w:rPr>
        <w:t>AnalysNorden AB</w:t>
      </w:r>
      <w:r w:rsidRPr="00F54B48">
        <w:rPr>
          <w:rFonts w:ascii="Times New Roman" w:hAnsi="Times New Roman" w:cs="Times New Roman"/>
        </w:rPr>
        <w:t xml:space="preserve"> (IFKAN) in </w:t>
      </w:r>
      <w:r w:rsidRPr="00F54B48">
        <w:rPr>
          <w:rFonts w:ascii="Times New Roman" w:hAnsi="Times New Roman" w:cs="Times New Roman"/>
          <w:color w:val="242021"/>
        </w:rPr>
        <w:t>Hasselholm</w:t>
      </w:r>
      <w:r w:rsidRPr="00F54B48">
        <w:rPr>
          <w:rFonts w:ascii="Times New Roman" w:hAnsi="Times New Roman" w:cs="Times New Roman"/>
        </w:rPr>
        <w:t>, Sweden</w:t>
      </w:r>
      <w:r>
        <w:rPr>
          <w:rFonts w:ascii="Times New Roman" w:hAnsi="Times New Roman" w:cs="Times New Roman"/>
          <w:noProof/>
        </w:rPr>
        <w:t>(Marand et al. 2005; Skarping and Dalene 2010)</w:t>
      </w:r>
      <w:r w:rsidRPr="00F54B48">
        <w:rPr>
          <w:rFonts w:ascii="Times New Roman" w:hAnsi="Times New Roman" w:cs="Times New Roman"/>
        </w:rPr>
        <w:t xml:space="preserve">. </w:t>
      </w:r>
      <w:r>
        <w:rPr>
          <w:rFonts w:ascii="Times New Roman" w:hAnsi="Times New Roman" w:cs="Times New Roman"/>
        </w:rPr>
        <w:t xml:space="preserve">The evaluation method exists as a standard under </w:t>
      </w:r>
      <w:r w:rsidR="002B443B" w:rsidRPr="002B7338">
        <w:rPr>
          <w:rFonts w:ascii="Times New Roman" w:hAnsi="Times New Roman" w:cs="Times New Roman"/>
          <w:lang w:val="en-CA"/>
        </w:rPr>
        <w:t xml:space="preserve">International Organization for Standardization </w:t>
      </w:r>
      <w:r w:rsidR="002B443B">
        <w:rPr>
          <w:rFonts w:ascii="Times New Roman" w:hAnsi="Times New Roman" w:cs="Times New Roman"/>
          <w:lang w:val="en-CA"/>
        </w:rPr>
        <w:t xml:space="preserve">(ISO) </w:t>
      </w:r>
      <w:r>
        <w:rPr>
          <w:rFonts w:ascii="Times New Roman" w:hAnsi="Times New Roman" w:cs="Times New Roman"/>
        </w:rPr>
        <w:t>17734-1</w:t>
      </w:r>
      <w:r w:rsidR="002B443B">
        <w:rPr>
          <w:rFonts w:ascii="Times New Roman" w:hAnsi="Times New Roman" w:cs="Times New Roman"/>
          <w:noProof/>
        </w:rPr>
        <w:t>(</w:t>
      </w:r>
      <w:r>
        <w:rPr>
          <w:rFonts w:ascii="Times New Roman" w:hAnsi="Times New Roman" w:cs="Times New Roman"/>
          <w:noProof/>
        </w:rPr>
        <w:t>ISO 2008)</w:t>
      </w:r>
      <w:r>
        <w:rPr>
          <w:rFonts w:ascii="Times New Roman" w:hAnsi="Times New Roman" w:cs="Times New Roman"/>
        </w:rPr>
        <w:t>. This sampler</w:t>
      </w:r>
      <w:r w:rsidRPr="00F54B48">
        <w:rPr>
          <w:rFonts w:ascii="Times New Roman" w:hAnsi="Times New Roman" w:cs="Times New Roman"/>
        </w:rPr>
        <w:t xml:space="preserve"> </w:t>
      </w:r>
      <w:r>
        <w:rPr>
          <w:rFonts w:ascii="Times New Roman" w:hAnsi="Times New Roman" w:cs="Times New Roman"/>
        </w:rPr>
        <w:t xml:space="preserve">is made of two parts, a denuder and a final filter, retaining vapor phase and particulate phases of isocyanate respectively. The denuder is a tube in which two filters are placed: one to cover the inner wall and the second, V-shaped, is inserted into the tube. The tube is connected to a final filter.  All filters are made of </w:t>
      </w:r>
      <w:r w:rsidRPr="00F54B48">
        <w:rPr>
          <w:rFonts w:ascii="Times New Roman" w:hAnsi="Times New Roman" w:cs="Times New Roman"/>
        </w:rPr>
        <w:t>fiber-glass</w:t>
      </w:r>
      <w:r>
        <w:rPr>
          <w:rFonts w:ascii="Times New Roman" w:hAnsi="Times New Roman" w:cs="Times New Roman"/>
        </w:rPr>
        <w:t xml:space="preserve"> and</w:t>
      </w:r>
      <w:r w:rsidRPr="00F54B48">
        <w:rPr>
          <w:rFonts w:ascii="Times New Roman" w:hAnsi="Times New Roman" w:cs="Times New Roman"/>
        </w:rPr>
        <w:t xml:space="preserve"> are </w:t>
      </w:r>
      <w:r>
        <w:rPr>
          <w:rFonts w:ascii="Times New Roman" w:hAnsi="Times New Roman" w:cs="Times New Roman"/>
        </w:rPr>
        <w:t>impregnated</w:t>
      </w:r>
      <w:r w:rsidRPr="00F54B48">
        <w:rPr>
          <w:rFonts w:ascii="Times New Roman" w:hAnsi="Times New Roman" w:cs="Times New Roman"/>
        </w:rPr>
        <w:t xml:space="preserve"> with dibutylamine (DBA)</w:t>
      </w:r>
      <w:r w:rsidRPr="0090211C">
        <w:t xml:space="preserve"> </w:t>
      </w:r>
      <w:r>
        <w:rPr>
          <w:rFonts w:ascii="Times New Roman" w:hAnsi="Times New Roman" w:cs="Times New Roman"/>
          <w:noProof/>
        </w:rPr>
        <w:t>(Brown and Halpenny 2013)</w:t>
      </w:r>
      <w:r w:rsidRPr="00F54B48">
        <w:rPr>
          <w:rFonts w:ascii="Times New Roman" w:hAnsi="Times New Roman" w:cs="Times New Roman"/>
        </w:rPr>
        <w:t xml:space="preserve">. </w:t>
      </w:r>
      <w:r>
        <w:rPr>
          <w:rFonts w:ascii="Times New Roman" w:hAnsi="Times New Roman" w:cs="Times New Roman"/>
        </w:rPr>
        <w:t xml:space="preserve">The analyte, </w:t>
      </w:r>
      <w:r w:rsidRPr="00F54B48">
        <w:rPr>
          <w:rFonts w:ascii="Times New Roman" w:hAnsi="Times New Roman" w:cs="Times New Roman"/>
        </w:rPr>
        <w:t>4,4'-methylene diphenyl diisocyanate-2 (di-n-butylamin</w:t>
      </w:r>
      <w:r>
        <w:rPr>
          <w:rFonts w:ascii="Times New Roman" w:hAnsi="Times New Roman" w:cs="Times New Roman"/>
        </w:rPr>
        <w:t>e) (4,4'-MDI-2(DBA))</w:t>
      </w:r>
      <w:r w:rsidRPr="00F54B48">
        <w:rPr>
          <w:rFonts w:ascii="Times New Roman" w:hAnsi="Times New Roman" w:cs="Times New Roman"/>
        </w:rPr>
        <w:t xml:space="preserve"> </w:t>
      </w:r>
      <w:r>
        <w:rPr>
          <w:rFonts w:ascii="Times New Roman" w:hAnsi="Times New Roman" w:cs="Times New Roman"/>
        </w:rPr>
        <w:t>is desorbed with toluene, and the analyte is prepared in the lab</w:t>
      </w:r>
      <w:r w:rsidRPr="00F54B48">
        <w:rPr>
          <w:rFonts w:ascii="Times New Roman" w:hAnsi="Times New Roman" w:cs="Times New Roman"/>
        </w:rPr>
        <w:t xml:space="preserve"> </w:t>
      </w:r>
      <w:r w:rsidRPr="00F54B48">
        <w:rPr>
          <w:rFonts w:ascii="Times New Roman" w:hAnsi="Times New Roman" w:cs="Times New Roman"/>
          <w:lang w:val="en-CA"/>
        </w:rPr>
        <w:t xml:space="preserve">and quantified using </w:t>
      </w:r>
      <w:r w:rsidRPr="00F54B48">
        <w:rPr>
          <w:rFonts w:ascii="Times New Roman" w:hAnsi="Times New Roman" w:cs="Times New Roman"/>
          <w:color w:val="000000"/>
          <w:lang w:val="en-CA"/>
        </w:rPr>
        <w:t>either an Liquid Chromatograph - Mass Spectrometer (LC-MS) or LC - tande</w:t>
      </w:r>
      <w:r>
        <w:rPr>
          <w:rFonts w:ascii="Times New Roman" w:hAnsi="Times New Roman" w:cs="Times New Roman"/>
          <w:color w:val="000000"/>
          <w:lang w:val="en-CA"/>
        </w:rPr>
        <w:t>m Mass Spectrometer (LC-MS/MS).</w:t>
      </w:r>
    </w:p>
    <w:p w:rsidR="003229A6" w:rsidRPr="002B7338" w:rsidRDefault="003229A6" w:rsidP="000C16D4">
      <w:pPr>
        <w:spacing w:line="480" w:lineRule="auto"/>
        <w:contextualSpacing/>
        <w:jc w:val="both"/>
        <w:rPr>
          <w:rFonts w:ascii="Times New Roman" w:hAnsi="Times New Roman" w:cs="Times New Roman"/>
          <w:sz w:val="24"/>
          <w:szCs w:val="24"/>
          <w:lang w:val="en-CA"/>
        </w:rPr>
      </w:pPr>
      <w:r w:rsidRPr="002B7338">
        <w:rPr>
          <w:rFonts w:ascii="Times New Roman" w:hAnsi="Times New Roman" w:cs="Times New Roman"/>
          <w:sz w:val="24"/>
          <w:szCs w:val="24"/>
          <w:lang w:val="en-CA"/>
        </w:rPr>
        <w:t xml:space="preserve">     The </w:t>
      </w:r>
      <w:r w:rsidRPr="002B7338">
        <w:rPr>
          <w:rFonts w:ascii="Times New Roman" w:hAnsi="Times New Roman" w:cs="Times New Roman"/>
          <w:color w:val="000000"/>
          <w:sz w:val="24"/>
          <w:szCs w:val="24"/>
          <w:lang w:val="en-CA"/>
        </w:rPr>
        <w:t>ISO-C</w:t>
      </w:r>
      <w:r>
        <w:rPr>
          <w:rFonts w:ascii="Times New Roman" w:hAnsi="Times New Roman" w:cs="Times New Roman"/>
          <w:color w:val="000000"/>
          <w:sz w:val="24"/>
          <w:szCs w:val="24"/>
          <w:lang w:val="en-CA"/>
        </w:rPr>
        <w:t>hek</w:t>
      </w:r>
      <w:r w:rsidRPr="002B7338">
        <w:rPr>
          <w:rFonts w:ascii="Times New Roman" w:hAnsi="Times New Roman" w:cs="Times New Roman"/>
          <w:sz w:val="24"/>
          <w:szCs w:val="24"/>
          <w:lang w:val="en-CA"/>
        </w:rPr>
        <w:t xml:space="preserve"> sampler was developed by the IRSST in Montreal, Quebec, Canada</w:t>
      </w:r>
      <w:r w:rsidRPr="002B7338">
        <w:rPr>
          <w:sz w:val="24"/>
          <w:szCs w:val="24"/>
          <w:lang w:val="en-CA"/>
        </w:rPr>
        <w:t xml:space="preserve"> </w:t>
      </w:r>
      <w:r>
        <w:rPr>
          <w:rFonts w:ascii="Times New Roman" w:hAnsi="Times New Roman" w:cs="Times New Roman"/>
          <w:noProof/>
          <w:sz w:val="24"/>
          <w:szCs w:val="24"/>
          <w:lang w:val="en-CA"/>
        </w:rPr>
        <w:t>(Lesage et al. 1992)</w:t>
      </w:r>
      <w:r w:rsidRPr="002B7338">
        <w:rPr>
          <w:sz w:val="24"/>
          <w:szCs w:val="24"/>
          <w:lang w:val="en-CA"/>
        </w:rPr>
        <w:t xml:space="preserve"> </w:t>
      </w:r>
      <w:r>
        <w:rPr>
          <w:rFonts w:ascii="Times New Roman" w:hAnsi="Times New Roman" w:cs="Times New Roman"/>
          <w:noProof/>
          <w:sz w:val="24"/>
          <w:szCs w:val="24"/>
          <w:lang w:val="en-CA"/>
        </w:rPr>
        <w:t>(Lesage and Perrault 1990)</w:t>
      </w:r>
      <w:r w:rsidRPr="002B7338">
        <w:rPr>
          <w:sz w:val="24"/>
          <w:szCs w:val="24"/>
          <w:lang w:val="en-CA"/>
        </w:rPr>
        <w:t xml:space="preserve"> </w:t>
      </w:r>
      <w:r w:rsidRPr="002B7338">
        <w:rPr>
          <w:rFonts w:ascii="Times New Roman" w:hAnsi="Times New Roman" w:cs="Times New Roman"/>
          <w:sz w:val="24"/>
          <w:szCs w:val="24"/>
          <w:lang w:val="en-CA"/>
        </w:rPr>
        <w:t xml:space="preserve">and has also been published by </w:t>
      </w:r>
      <w:r w:rsidR="002B443B">
        <w:rPr>
          <w:rFonts w:ascii="Times New Roman" w:hAnsi="Times New Roman" w:cs="Times New Roman"/>
          <w:sz w:val="24"/>
          <w:szCs w:val="24"/>
          <w:lang w:val="en-CA"/>
        </w:rPr>
        <w:t xml:space="preserve">ISO </w:t>
      </w:r>
      <w:r w:rsidRPr="002B7338">
        <w:rPr>
          <w:rFonts w:ascii="Times New Roman" w:hAnsi="Times New Roman" w:cs="Times New Roman"/>
          <w:sz w:val="24"/>
          <w:szCs w:val="24"/>
          <w:lang w:val="en-CA"/>
        </w:rPr>
        <w:t>under ISO 17736</w:t>
      </w:r>
      <w:r w:rsidRPr="002B7338">
        <w:rPr>
          <w:sz w:val="24"/>
          <w:szCs w:val="24"/>
          <w:lang w:val="en-CA"/>
        </w:rPr>
        <w:t xml:space="preserve"> </w:t>
      </w:r>
      <w:r w:rsidR="002B443B">
        <w:rPr>
          <w:rFonts w:ascii="Times New Roman" w:hAnsi="Times New Roman" w:cs="Times New Roman"/>
          <w:noProof/>
          <w:sz w:val="24"/>
          <w:szCs w:val="24"/>
          <w:lang w:val="en-CA"/>
        </w:rPr>
        <w:t>(</w:t>
      </w:r>
      <w:r>
        <w:rPr>
          <w:rFonts w:ascii="Times New Roman" w:hAnsi="Times New Roman" w:cs="Times New Roman"/>
          <w:noProof/>
          <w:sz w:val="24"/>
          <w:szCs w:val="24"/>
          <w:lang w:val="en-CA"/>
        </w:rPr>
        <w:t>ISO 2010)</w:t>
      </w:r>
      <w:r w:rsidR="002B443B">
        <w:rPr>
          <w:rFonts w:ascii="Times New Roman" w:hAnsi="Times New Roman" w:cs="Times New Roman"/>
          <w:noProof/>
          <w:sz w:val="24"/>
          <w:szCs w:val="24"/>
          <w:lang w:val="en-CA"/>
        </w:rPr>
        <w:t xml:space="preserve"> </w:t>
      </w:r>
      <w:r w:rsidRPr="002B7338">
        <w:rPr>
          <w:rFonts w:ascii="Times New Roman" w:hAnsi="Times New Roman" w:cs="Times New Roman"/>
          <w:sz w:val="24"/>
          <w:szCs w:val="24"/>
          <w:lang w:val="en-CA"/>
        </w:rPr>
        <w:t>and by ASTM International under D5932</w:t>
      </w:r>
      <w:r w:rsidRPr="002B7338">
        <w:rPr>
          <w:sz w:val="24"/>
          <w:szCs w:val="24"/>
          <w:lang w:val="en-CA"/>
        </w:rPr>
        <w:t xml:space="preserve"> </w:t>
      </w:r>
      <w:r>
        <w:rPr>
          <w:rFonts w:ascii="Times New Roman" w:hAnsi="Times New Roman" w:cs="Times New Roman"/>
          <w:noProof/>
          <w:sz w:val="24"/>
          <w:szCs w:val="24"/>
          <w:lang w:val="en-CA"/>
        </w:rPr>
        <w:t>(ASTM International 2008)</w:t>
      </w:r>
      <w:r w:rsidRPr="002B7338">
        <w:rPr>
          <w:rFonts w:ascii="Times New Roman" w:hAnsi="Times New Roman" w:cs="Times New Roman"/>
          <w:sz w:val="24"/>
          <w:szCs w:val="24"/>
          <w:lang w:val="en-CA"/>
        </w:rPr>
        <w:t xml:space="preserve"> . This device consists of two filters in series. The first, made of </w:t>
      </w:r>
      <w:r w:rsidRPr="002B7338">
        <w:rPr>
          <w:rFonts w:ascii="Times New Roman" w:hAnsi="Times New Roman" w:cs="Times New Roman"/>
          <w:color w:val="000000"/>
          <w:sz w:val="24"/>
          <w:szCs w:val="24"/>
          <w:lang w:val="en-CA"/>
        </w:rPr>
        <w:t xml:space="preserve">polytetrafluoroethylene (PTFE), has no derivatizing agent </w:t>
      </w:r>
      <w:r w:rsidRPr="002B7338">
        <w:rPr>
          <w:rFonts w:ascii="Times New Roman" w:hAnsi="Times New Roman" w:cs="Times New Roman"/>
          <w:sz w:val="24"/>
          <w:szCs w:val="24"/>
          <w:lang w:val="en-CA"/>
        </w:rPr>
        <w:t xml:space="preserve">while the second, of fiberglass, is impregnated with </w:t>
      </w:r>
      <w:r w:rsidRPr="002B7338">
        <w:rPr>
          <w:rFonts w:ascii="Times New Roman" w:hAnsi="Times New Roman" w:cs="Times New Roman"/>
          <w:color w:val="000000"/>
          <w:sz w:val="24"/>
          <w:szCs w:val="24"/>
          <w:lang w:val="en-CA"/>
        </w:rPr>
        <w:t xml:space="preserve">9-(methyaminomethyl)anthracene (MAMA). The first step captures any aerosols present while the second traps any TDI vapors. One of the advantages of this dual filter system is the possibility of quantifying vapor phase separately from particulate </w:t>
      </w:r>
      <w:r w:rsidRPr="002B7338">
        <w:rPr>
          <w:rFonts w:ascii="Times New Roman" w:hAnsi="Times New Roman" w:cs="Times New Roman"/>
          <w:color w:val="000000"/>
          <w:sz w:val="24"/>
          <w:szCs w:val="24"/>
          <w:lang w:val="en-CA"/>
        </w:rPr>
        <w:lastRenderedPageBreak/>
        <w:t>phase isocyanates. Since no derivatizing agent is present on the first filter, this sampler should not be run for more than 15 min in the presence of isocyanate particles</w:t>
      </w:r>
      <w:r w:rsidRPr="002B7338">
        <w:rPr>
          <w:sz w:val="24"/>
          <w:szCs w:val="24"/>
          <w:lang w:val="en-CA"/>
        </w:rPr>
        <w:t xml:space="preserve"> </w:t>
      </w:r>
      <w:r>
        <w:rPr>
          <w:rFonts w:ascii="Times New Roman" w:hAnsi="Times New Roman" w:cs="Times New Roman"/>
          <w:noProof/>
          <w:color w:val="000000"/>
          <w:sz w:val="24"/>
          <w:szCs w:val="24"/>
          <w:lang w:val="en-CA"/>
        </w:rPr>
        <w:t>(International Organization for Standardization (ISO) 2010)</w:t>
      </w:r>
      <w:r w:rsidRPr="002B7338">
        <w:rPr>
          <w:rFonts w:ascii="Times New Roman" w:hAnsi="Times New Roman" w:cs="Times New Roman"/>
          <w:color w:val="000000"/>
          <w:sz w:val="24"/>
          <w:szCs w:val="24"/>
          <w:lang w:val="en-CA"/>
        </w:rPr>
        <w:t>. Nonetheless, if only vapor is present, it can be run for a longer period of time since the second filter, impregnated with MAMA, captures and stabilizes isocyanates. Immediately upon sampling, the first filter is immersed in a solution of MP in toluene, producing TDI-MP, while the second filter, containing TDI-MAMA, do not require field desorption. These anthracene compounds are photosensitive and must be protected from light</w:t>
      </w:r>
      <w:r>
        <w:rPr>
          <w:rFonts w:ascii="Times New Roman" w:hAnsi="Times New Roman" w:cs="Times New Roman"/>
          <w:noProof/>
          <w:color w:val="000000"/>
          <w:sz w:val="24"/>
          <w:szCs w:val="24"/>
          <w:lang w:val="en-CA"/>
        </w:rPr>
        <w:t>(Sangö and Zimerson 1980)</w:t>
      </w:r>
      <w:r>
        <w:rPr>
          <w:rFonts w:ascii="Times New Roman" w:hAnsi="Times New Roman" w:cs="Times New Roman"/>
          <w:color w:val="000000"/>
          <w:sz w:val="24"/>
          <w:szCs w:val="24"/>
          <w:lang w:val="en-CA"/>
        </w:rPr>
        <w:t>.</w:t>
      </w:r>
      <w:r w:rsidRPr="002B7338">
        <w:rPr>
          <w:rFonts w:ascii="Times New Roman" w:hAnsi="Times New Roman" w:cs="Times New Roman"/>
          <w:color w:val="000000"/>
          <w:sz w:val="24"/>
          <w:szCs w:val="24"/>
          <w:lang w:val="en-CA"/>
        </w:rPr>
        <w:t xml:space="preserve"> Analysis in the lab is carried out using a </w:t>
      </w:r>
      <w:r w:rsidRPr="002B7338">
        <w:rPr>
          <w:rFonts w:ascii="Times New Roman" w:hAnsi="Times New Roman" w:cs="Times New Roman"/>
          <w:color w:val="000000" w:themeColor="text1"/>
          <w:sz w:val="24"/>
          <w:szCs w:val="24"/>
          <w:lang w:val="en-CA"/>
        </w:rPr>
        <w:t>HPLC</w:t>
      </w:r>
      <w:r w:rsidRPr="002B7338">
        <w:rPr>
          <w:rFonts w:ascii="Times New Roman" w:hAnsi="Times New Roman" w:cs="Times New Roman"/>
          <w:color w:val="000000"/>
          <w:sz w:val="24"/>
          <w:szCs w:val="24"/>
          <w:lang w:val="en-CA"/>
        </w:rPr>
        <w:t xml:space="preserve"> equ</w:t>
      </w:r>
      <w:r>
        <w:rPr>
          <w:rFonts w:ascii="Times New Roman" w:hAnsi="Times New Roman" w:cs="Times New Roman"/>
          <w:color w:val="000000"/>
          <w:sz w:val="24"/>
          <w:szCs w:val="24"/>
          <w:lang w:val="en-CA"/>
        </w:rPr>
        <w:t>ipped with an ultraviolet (UV)</w:t>
      </w:r>
      <w:r w:rsidRPr="002B7338">
        <w:rPr>
          <w:rFonts w:ascii="Times New Roman" w:hAnsi="Times New Roman" w:cs="Times New Roman"/>
          <w:color w:val="000000"/>
          <w:sz w:val="24"/>
          <w:szCs w:val="24"/>
          <w:lang w:val="en-CA"/>
        </w:rPr>
        <w:t>.</w:t>
      </w:r>
    </w:p>
    <w:p w:rsidR="003229A6" w:rsidRPr="002B7338" w:rsidRDefault="003229A6" w:rsidP="00952F7C">
      <w:pPr>
        <w:spacing w:line="480" w:lineRule="auto"/>
        <w:contextualSpacing/>
        <w:jc w:val="both"/>
        <w:rPr>
          <w:rFonts w:ascii="Times New Roman" w:hAnsi="Times New Roman" w:cs="Times New Roman"/>
          <w:sz w:val="24"/>
          <w:szCs w:val="24"/>
          <w:lang w:val="en-CA"/>
        </w:rPr>
      </w:pPr>
      <w:r w:rsidRPr="002B7338">
        <w:rPr>
          <w:rFonts w:ascii="Times New Roman" w:hAnsi="Times New Roman" w:cs="Times New Roman"/>
          <w:color w:val="000000"/>
          <w:sz w:val="24"/>
          <w:szCs w:val="24"/>
          <w:lang w:val="en-CA"/>
        </w:rPr>
        <w:t xml:space="preserve">     The Occupational Safety and Health Administration (OSHA) </w:t>
      </w:r>
      <w:r w:rsidRPr="002B7338">
        <w:rPr>
          <w:rFonts w:ascii="Times New Roman" w:hAnsi="Times New Roman" w:cs="Times New Roman"/>
          <w:sz w:val="24"/>
          <w:szCs w:val="24"/>
          <w:lang w:val="en-CA"/>
        </w:rPr>
        <w:t>regulates workplace hazards and testing methods in the USA. It developed</w:t>
      </w:r>
      <w:r w:rsidRPr="002B7338">
        <w:rPr>
          <w:rFonts w:ascii="Times New Roman" w:hAnsi="Times New Roman" w:cs="Times New Roman"/>
          <w:color w:val="000000"/>
          <w:sz w:val="24"/>
          <w:szCs w:val="24"/>
          <w:lang w:val="en-CA"/>
        </w:rPr>
        <w:t xml:space="preserve"> the OSHA method 42 which uses an open-faced sampler with a </w:t>
      </w:r>
      <w:r>
        <w:rPr>
          <w:rFonts w:ascii="Times New Roman" w:hAnsi="Times New Roman" w:cs="Times New Roman"/>
          <w:color w:val="000000"/>
          <w:sz w:val="24"/>
          <w:szCs w:val="24"/>
          <w:lang w:val="en-CA"/>
        </w:rPr>
        <w:t xml:space="preserve">37-mm </w:t>
      </w:r>
      <w:r w:rsidRPr="002B7338">
        <w:rPr>
          <w:rFonts w:ascii="Times New Roman" w:hAnsi="Times New Roman" w:cs="Times New Roman"/>
          <w:color w:val="000000"/>
          <w:sz w:val="24"/>
          <w:szCs w:val="24"/>
          <w:lang w:val="en-CA"/>
        </w:rPr>
        <w:t xml:space="preserve">fiberglass filter impregnated with 1-(2-pyridyl)piperazine (PP) </w:t>
      </w:r>
      <w:r w:rsidR="002B443B">
        <w:rPr>
          <w:rFonts w:ascii="Times New Roman" w:hAnsi="Times New Roman" w:cs="Times New Roman"/>
          <w:noProof/>
          <w:color w:val="000000"/>
          <w:sz w:val="24"/>
          <w:szCs w:val="24"/>
          <w:lang w:val="en-CA"/>
        </w:rPr>
        <w:t>(OSHA</w:t>
      </w:r>
      <w:r>
        <w:rPr>
          <w:rFonts w:ascii="Times New Roman" w:hAnsi="Times New Roman" w:cs="Times New Roman"/>
          <w:noProof/>
          <w:color w:val="000000"/>
          <w:sz w:val="24"/>
          <w:szCs w:val="24"/>
          <w:lang w:val="en-CA"/>
        </w:rPr>
        <w:t xml:space="preserve"> 1989)</w:t>
      </w:r>
      <w:r w:rsidRPr="002B7338">
        <w:rPr>
          <w:rFonts w:ascii="Times New Roman" w:hAnsi="Times New Roman" w:cs="Times New Roman"/>
          <w:color w:val="000000"/>
          <w:sz w:val="24"/>
          <w:szCs w:val="24"/>
          <w:lang w:val="en-CA"/>
        </w:rPr>
        <w:t>.</w:t>
      </w:r>
      <w:r w:rsidRPr="002B7338">
        <w:rPr>
          <w:rFonts w:ascii="Times New Roman" w:hAnsi="Times New Roman" w:cs="Times New Roman"/>
          <w:color w:val="000000"/>
          <w:sz w:val="24"/>
          <w:szCs w:val="24"/>
          <w:vertAlign w:val="superscript"/>
          <w:lang w:val="en-CA"/>
        </w:rPr>
        <w:t xml:space="preserve"> </w:t>
      </w:r>
      <w:r w:rsidRPr="002B7338">
        <w:rPr>
          <w:rFonts w:ascii="Times New Roman" w:hAnsi="Times New Roman" w:cs="Times New Roman"/>
          <w:color w:val="000000"/>
          <w:sz w:val="24"/>
          <w:szCs w:val="24"/>
          <w:lang w:val="en-CA"/>
        </w:rPr>
        <w:t xml:space="preserve">The American Chemical Council (ACC) suggested a modified version of the original OSHA method 42 which uses a </w:t>
      </w:r>
      <w:r>
        <w:rPr>
          <w:rFonts w:ascii="Times New Roman" w:hAnsi="Times New Roman" w:cs="Times New Roman"/>
          <w:color w:val="000000"/>
          <w:sz w:val="24"/>
          <w:szCs w:val="24"/>
          <w:lang w:val="en-CA"/>
        </w:rPr>
        <w:t>larger</w:t>
      </w:r>
      <w:r w:rsidRPr="002B7338">
        <w:rPr>
          <w:rFonts w:ascii="Times New Roman" w:hAnsi="Times New Roman" w:cs="Times New Roman"/>
          <w:color w:val="000000"/>
          <w:sz w:val="24"/>
          <w:szCs w:val="24"/>
          <w:lang w:val="en-CA"/>
        </w:rPr>
        <w:t xml:space="preserve"> amount of PP on the filter</w:t>
      </w:r>
      <w:r>
        <w:rPr>
          <w:rFonts w:ascii="Times New Roman" w:hAnsi="Times New Roman" w:cs="Times New Roman"/>
          <w:color w:val="000000"/>
          <w:sz w:val="24"/>
          <w:szCs w:val="24"/>
          <w:lang w:val="en-CA"/>
        </w:rPr>
        <w:t xml:space="preserve"> </w:t>
      </w:r>
      <w:r w:rsidRPr="002B7338">
        <w:rPr>
          <w:rFonts w:ascii="Times New Roman" w:hAnsi="Times New Roman" w:cs="Times New Roman"/>
          <w:color w:val="000000"/>
          <w:sz w:val="24"/>
          <w:szCs w:val="24"/>
          <w:lang w:val="en-CA"/>
        </w:rPr>
        <w:t>(minimum of 2 mg per filter)</w:t>
      </w:r>
      <w:r>
        <w:rPr>
          <w:rFonts w:ascii="Times New Roman" w:hAnsi="Times New Roman" w:cs="Times New Roman"/>
          <w:noProof/>
          <w:color w:val="000000"/>
          <w:sz w:val="24"/>
          <w:szCs w:val="24"/>
          <w:lang w:val="en-CA"/>
        </w:rPr>
        <w:t>(</w:t>
      </w:r>
      <w:r w:rsidR="002B443B">
        <w:rPr>
          <w:rFonts w:ascii="Times New Roman" w:hAnsi="Times New Roman" w:cs="Times New Roman"/>
          <w:noProof/>
          <w:color w:val="000000"/>
          <w:sz w:val="24"/>
          <w:szCs w:val="24"/>
          <w:lang w:val="en-CA"/>
        </w:rPr>
        <w:t>ACC</w:t>
      </w:r>
      <w:r>
        <w:rPr>
          <w:rFonts w:ascii="Times New Roman" w:hAnsi="Times New Roman" w:cs="Times New Roman"/>
          <w:noProof/>
          <w:color w:val="000000"/>
          <w:sz w:val="24"/>
          <w:szCs w:val="24"/>
          <w:lang w:val="en-CA"/>
        </w:rPr>
        <w:t xml:space="preserve"> 2014)</w:t>
      </w:r>
      <w:r w:rsidRPr="002B7338">
        <w:rPr>
          <w:rFonts w:ascii="Times New Roman" w:hAnsi="Times New Roman" w:cs="Times New Roman"/>
          <w:color w:val="000000"/>
          <w:sz w:val="24"/>
          <w:szCs w:val="24"/>
          <w:lang w:val="en-CA"/>
        </w:rPr>
        <w:t xml:space="preserve">. </w:t>
      </w:r>
      <w:r w:rsidRPr="002B7338">
        <w:rPr>
          <w:rFonts w:ascii="Times New Roman" w:hAnsi="Times New Roman" w:cs="Times New Roman"/>
          <w:bCs/>
          <w:sz w:val="24"/>
          <w:szCs w:val="24"/>
          <w:lang w:val="en-CA"/>
        </w:rPr>
        <w:t>This method has also been published under ISO 14382</w:t>
      </w:r>
      <w:r w:rsidRPr="002B7338">
        <w:rPr>
          <w:sz w:val="24"/>
          <w:szCs w:val="24"/>
          <w:lang w:val="en-CA"/>
        </w:rPr>
        <w:t xml:space="preserve"> </w:t>
      </w:r>
      <w:r>
        <w:rPr>
          <w:rFonts w:ascii="Times New Roman" w:hAnsi="Times New Roman" w:cs="Times New Roman"/>
          <w:bCs/>
          <w:noProof/>
          <w:sz w:val="24"/>
          <w:szCs w:val="24"/>
          <w:lang w:val="en-CA"/>
        </w:rPr>
        <w:t>(</w:t>
      </w:r>
      <w:r w:rsidR="002B443B">
        <w:rPr>
          <w:rFonts w:ascii="Times New Roman" w:hAnsi="Times New Roman" w:cs="Times New Roman"/>
          <w:bCs/>
          <w:noProof/>
          <w:sz w:val="24"/>
          <w:szCs w:val="24"/>
          <w:lang w:val="en-CA"/>
        </w:rPr>
        <w:t>ISO</w:t>
      </w:r>
      <w:r>
        <w:rPr>
          <w:rFonts w:ascii="Times New Roman" w:hAnsi="Times New Roman" w:cs="Times New Roman"/>
          <w:bCs/>
          <w:noProof/>
          <w:sz w:val="24"/>
          <w:szCs w:val="24"/>
          <w:lang w:val="en-CA"/>
        </w:rPr>
        <w:t xml:space="preserve"> 2012)</w:t>
      </w:r>
      <w:r w:rsidRPr="002B7338">
        <w:rPr>
          <w:rFonts w:ascii="Times New Roman" w:hAnsi="Times New Roman" w:cs="Times New Roman"/>
          <w:bCs/>
          <w:sz w:val="24"/>
          <w:szCs w:val="24"/>
          <w:lang w:val="en-CA"/>
        </w:rPr>
        <w:t>.</w:t>
      </w:r>
    </w:p>
    <w:p w:rsidR="003229A6" w:rsidRPr="00A03C46" w:rsidRDefault="003229A6" w:rsidP="00952F7C">
      <w:pPr>
        <w:pStyle w:val="BodyText"/>
        <w:spacing w:after="0" w:line="480" w:lineRule="auto"/>
        <w:jc w:val="both"/>
        <w:rPr>
          <w:rFonts w:ascii="Times New Roman" w:hAnsi="Times New Roman" w:cs="Times New Roman"/>
        </w:rPr>
      </w:pPr>
      <w:r w:rsidRPr="00A03C46">
        <w:rPr>
          <w:rStyle w:val="InternetLink"/>
          <w:rFonts w:ascii="Times New Roman" w:hAnsi="Times New Roman" w:cs="Times New Roman"/>
          <w:color w:val="000000"/>
          <w:u w:val="none"/>
        </w:rPr>
        <w:t xml:space="preserve">     Finally, the </w:t>
      </w:r>
      <w:r w:rsidRPr="00A03C46">
        <w:rPr>
          <w:rStyle w:val="InternetLink"/>
          <w:rFonts w:ascii="Times New Roman" w:hAnsi="Times New Roman" w:cs="Times New Roman"/>
          <w:i/>
          <w:color w:val="000000"/>
          <w:u w:val="none"/>
        </w:rPr>
        <w:t>Capteur Individuel de Polluants</w:t>
      </w:r>
      <w:r w:rsidRPr="00A03C46">
        <w:rPr>
          <w:rStyle w:val="InternetLink"/>
          <w:rFonts w:ascii="Times New Roman" w:hAnsi="Times New Roman" w:cs="Times New Roman"/>
          <w:color w:val="000000"/>
          <w:u w:val="none"/>
        </w:rPr>
        <w:t xml:space="preserve"> (CIP10) was developed by the Institut national de recherche et de sécurité (INRS) in Vandoeuvre-lès-Nancy, France, for the air sampling of coal and other industrial dusts. A variation on the CIP10, the CIP10M, is used to quantify microbial spores. The IRSST in Quebec successfully adapted this sampler to the collection of isocyanate aerosols in spray applications</w:t>
      </w:r>
      <w:r w:rsidRPr="00A03C46">
        <w:t xml:space="preserve"> </w:t>
      </w:r>
      <w:r>
        <w:rPr>
          <w:rStyle w:val="InternetLink"/>
          <w:rFonts w:ascii="Times New Roman" w:hAnsi="Times New Roman" w:cs="Times New Roman"/>
          <w:noProof/>
          <w:color w:val="000000"/>
          <w:u w:val="none"/>
        </w:rPr>
        <w:t>(Puscasu et al. 2014; Puscasu et al. 2015)</w:t>
      </w:r>
      <w:r>
        <w:rPr>
          <w:rStyle w:val="InternetLink"/>
          <w:rFonts w:ascii="Times New Roman" w:hAnsi="Times New Roman" w:cs="Times New Roman"/>
          <w:color w:val="000000"/>
          <w:u w:val="none"/>
        </w:rPr>
        <w:t xml:space="preserve">. </w:t>
      </w:r>
      <w:r w:rsidRPr="00A03C46">
        <w:rPr>
          <w:rStyle w:val="InternetLink"/>
          <w:rFonts w:ascii="Times New Roman" w:hAnsi="Times New Roman" w:cs="Times New Roman"/>
          <w:color w:val="000000"/>
          <w:u w:val="none"/>
        </w:rPr>
        <w:t xml:space="preserve">The CIP10M has an auto-propelled rotating cup at the bottom of the sampler instead of an attached pump. The cup is filled with a solution of MP in tributyl </w:t>
      </w:r>
      <w:r w:rsidRPr="00A03C46">
        <w:rPr>
          <w:rStyle w:val="InternetLink"/>
          <w:rFonts w:ascii="Times New Roman" w:hAnsi="Times New Roman" w:cs="Times New Roman"/>
          <w:color w:val="000000"/>
          <w:u w:val="none"/>
        </w:rPr>
        <w:lastRenderedPageBreak/>
        <w:t xml:space="preserve">phosphate (TBP) and the MDI species pulled in by the rotation of the cup reacts to give MDI-MP. As for the dissolved derivative from the first filter of the </w:t>
      </w:r>
      <w:r w:rsidRPr="00A03C46">
        <w:rPr>
          <w:rStyle w:val="InternetLink"/>
          <w:rFonts w:ascii="Times New Roman" w:hAnsi="Times New Roman" w:cs="Times New Roman"/>
          <w:color w:val="000000"/>
          <w:u w:val="none"/>
          <w:lang w:val="en-CA"/>
        </w:rPr>
        <w:t>ISO-CHEK</w:t>
      </w:r>
      <w:r w:rsidRPr="00A03C46">
        <w:rPr>
          <w:rStyle w:val="InternetLink"/>
          <w:rFonts w:ascii="Times New Roman" w:hAnsi="Times New Roman" w:cs="Times New Roman"/>
          <w:color w:val="000000"/>
          <w:u w:val="none"/>
        </w:rPr>
        <w:t xml:space="preserve"> sampler, the solution containing MDI-MP, is transferred to a vial and quantified in the lab by HPLC with a UV detector.</w:t>
      </w:r>
    </w:p>
    <w:p w:rsidR="003229A6" w:rsidRPr="00F54B48" w:rsidRDefault="003229A6" w:rsidP="00952F7C">
      <w:pPr>
        <w:pStyle w:val="BodyText"/>
        <w:spacing w:after="0" w:line="480" w:lineRule="auto"/>
        <w:jc w:val="both"/>
        <w:rPr>
          <w:rFonts w:ascii="Times New Roman" w:hAnsi="Times New Roman" w:cs="Times New Roman"/>
        </w:rPr>
      </w:pPr>
      <w:r w:rsidRPr="00F54B48">
        <w:rPr>
          <w:rFonts w:ascii="Times New Roman" w:hAnsi="Times New Roman" w:cs="Times New Roman"/>
        </w:rPr>
        <w:t xml:space="preserve">     </w:t>
      </w:r>
    </w:p>
    <w:p w:rsidR="003229A6" w:rsidRPr="002B7338" w:rsidRDefault="003229A6" w:rsidP="006E0914">
      <w:pPr>
        <w:spacing w:line="480" w:lineRule="auto"/>
        <w:rPr>
          <w:rFonts w:ascii="Times New Roman" w:hAnsi="Times New Roman" w:cs="Times New Roman"/>
          <w:b/>
          <w:sz w:val="28"/>
          <w:lang w:val="en-CA"/>
        </w:rPr>
      </w:pPr>
      <w:r w:rsidRPr="002B7338">
        <w:rPr>
          <w:rFonts w:ascii="Times New Roman" w:hAnsi="Times New Roman" w:cs="Times New Roman"/>
          <w:b/>
          <w:sz w:val="28"/>
          <w:lang w:val="en-CA"/>
        </w:rPr>
        <w:t>Standard and Analyte Preparation and Analysis</w:t>
      </w:r>
    </w:p>
    <w:p w:rsidR="003229A6" w:rsidRPr="00724936" w:rsidRDefault="003229A6" w:rsidP="00952F7C">
      <w:pPr>
        <w:spacing w:line="480" w:lineRule="auto"/>
        <w:jc w:val="both"/>
        <w:rPr>
          <w:rFonts w:ascii="Times New Roman" w:hAnsi="Times New Roman" w:cs="Times New Roman"/>
          <w:i/>
          <w:sz w:val="24"/>
          <w:lang w:val="en-CA"/>
        </w:rPr>
      </w:pPr>
      <w:r w:rsidRPr="00724936">
        <w:rPr>
          <w:rFonts w:ascii="Times New Roman" w:hAnsi="Times New Roman" w:cs="Times New Roman"/>
          <w:i/>
          <w:sz w:val="24"/>
          <w:lang w:val="en-CA"/>
        </w:rPr>
        <w:t>ASSET EZ4-NCO</w:t>
      </w:r>
    </w:p>
    <w:p w:rsidR="003229A6" w:rsidRPr="008965E8" w:rsidRDefault="003229A6" w:rsidP="00952F7C">
      <w:pPr>
        <w:spacing w:line="480" w:lineRule="auto"/>
        <w:jc w:val="both"/>
        <w:rPr>
          <w:rFonts w:ascii="Times New Roman" w:hAnsi="Times New Roman" w:cs="Times New Roman"/>
          <w:sz w:val="24"/>
          <w:lang w:val="en-CA"/>
        </w:rPr>
      </w:pPr>
      <w:r w:rsidRPr="00724936">
        <w:rPr>
          <w:rFonts w:ascii="Times New Roman" w:hAnsi="Times New Roman" w:cs="Times New Roman"/>
          <w:sz w:val="24"/>
          <w:lang w:val="en-CA"/>
        </w:rPr>
        <w:t>The ASSET EZ4-NCO standards and samples were prepared following the protocol provided by Supelco</w:t>
      </w:r>
      <w:r>
        <w:rPr>
          <w:rFonts w:ascii="Times New Roman" w:hAnsi="Times New Roman" w:cs="Times New Roman"/>
          <w:noProof/>
          <w:sz w:val="24"/>
          <w:lang w:val="en-CA"/>
        </w:rPr>
        <w:t>(Brown and Halpenny 2013)</w:t>
      </w:r>
      <w:r w:rsidRPr="00724936">
        <w:rPr>
          <w:rFonts w:ascii="Times New Roman" w:hAnsi="Times New Roman" w:cs="Times New Roman"/>
          <w:sz w:val="24"/>
          <w:lang w:val="en-CA"/>
        </w:rPr>
        <w:t>. The prepa</w:t>
      </w:r>
      <w:r>
        <w:rPr>
          <w:rFonts w:ascii="Times New Roman" w:hAnsi="Times New Roman" w:cs="Times New Roman"/>
          <w:sz w:val="24"/>
          <w:lang w:val="en-CA"/>
        </w:rPr>
        <w:t>red solutions were injected (10 µ</w:t>
      </w:r>
      <w:r w:rsidRPr="00724936">
        <w:rPr>
          <w:rFonts w:ascii="Times New Roman" w:hAnsi="Times New Roman" w:cs="Times New Roman"/>
          <w:sz w:val="24"/>
          <w:lang w:val="en-CA"/>
        </w:rPr>
        <w:t xml:space="preserve">L) into the UPLC-MS via its autosampler set at 15°C. The mobile phase was composed of ACN + 0.1% FA (eluant A) and water + 0.1% FA (eluant B). The run started with a gradient of 70% eluant A (0.5 min.), ramped to 90% eluant A (2.5 min.), held at 90% eluant A (2 min.), ramped to 100% eluant A (3 min.) and finally equilibrated at 70% eluant A (2 min.). The flow rate in the column was 0.6 mL/min. and the </w:t>
      </w:r>
      <w:r w:rsidRPr="008965E8">
        <w:rPr>
          <w:rFonts w:ascii="Times New Roman" w:hAnsi="Times New Roman" w:cs="Times New Roman"/>
          <w:sz w:val="24"/>
          <w:lang w:val="en-CA"/>
        </w:rPr>
        <w:t>temperature was maintained at 50°C. The Xevo TQ was used in positive mode with the capillary voltage set at 2 kV and the source temperature at 150°C. The desolvation temperature and flow were 500°C and 1000 L/hr, respectively; while the collision gas flow was set at 0.15 mL/min. The [M+H]</w:t>
      </w:r>
      <w:r w:rsidRPr="008965E8">
        <w:rPr>
          <w:rFonts w:ascii="Times New Roman" w:hAnsi="Times New Roman" w:cs="Times New Roman"/>
          <w:sz w:val="24"/>
          <w:vertAlign w:val="superscript"/>
          <w:lang w:val="en-CA"/>
        </w:rPr>
        <w:t>+</w:t>
      </w:r>
      <w:r w:rsidRPr="008965E8">
        <w:rPr>
          <w:rFonts w:ascii="Times New Roman" w:hAnsi="Times New Roman" w:cs="Times New Roman"/>
          <w:sz w:val="24"/>
          <w:lang w:val="en-CA"/>
        </w:rPr>
        <w:t>for TDI-DBA is m/z 433.2 and that of the internal standard, TDI-DBA-d</w:t>
      </w:r>
      <w:r w:rsidRPr="008965E8">
        <w:rPr>
          <w:rFonts w:ascii="Times New Roman" w:hAnsi="Times New Roman" w:cs="Times New Roman"/>
          <w:sz w:val="24"/>
          <w:vertAlign w:val="subscript"/>
          <w:lang w:val="en-CA"/>
        </w:rPr>
        <w:t>18</w:t>
      </w:r>
      <w:r w:rsidRPr="008965E8">
        <w:rPr>
          <w:rFonts w:ascii="Times New Roman" w:hAnsi="Times New Roman" w:cs="Times New Roman"/>
          <w:sz w:val="24"/>
          <w:lang w:val="en-CA"/>
        </w:rPr>
        <w:t>, is m/z 451.2. The data was acquired in multiple reaction monitoring (MRM) mode (Table S1). Manual adjustments were made on the integrations to ensure that the entire peak was covered before the data was recorded. The results were used to create a regression calibration curve with linear fit.</w:t>
      </w:r>
    </w:p>
    <w:p w:rsidR="003229A6" w:rsidRPr="008965E8" w:rsidRDefault="003229A6" w:rsidP="00952F7C">
      <w:pPr>
        <w:spacing w:line="480" w:lineRule="auto"/>
        <w:jc w:val="both"/>
        <w:rPr>
          <w:rFonts w:ascii="Times New Roman" w:hAnsi="Times New Roman" w:cs="Times New Roman"/>
          <w:sz w:val="24"/>
          <w:lang w:val="en-CA"/>
        </w:rPr>
      </w:pPr>
    </w:p>
    <w:p w:rsidR="003229A6" w:rsidRPr="008965E8" w:rsidRDefault="003229A6" w:rsidP="00952F7C">
      <w:pPr>
        <w:spacing w:line="480" w:lineRule="auto"/>
        <w:jc w:val="both"/>
        <w:rPr>
          <w:rFonts w:ascii="Times New Roman" w:hAnsi="Times New Roman" w:cs="Times New Roman"/>
          <w:sz w:val="24"/>
          <w:lang w:val="en-CA"/>
        </w:rPr>
      </w:pPr>
    </w:p>
    <w:p w:rsidR="003229A6" w:rsidRPr="008965E8" w:rsidRDefault="003229A6" w:rsidP="00952F7C">
      <w:pPr>
        <w:spacing w:line="480" w:lineRule="auto"/>
        <w:jc w:val="both"/>
        <w:rPr>
          <w:rFonts w:ascii="Times New Roman" w:hAnsi="Times New Roman" w:cs="Times New Roman"/>
          <w:sz w:val="24"/>
          <w:lang w:val="en-CA"/>
        </w:rPr>
      </w:pPr>
    </w:p>
    <w:p w:rsidR="003229A6" w:rsidRPr="008965E8" w:rsidRDefault="003229A6" w:rsidP="00952F7C">
      <w:pPr>
        <w:spacing w:line="480" w:lineRule="auto"/>
        <w:jc w:val="both"/>
        <w:rPr>
          <w:rFonts w:ascii="Times New Roman" w:hAnsi="Times New Roman" w:cs="Times New Roman"/>
          <w:sz w:val="24"/>
          <w:lang w:val="en-CA"/>
        </w:rPr>
      </w:pPr>
    </w:p>
    <w:p w:rsidR="003229A6" w:rsidRPr="008965E8" w:rsidRDefault="003229A6" w:rsidP="00952F7C">
      <w:pPr>
        <w:spacing w:line="480" w:lineRule="auto"/>
        <w:jc w:val="both"/>
        <w:rPr>
          <w:rFonts w:ascii="Times New Roman" w:hAnsi="Times New Roman" w:cs="Times New Roman"/>
          <w:lang w:val="en-CA"/>
        </w:rPr>
      </w:pPr>
      <w:r w:rsidRPr="008965E8">
        <w:rPr>
          <w:rFonts w:ascii="Times New Roman" w:hAnsi="Times New Roman" w:cs="Times New Roman"/>
          <w:b/>
          <w:lang w:val="en-CA"/>
        </w:rPr>
        <w:t>Table S1</w:t>
      </w:r>
      <w:r w:rsidRPr="008965E8">
        <w:rPr>
          <w:rFonts w:ascii="Times New Roman" w:hAnsi="Times New Roman" w:cs="Times New Roman"/>
          <w:lang w:val="en-CA"/>
        </w:rPr>
        <w:t xml:space="preserve">  SMS-MRM species calculated and measured.</w:t>
      </w:r>
    </w:p>
    <w:tbl>
      <w:tblPr>
        <w:tblStyle w:val="TableGrid"/>
        <w:tblW w:w="8072" w:type="dxa"/>
        <w:tblInd w:w="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1"/>
        <w:gridCol w:w="2691"/>
      </w:tblGrid>
      <w:tr w:rsidR="003229A6" w:rsidRPr="008965E8" w:rsidTr="00C95F20">
        <w:trPr>
          <w:trHeight w:val="485"/>
        </w:trPr>
        <w:tc>
          <w:tcPr>
            <w:tcW w:w="2690" w:type="dxa"/>
            <w:tcBorders>
              <w:bottom w:val="dotted" w:sz="4" w:space="0" w:color="auto"/>
            </w:tcBorders>
            <w:shd w:val="clear" w:color="auto" w:fill="auto"/>
          </w:tcPr>
          <w:p w:rsidR="003229A6" w:rsidRPr="00C95F20" w:rsidRDefault="003229A6" w:rsidP="005B44CD">
            <w:pPr>
              <w:spacing w:after="0"/>
              <w:jc w:val="both"/>
              <w:rPr>
                <w:rFonts w:ascii="Times New Roman" w:hAnsi="Times New Roman" w:cs="Times New Roman"/>
                <w:sz w:val="20"/>
                <w:szCs w:val="20"/>
              </w:rPr>
            </w:pPr>
            <w:r w:rsidRPr="00C95F20">
              <w:rPr>
                <w:rFonts w:ascii="Times New Roman" w:hAnsi="Times New Roman" w:cs="Times New Roman"/>
                <w:b/>
                <w:sz w:val="20"/>
                <w:szCs w:val="20"/>
                <w:lang w:val="en-CA"/>
              </w:rPr>
              <w:t>MS parameters</w:t>
            </w:r>
          </w:p>
        </w:tc>
        <w:tc>
          <w:tcPr>
            <w:tcW w:w="2691" w:type="dxa"/>
            <w:tcBorders>
              <w:bottom w:val="dotted" w:sz="4" w:space="0" w:color="auto"/>
            </w:tcBorders>
          </w:tcPr>
          <w:p w:rsidR="003229A6" w:rsidRPr="00C95F20" w:rsidRDefault="003229A6" w:rsidP="005B44CD">
            <w:pPr>
              <w:spacing w:after="0"/>
              <w:jc w:val="both"/>
              <w:rPr>
                <w:rFonts w:ascii="Times New Roman" w:hAnsi="Times New Roman" w:cs="Times New Roman"/>
                <w:b/>
                <w:sz w:val="20"/>
                <w:szCs w:val="20"/>
                <w:lang w:val="en-CA"/>
              </w:rPr>
            </w:pPr>
            <w:r w:rsidRPr="00C95F20">
              <w:rPr>
                <w:rFonts w:ascii="Times New Roman" w:hAnsi="Times New Roman" w:cs="Times New Roman"/>
                <w:b/>
                <w:sz w:val="20"/>
                <w:szCs w:val="20"/>
                <w:lang w:val="en-CA"/>
              </w:rPr>
              <w:t>Substance</w:t>
            </w:r>
          </w:p>
        </w:tc>
        <w:tc>
          <w:tcPr>
            <w:tcW w:w="2691" w:type="dxa"/>
            <w:tcBorders>
              <w:bottom w:val="dotted" w:sz="4" w:space="0" w:color="auto"/>
            </w:tcBorders>
            <w:shd w:val="clear" w:color="auto" w:fill="auto"/>
          </w:tcPr>
          <w:p w:rsidR="003229A6" w:rsidRPr="00C95F20" w:rsidRDefault="003229A6" w:rsidP="005B44CD">
            <w:pPr>
              <w:spacing w:after="0"/>
              <w:jc w:val="both"/>
              <w:rPr>
                <w:rFonts w:ascii="Times New Roman" w:hAnsi="Times New Roman" w:cs="Times New Roman"/>
                <w:sz w:val="20"/>
                <w:szCs w:val="20"/>
              </w:rPr>
            </w:pPr>
            <w:r w:rsidRPr="00C95F20">
              <w:rPr>
                <w:rFonts w:ascii="Times New Roman" w:hAnsi="Times New Roman" w:cs="Times New Roman"/>
                <w:b/>
                <w:sz w:val="20"/>
                <w:szCs w:val="20"/>
                <w:lang w:val="en-CA"/>
              </w:rPr>
              <w:t>MRM transitions</w:t>
            </w:r>
          </w:p>
        </w:tc>
      </w:tr>
      <w:tr w:rsidR="003229A6" w:rsidRPr="008965E8" w:rsidTr="00C95F20">
        <w:trPr>
          <w:trHeight w:val="1144"/>
        </w:trPr>
        <w:tc>
          <w:tcPr>
            <w:tcW w:w="2690" w:type="dxa"/>
            <w:vMerge w:val="restart"/>
            <w:tcBorders>
              <w:top w:val="dotted" w:sz="4" w:space="0" w:color="auto"/>
            </w:tcBorders>
            <w:shd w:val="clear" w:color="auto" w:fill="auto"/>
            <w:vAlign w:val="center"/>
          </w:tcPr>
          <w:p w:rsidR="003229A6" w:rsidRPr="00C95F20" w:rsidRDefault="003229A6" w:rsidP="00BD6893">
            <w:pPr>
              <w:spacing w:after="0"/>
              <w:rPr>
                <w:rFonts w:ascii="Times New Roman" w:hAnsi="Times New Roman" w:cs="Times New Roman"/>
                <w:sz w:val="20"/>
                <w:szCs w:val="20"/>
              </w:rPr>
            </w:pPr>
            <w:r w:rsidRPr="00C95F20">
              <w:rPr>
                <w:rFonts w:ascii="Times New Roman" w:hAnsi="Times New Roman" w:cs="Times New Roman"/>
                <w:sz w:val="20"/>
                <w:szCs w:val="20"/>
              </w:rPr>
              <w:t>Cone voltage : 30V</w:t>
            </w:r>
          </w:p>
          <w:p w:rsidR="003229A6" w:rsidRPr="00C95F20" w:rsidRDefault="003229A6" w:rsidP="00BD6893">
            <w:pPr>
              <w:spacing w:after="0"/>
              <w:rPr>
                <w:rFonts w:ascii="Times New Roman" w:hAnsi="Times New Roman" w:cs="Times New Roman"/>
                <w:sz w:val="20"/>
                <w:szCs w:val="20"/>
              </w:rPr>
            </w:pPr>
            <w:r w:rsidRPr="00C95F20">
              <w:rPr>
                <w:rFonts w:ascii="Times New Roman" w:hAnsi="Times New Roman" w:cs="Times New Roman"/>
                <w:sz w:val="20"/>
                <w:szCs w:val="20"/>
              </w:rPr>
              <w:t>Collision Energy : 25eV</w:t>
            </w:r>
          </w:p>
        </w:tc>
        <w:tc>
          <w:tcPr>
            <w:tcW w:w="2691" w:type="dxa"/>
            <w:tcBorders>
              <w:top w:val="dotted" w:sz="4" w:space="0" w:color="auto"/>
            </w:tcBorders>
            <w:vAlign w:val="center"/>
          </w:tcPr>
          <w:p w:rsidR="003229A6" w:rsidRPr="00C95F20" w:rsidRDefault="003229A6" w:rsidP="00C95F20">
            <w:pPr>
              <w:spacing w:after="0"/>
              <w:rPr>
                <w:rFonts w:ascii="Times New Roman" w:hAnsi="Times New Roman" w:cs="Times New Roman"/>
                <w:sz w:val="20"/>
                <w:szCs w:val="20"/>
              </w:rPr>
            </w:pPr>
            <w:r w:rsidRPr="00C95F20">
              <w:rPr>
                <w:rFonts w:ascii="Times New Roman" w:hAnsi="Times New Roman" w:cs="Times New Roman"/>
                <w:sz w:val="20"/>
                <w:szCs w:val="20"/>
                <w:lang w:val="en-CA"/>
              </w:rPr>
              <w:t>2,4 TDI-DBA</w:t>
            </w:r>
          </w:p>
          <w:p w:rsidR="003229A6" w:rsidRPr="00C95F20" w:rsidRDefault="003229A6" w:rsidP="00C95F20">
            <w:pPr>
              <w:spacing w:after="0"/>
              <w:rPr>
                <w:rFonts w:ascii="Times New Roman" w:hAnsi="Times New Roman" w:cs="Times New Roman"/>
                <w:sz w:val="20"/>
                <w:szCs w:val="20"/>
              </w:rPr>
            </w:pPr>
            <w:r w:rsidRPr="00C95F20">
              <w:rPr>
                <w:rFonts w:ascii="Times New Roman" w:hAnsi="Times New Roman" w:cs="Times New Roman"/>
                <w:sz w:val="20"/>
                <w:szCs w:val="20"/>
                <w:lang w:val="en-CA"/>
              </w:rPr>
              <w:t>2,6 TDI-DBA</w:t>
            </w:r>
          </w:p>
        </w:tc>
        <w:tc>
          <w:tcPr>
            <w:tcW w:w="2691" w:type="dxa"/>
            <w:tcBorders>
              <w:top w:val="dotted" w:sz="4" w:space="0" w:color="auto"/>
            </w:tcBorders>
            <w:shd w:val="clear" w:color="auto" w:fill="auto"/>
            <w:vAlign w:val="center"/>
          </w:tcPr>
          <w:p w:rsidR="003229A6" w:rsidRPr="00C95F20" w:rsidRDefault="003229A6" w:rsidP="00BD6893">
            <w:pPr>
              <w:spacing w:after="0"/>
              <w:rPr>
                <w:rFonts w:ascii="Times New Roman" w:hAnsi="Times New Roman" w:cs="Times New Roman"/>
                <w:sz w:val="20"/>
                <w:szCs w:val="20"/>
              </w:rPr>
            </w:pPr>
            <w:r w:rsidRPr="00C95F20">
              <w:rPr>
                <w:rFonts w:ascii="Times New Roman" w:hAnsi="Times New Roman" w:cs="Times New Roman"/>
                <w:sz w:val="20"/>
                <w:szCs w:val="20"/>
              </w:rPr>
              <w:t>433.2 – 130.1</w:t>
            </w:r>
          </w:p>
        </w:tc>
      </w:tr>
      <w:tr w:rsidR="003229A6" w:rsidRPr="008965E8" w:rsidTr="00C95F20">
        <w:trPr>
          <w:trHeight w:val="567"/>
        </w:trPr>
        <w:tc>
          <w:tcPr>
            <w:tcW w:w="2690" w:type="dxa"/>
            <w:vMerge/>
            <w:tcBorders>
              <w:bottom w:val="dotted" w:sz="4" w:space="0" w:color="auto"/>
            </w:tcBorders>
            <w:shd w:val="clear" w:color="auto" w:fill="auto"/>
          </w:tcPr>
          <w:p w:rsidR="003229A6" w:rsidRPr="00C95F20" w:rsidRDefault="003229A6" w:rsidP="005B44CD">
            <w:pPr>
              <w:spacing w:after="0"/>
              <w:jc w:val="both"/>
              <w:rPr>
                <w:rFonts w:ascii="Times New Roman" w:hAnsi="Times New Roman" w:cs="Times New Roman"/>
                <w:sz w:val="20"/>
                <w:szCs w:val="20"/>
                <w:lang w:val="en-CA"/>
              </w:rPr>
            </w:pPr>
          </w:p>
        </w:tc>
        <w:tc>
          <w:tcPr>
            <w:tcW w:w="2691" w:type="dxa"/>
            <w:tcBorders>
              <w:bottom w:val="dotted" w:sz="4" w:space="0" w:color="auto"/>
            </w:tcBorders>
            <w:vAlign w:val="center"/>
          </w:tcPr>
          <w:p w:rsidR="003229A6" w:rsidRPr="00C95F20" w:rsidRDefault="003229A6" w:rsidP="00C95F20">
            <w:pPr>
              <w:spacing w:after="0"/>
              <w:rPr>
                <w:rFonts w:ascii="Times New Roman" w:hAnsi="Times New Roman" w:cs="Times New Roman"/>
                <w:sz w:val="20"/>
                <w:szCs w:val="20"/>
                <w:lang w:val="en-CA"/>
              </w:rPr>
            </w:pPr>
            <w:r w:rsidRPr="00C95F20">
              <w:rPr>
                <w:rFonts w:ascii="Times New Roman" w:hAnsi="Times New Roman" w:cs="Times New Roman"/>
                <w:sz w:val="20"/>
                <w:szCs w:val="20"/>
                <w:lang w:val="en-CA"/>
              </w:rPr>
              <w:t>TDI-DBA-d</w:t>
            </w:r>
            <w:r w:rsidRPr="00C95F20">
              <w:rPr>
                <w:rFonts w:ascii="Times New Roman" w:hAnsi="Times New Roman" w:cs="Times New Roman"/>
                <w:sz w:val="20"/>
                <w:szCs w:val="20"/>
                <w:vertAlign w:val="subscript"/>
                <w:lang w:val="en-CA"/>
              </w:rPr>
              <w:t>18</w:t>
            </w:r>
          </w:p>
        </w:tc>
        <w:tc>
          <w:tcPr>
            <w:tcW w:w="2691" w:type="dxa"/>
            <w:tcBorders>
              <w:bottom w:val="dotted" w:sz="4" w:space="0" w:color="auto"/>
            </w:tcBorders>
            <w:shd w:val="clear" w:color="auto" w:fill="auto"/>
            <w:vAlign w:val="center"/>
          </w:tcPr>
          <w:p w:rsidR="003229A6" w:rsidRPr="00C95F20" w:rsidRDefault="003229A6" w:rsidP="00C95F20">
            <w:pPr>
              <w:spacing w:after="0"/>
              <w:rPr>
                <w:rFonts w:ascii="Times New Roman" w:hAnsi="Times New Roman" w:cs="Times New Roman"/>
                <w:sz w:val="20"/>
                <w:szCs w:val="20"/>
                <w:lang w:val="en-CA"/>
              </w:rPr>
            </w:pPr>
            <w:r w:rsidRPr="00C95F20">
              <w:rPr>
                <w:rFonts w:ascii="Times New Roman" w:hAnsi="Times New Roman" w:cs="Times New Roman"/>
                <w:sz w:val="20"/>
                <w:szCs w:val="20"/>
                <w:lang w:val="en-CA"/>
              </w:rPr>
              <w:t>451.2-139.1</w:t>
            </w:r>
          </w:p>
        </w:tc>
      </w:tr>
    </w:tbl>
    <w:p w:rsidR="003229A6" w:rsidRPr="008965E8" w:rsidRDefault="003229A6" w:rsidP="00952F7C">
      <w:pPr>
        <w:spacing w:line="480" w:lineRule="auto"/>
        <w:rPr>
          <w:rFonts w:ascii="Times New Roman" w:hAnsi="Times New Roman" w:cs="Times New Roman"/>
          <w:lang w:val="en-CA"/>
        </w:rPr>
      </w:pPr>
    </w:p>
    <w:p w:rsidR="003229A6" w:rsidRPr="008965E8" w:rsidRDefault="003229A6" w:rsidP="006E0914">
      <w:pPr>
        <w:spacing w:line="480" w:lineRule="auto"/>
        <w:rPr>
          <w:rFonts w:ascii="Times New Roman" w:hAnsi="Times New Roman" w:cs="Times New Roman"/>
          <w:b/>
          <w:sz w:val="28"/>
          <w:szCs w:val="24"/>
          <w:lang w:val="en-CA"/>
        </w:rPr>
      </w:pPr>
      <w:r w:rsidRPr="008965E8">
        <w:rPr>
          <w:rFonts w:ascii="Times New Roman" w:hAnsi="Times New Roman" w:cs="Times New Roman"/>
          <w:b/>
          <w:sz w:val="28"/>
          <w:szCs w:val="24"/>
          <w:lang w:val="en-CA"/>
        </w:rPr>
        <w:t>Laboratory sampler performance evaluation for DAN and CIP10</w:t>
      </w:r>
    </w:p>
    <w:p w:rsidR="003229A6" w:rsidRPr="008965E8" w:rsidRDefault="003229A6" w:rsidP="006E0914">
      <w:pPr>
        <w:spacing w:line="480" w:lineRule="auto"/>
        <w:rPr>
          <w:rFonts w:ascii="Times New Roman" w:hAnsi="Times New Roman" w:cs="Times New Roman"/>
          <w:color w:val="000000"/>
          <w:sz w:val="24"/>
          <w:szCs w:val="24"/>
          <w:lang w:val="en-CA"/>
        </w:rPr>
      </w:pPr>
      <w:r w:rsidRPr="008965E8">
        <w:rPr>
          <w:rFonts w:ascii="Times New Roman" w:hAnsi="Times New Roman" w:cs="Times New Roman"/>
          <w:color w:val="000000"/>
          <w:sz w:val="24"/>
          <w:szCs w:val="24"/>
          <w:lang w:val="en-CA"/>
        </w:rPr>
        <w:t>All the sampling devices had been used in the field previously except the DAN coated filters for TDI and the CIP10/MP device for TDI, so field use of these devices was preceded by laboratory evaluations to characterize their performances.</w:t>
      </w:r>
    </w:p>
    <w:p w:rsidR="002B443B" w:rsidRDefault="003229A6" w:rsidP="002B443B">
      <w:pPr>
        <w:spacing w:line="480" w:lineRule="auto"/>
        <w:rPr>
          <w:rFonts w:ascii="Times New Roman" w:hAnsi="Times New Roman" w:cs="Times New Roman"/>
          <w:color w:val="000000"/>
          <w:sz w:val="24"/>
          <w:szCs w:val="24"/>
          <w:lang w:val="en-CA"/>
        </w:rPr>
      </w:pPr>
      <w:r w:rsidRPr="008965E8">
        <w:rPr>
          <w:rFonts w:ascii="Times New Roman" w:hAnsi="Times New Roman" w:cs="Times New Roman"/>
          <w:color w:val="000000"/>
          <w:sz w:val="24"/>
          <w:szCs w:val="24"/>
          <w:lang w:val="en-CA"/>
        </w:rPr>
        <w:t>All the analytical parameters were evaluated as in Puscasu et al</w:t>
      </w:r>
      <w:r>
        <w:rPr>
          <w:rFonts w:ascii="Times New Roman" w:hAnsi="Times New Roman" w:cs="Times New Roman"/>
          <w:noProof/>
          <w:color w:val="000000"/>
          <w:sz w:val="24"/>
          <w:szCs w:val="24"/>
          <w:lang w:val="en-CA"/>
        </w:rPr>
        <w:t>(Puscasu et al. 2015)</w:t>
      </w:r>
      <w:r w:rsidRPr="008965E8">
        <w:rPr>
          <w:rFonts w:ascii="Times New Roman" w:hAnsi="Times New Roman" w:cs="Times New Roman"/>
          <w:color w:val="000000"/>
          <w:sz w:val="24"/>
          <w:szCs w:val="24"/>
          <w:lang w:val="en-CA"/>
        </w:rPr>
        <w:t>.  As can be seen in Table S2, the analytical performances are in the same range as those obtained when the CIP10/MP evaluation for MDI was performed</w:t>
      </w:r>
      <w:r>
        <w:rPr>
          <w:rFonts w:ascii="Times New Roman" w:hAnsi="Times New Roman" w:cs="Times New Roman"/>
          <w:noProof/>
          <w:color w:val="000000"/>
          <w:sz w:val="24"/>
          <w:szCs w:val="24"/>
          <w:lang w:val="en-CA"/>
        </w:rPr>
        <w:t>(Puscasu et al. 2015)</w:t>
      </w:r>
      <w:r w:rsidRPr="008965E8">
        <w:rPr>
          <w:rFonts w:ascii="Times New Roman" w:hAnsi="Times New Roman" w:cs="Times New Roman"/>
          <w:color w:val="000000"/>
          <w:sz w:val="24"/>
          <w:szCs w:val="24"/>
          <w:lang w:val="en-CA"/>
        </w:rPr>
        <w:t>.  In addition, as was done with CIP10/MP with MDI, sample loss was evaluated for CIP10/MP with TDI.  Known free 2,4- and 2,6-TDI concentrations were spiked in the CIP10/MP in duplicate and the CIP10 was operated as it would be during a</w:t>
      </w:r>
      <w:r w:rsidRPr="006E0914">
        <w:rPr>
          <w:rFonts w:ascii="Times New Roman" w:hAnsi="Times New Roman" w:cs="Times New Roman"/>
          <w:color w:val="000000"/>
          <w:sz w:val="24"/>
          <w:szCs w:val="24"/>
          <w:lang w:val="en-CA"/>
        </w:rPr>
        <w:t xml:space="preserve"> normal </w:t>
      </w:r>
      <w:r w:rsidRPr="006E0914">
        <w:rPr>
          <w:rFonts w:ascii="Times New Roman" w:hAnsi="Times New Roman" w:cs="Times New Roman"/>
          <w:color w:val="000000"/>
          <w:sz w:val="24"/>
          <w:szCs w:val="24"/>
          <w:lang w:val="en-CA"/>
        </w:rPr>
        <w:lastRenderedPageBreak/>
        <w:t>sampling period.  No loss of TDI derivatives was observed after 1h. These performances were judged satisfactory to conduct formal air sampling evaluation with this approach.</w:t>
      </w:r>
    </w:p>
    <w:p w:rsidR="002B443B" w:rsidRDefault="002B443B" w:rsidP="002B443B">
      <w:pPr>
        <w:spacing w:line="480" w:lineRule="auto"/>
        <w:rPr>
          <w:rFonts w:ascii="Times New Roman" w:hAnsi="Times New Roman" w:cs="Times New Roman"/>
          <w:color w:val="000000"/>
          <w:sz w:val="24"/>
          <w:szCs w:val="24"/>
          <w:lang w:val="en-CA"/>
        </w:rPr>
      </w:pPr>
    </w:p>
    <w:p w:rsidR="003229A6" w:rsidRPr="003A27C0" w:rsidRDefault="003229A6" w:rsidP="002B443B">
      <w:pPr>
        <w:spacing w:line="480" w:lineRule="auto"/>
        <w:rPr>
          <w:rFonts w:ascii="Times New Roman" w:hAnsi="Times New Roman" w:cs="Times New Roman"/>
          <w:sz w:val="24"/>
          <w:szCs w:val="24"/>
          <w:lang w:val="en-CA"/>
        </w:rPr>
      </w:pPr>
      <w:r w:rsidRPr="003A27C0">
        <w:rPr>
          <w:rFonts w:ascii="Times New Roman" w:hAnsi="Times New Roman" w:cs="Times New Roman"/>
          <w:b/>
          <w:sz w:val="24"/>
          <w:szCs w:val="24"/>
          <w:lang w:val="en-CA"/>
        </w:rPr>
        <w:t xml:space="preserve">Table </w:t>
      </w:r>
      <w:r>
        <w:rPr>
          <w:rFonts w:ascii="Times New Roman" w:hAnsi="Times New Roman" w:cs="Times New Roman"/>
          <w:b/>
          <w:sz w:val="24"/>
          <w:szCs w:val="24"/>
          <w:lang w:val="en-CA"/>
        </w:rPr>
        <w:t>S2</w:t>
      </w:r>
      <w:r w:rsidRPr="003A27C0">
        <w:rPr>
          <w:rFonts w:ascii="Times New Roman" w:hAnsi="Times New Roman" w:cs="Times New Roman"/>
          <w:b/>
          <w:sz w:val="24"/>
          <w:szCs w:val="24"/>
          <w:lang w:val="en-CA"/>
        </w:rPr>
        <w:t>.</w:t>
      </w:r>
      <w:r w:rsidRPr="003A27C0">
        <w:rPr>
          <w:rFonts w:ascii="Times New Roman" w:hAnsi="Times New Roman" w:cs="Times New Roman"/>
          <w:sz w:val="24"/>
          <w:szCs w:val="24"/>
          <w:lang w:val="en-CA"/>
        </w:rPr>
        <w:t xml:space="preserve"> Analytical performances of TDI CIP10/MP</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1566"/>
        <w:gridCol w:w="1843"/>
      </w:tblGrid>
      <w:tr w:rsidR="003229A6" w:rsidRPr="003A27C0" w:rsidTr="00262CAB">
        <w:trPr>
          <w:trHeight w:val="397"/>
        </w:trPr>
        <w:tc>
          <w:tcPr>
            <w:tcW w:w="3275" w:type="dxa"/>
            <w:tcBorders>
              <w:bottom w:val="dotted" w:sz="4" w:space="0" w:color="auto"/>
            </w:tcBorders>
          </w:tcPr>
          <w:p w:rsidR="003229A6" w:rsidRPr="003A27C0" w:rsidRDefault="003229A6" w:rsidP="003A27C0">
            <w:pPr>
              <w:jc w:val="center"/>
              <w:rPr>
                <w:rFonts w:ascii="Times New Roman" w:hAnsi="Times New Roman" w:cs="Times New Roman"/>
                <w:b/>
                <w:lang w:val="en-CA"/>
              </w:rPr>
            </w:pPr>
            <w:r w:rsidRPr="003A27C0">
              <w:rPr>
                <w:rFonts w:ascii="Times New Roman" w:hAnsi="Times New Roman" w:cs="Times New Roman"/>
                <w:b/>
                <w:lang w:val="en-CA"/>
              </w:rPr>
              <w:t>Analytical parameters</w:t>
            </w:r>
          </w:p>
        </w:tc>
        <w:tc>
          <w:tcPr>
            <w:tcW w:w="1566" w:type="dxa"/>
            <w:tcBorders>
              <w:bottom w:val="dotted" w:sz="4" w:space="0" w:color="auto"/>
            </w:tcBorders>
          </w:tcPr>
          <w:p w:rsidR="003229A6" w:rsidRPr="003A27C0" w:rsidRDefault="003229A6" w:rsidP="003A27C0">
            <w:pPr>
              <w:jc w:val="center"/>
              <w:rPr>
                <w:rFonts w:ascii="Times New Roman" w:hAnsi="Times New Roman" w:cs="Times New Roman"/>
                <w:b/>
                <w:lang w:val="en-CA"/>
              </w:rPr>
            </w:pPr>
            <w:r w:rsidRPr="003A27C0">
              <w:rPr>
                <w:rFonts w:ascii="Times New Roman" w:hAnsi="Times New Roman" w:cs="Times New Roman"/>
                <w:b/>
                <w:lang w:val="en-CA"/>
              </w:rPr>
              <w:t>2,4TDI</w:t>
            </w:r>
          </w:p>
        </w:tc>
        <w:tc>
          <w:tcPr>
            <w:tcW w:w="1843" w:type="dxa"/>
            <w:tcBorders>
              <w:bottom w:val="dotted" w:sz="4" w:space="0" w:color="auto"/>
            </w:tcBorders>
          </w:tcPr>
          <w:p w:rsidR="003229A6" w:rsidRPr="003A27C0" w:rsidRDefault="003229A6" w:rsidP="003A27C0">
            <w:pPr>
              <w:jc w:val="center"/>
              <w:rPr>
                <w:rFonts w:ascii="Times New Roman" w:hAnsi="Times New Roman" w:cs="Times New Roman"/>
                <w:b/>
                <w:lang w:val="en-CA"/>
              </w:rPr>
            </w:pPr>
            <w:r w:rsidRPr="003A27C0">
              <w:rPr>
                <w:rFonts w:ascii="Times New Roman" w:hAnsi="Times New Roman" w:cs="Times New Roman"/>
                <w:b/>
                <w:lang w:val="en-CA"/>
              </w:rPr>
              <w:t>2,6TDI</w:t>
            </w:r>
          </w:p>
        </w:tc>
      </w:tr>
      <w:tr w:rsidR="003229A6" w:rsidRPr="003A27C0" w:rsidTr="00262CAB">
        <w:trPr>
          <w:trHeight w:val="397"/>
        </w:trPr>
        <w:tc>
          <w:tcPr>
            <w:tcW w:w="3275" w:type="dxa"/>
            <w:tcBorders>
              <w:top w:val="dotted" w:sz="4" w:space="0" w:color="auto"/>
            </w:tcBorders>
            <w:vAlign w:val="center"/>
          </w:tcPr>
          <w:p w:rsidR="003229A6" w:rsidRPr="003A27C0" w:rsidRDefault="003229A6" w:rsidP="003A27C0">
            <w:pPr>
              <w:rPr>
                <w:rFonts w:ascii="Times New Roman" w:hAnsi="Times New Roman" w:cs="Times New Roman"/>
                <w:lang w:val="en-CA"/>
              </w:rPr>
            </w:pPr>
            <w:r w:rsidRPr="003A27C0">
              <w:rPr>
                <w:rFonts w:ascii="Times New Roman" w:hAnsi="Times New Roman" w:cs="Times New Roman"/>
                <w:lang w:val="en-CA"/>
              </w:rPr>
              <w:t>Estimated LOD (µg/sample)</w:t>
            </w:r>
          </w:p>
        </w:tc>
        <w:tc>
          <w:tcPr>
            <w:tcW w:w="1566" w:type="dxa"/>
            <w:tcBorders>
              <w:top w:val="dotted" w:sz="4" w:space="0" w:color="auto"/>
            </w:tcBorders>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0.008</w:t>
            </w:r>
          </w:p>
        </w:tc>
        <w:tc>
          <w:tcPr>
            <w:tcW w:w="1843" w:type="dxa"/>
            <w:tcBorders>
              <w:top w:val="dotted" w:sz="4" w:space="0" w:color="auto"/>
            </w:tcBorders>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0.008</w:t>
            </w:r>
          </w:p>
        </w:tc>
      </w:tr>
      <w:tr w:rsidR="003229A6" w:rsidRPr="003A27C0" w:rsidTr="00262CAB">
        <w:trPr>
          <w:trHeight w:val="397"/>
        </w:trPr>
        <w:tc>
          <w:tcPr>
            <w:tcW w:w="3275" w:type="dxa"/>
            <w:vAlign w:val="center"/>
          </w:tcPr>
          <w:p w:rsidR="003229A6" w:rsidRPr="003A27C0" w:rsidRDefault="003229A6" w:rsidP="003A27C0">
            <w:pPr>
              <w:rPr>
                <w:rFonts w:ascii="Times New Roman" w:hAnsi="Times New Roman" w:cs="Times New Roman"/>
                <w:lang w:val="en-CA"/>
              </w:rPr>
            </w:pPr>
            <w:r w:rsidRPr="003A27C0">
              <w:rPr>
                <w:rFonts w:ascii="Times New Roman" w:hAnsi="Times New Roman" w:cs="Times New Roman"/>
                <w:lang w:val="en-CA"/>
              </w:rPr>
              <w:t>Estimated LOQ (µg/sample)</w:t>
            </w:r>
          </w:p>
        </w:tc>
        <w:tc>
          <w:tcPr>
            <w:tcW w:w="1566"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0.026</w:t>
            </w:r>
          </w:p>
        </w:tc>
        <w:tc>
          <w:tcPr>
            <w:tcW w:w="1843"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0.026</w:t>
            </w:r>
          </w:p>
        </w:tc>
      </w:tr>
      <w:tr w:rsidR="003229A6" w:rsidRPr="003A27C0" w:rsidTr="00262CAB">
        <w:trPr>
          <w:trHeight w:val="397"/>
        </w:trPr>
        <w:tc>
          <w:tcPr>
            <w:tcW w:w="3275" w:type="dxa"/>
            <w:vAlign w:val="center"/>
          </w:tcPr>
          <w:p w:rsidR="003229A6" w:rsidRPr="003A27C0" w:rsidRDefault="003229A6" w:rsidP="003A27C0">
            <w:pPr>
              <w:rPr>
                <w:rFonts w:ascii="Times New Roman" w:hAnsi="Times New Roman" w:cs="Times New Roman"/>
                <w:lang w:val="en-CA"/>
              </w:rPr>
            </w:pPr>
            <w:r w:rsidRPr="003A27C0">
              <w:rPr>
                <w:rFonts w:ascii="Times New Roman" w:hAnsi="Times New Roman" w:cs="Times New Roman"/>
                <w:lang w:val="en-CA"/>
              </w:rPr>
              <w:t>Dynamic range (µg/mL)</w:t>
            </w:r>
          </w:p>
        </w:tc>
        <w:tc>
          <w:tcPr>
            <w:tcW w:w="1566"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0.025 – 0.490</w:t>
            </w:r>
          </w:p>
        </w:tc>
        <w:tc>
          <w:tcPr>
            <w:tcW w:w="1843"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0.025 – 0.490</w:t>
            </w:r>
          </w:p>
        </w:tc>
      </w:tr>
      <w:tr w:rsidR="003229A6" w:rsidRPr="003A27C0" w:rsidTr="00262CAB">
        <w:trPr>
          <w:trHeight w:val="397"/>
        </w:trPr>
        <w:tc>
          <w:tcPr>
            <w:tcW w:w="3275" w:type="dxa"/>
            <w:vAlign w:val="center"/>
          </w:tcPr>
          <w:p w:rsidR="003229A6" w:rsidRPr="003A27C0" w:rsidRDefault="003229A6" w:rsidP="003A27C0">
            <w:pPr>
              <w:rPr>
                <w:rFonts w:ascii="Times New Roman" w:hAnsi="Times New Roman" w:cs="Times New Roman"/>
                <w:lang w:val="en-CA"/>
              </w:rPr>
            </w:pPr>
            <w:r w:rsidRPr="003A27C0">
              <w:rPr>
                <w:rFonts w:ascii="Times New Roman" w:hAnsi="Times New Roman" w:cs="Times New Roman"/>
                <w:lang w:val="en-CA"/>
              </w:rPr>
              <w:t>R</w:t>
            </w:r>
            <w:r w:rsidRPr="003A27C0">
              <w:rPr>
                <w:rFonts w:ascii="Times New Roman" w:hAnsi="Times New Roman" w:cs="Times New Roman"/>
                <w:vertAlign w:val="superscript"/>
                <w:lang w:val="en-CA"/>
              </w:rPr>
              <w:t>2</w:t>
            </w:r>
          </w:p>
        </w:tc>
        <w:tc>
          <w:tcPr>
            <w:tcW w:w="1566"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&gt;0.990</w:t>
            </w:r>
          </w:p>
        </w:tc>
        <w:tc>
          <w:tcPr>
            <w:tcW w:w="1843"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&gt;0.990</w:t>
            </w:r>
          </w:p>
        </w:tc>
      </w:tr>
      <w:tr w:rsidR="003229A6" w:rsidRPr="003A27C0" w:rsidTr="00262CAB">
        <w:trPr>
          <w:trHeight w:val="397"/>
        </w:trPr>
        <w:tc>
          <w:tcPr>
            <w:tcW w:w="3275" w:type="dxa"/>
            <w:vAlign w:val="center"/>
          </w:tcPr>
          <w:p w:rsidR="003229A6" w:rsidRPr="003A27C0" w:rsidRDefault="003229A6" w:rsidP="003A27C0">
            <w:pPr>
              <w:rPr>
                <w:rFonts w:ascii="Times New Roman" w:hAnsi="Times New Roman" w:cs="Times New Roman"/>
                <w:lang w:val="en-CA"/>
              </w:rPr>
            </w:pPr>
            <w:r w:rsidRPr="003A27C0">
              <w:rPr>
                <w:rFonts w:ascii="Times New Roman" w:hAnsi="Times New Roman" w:cs="Times New Roman"/>
                <w:lang w:val="en-CA"/>
              </w:rPr>
              <w:t>Intra-day precision (%)</w:t>
            </w:r>
          </w:p>
        </w:tc>
        <w:tc>
          <w:tcPr>
            <w:tcW w:w="1566"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1</w:t>
            </w:r>
          </w:p>
        </w:tc>
        <w:tc>
          <w:tcPr>
            <w:tcW w:w="1843"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1</w:t>
            </w:r>
          </w:p>
        </w:tc>
      </w:tr>
      <w:tr w:rsidR="003229A6" w:rsidRPr="003A27C0" w:rsidTr="00262CAB">
        <w:trPr>
          <w:trHeight w:val="397"/>
        </w:trPr>
        <w:tc>
          <w:tcPr>
            <w:tcW w:w="3275" w:type="dxa"/>
            <w:vAlign w:val="center"/>
          </w:tcPr>
          <w:p w:rsidR="003229A6" w:rsidRPr="003A27C0" w:rsidRDefault="003229A6" w:rsidP="003A27C0">
            <w:pPr>
              <w:rPr>
                <w:rFonts w:ascii="Times New Roman" w:hAnsi="Times New Roman" w:cs="Times New Roman"/>
                <w:lang w:val="en-CA"/>
              </w:rPr>
            </w:pPr>
            <w:r w:rsidRPr="003A27C0">
              <w:rPr>
                <w:rFonts w:ascii="Times New Roman" w:hAnsi="Times New Roman" w:cs="Times New Roman"/>
                <w:lang w:val="en-CA"/>
              </w:rPr>
              <w:t>Inter-day precision (%)</w:t>
            </w:r>
          </w:p>
        </w:tc>
        <w:tc>
          <w:tcPr>
            <w:tcW w:w="1566"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2</w:t>
            </w:r>
          </w:p>
        </w:tc>
        <w:tc>
          <w:tcPr>
            <w:tcW w:w="1843"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1</w:t>
            </w:r>
          </w:p>
        </w:tc>
      </w:tr>
      <w:tr w:rsidR="003229A6" w:rsidRPr="003A27C0" w:rsidTr="00262CAB">
        <w:trPr>
          <w:trHeight w:val="397"/>
        </w:trPr>
        <w:tc>
          <w:tcPr>
            <w:tcW w:w="3275" w:type="dxa"/>
            <w:vAlign w:val="center"/>
          </w:tcPr>
          <w:p w:rsidR="003229A6" w:rsidRPr="003A27C0" w:rsidRDefault="003229A6" w:rsidP="003A27C0">
            <w:pPr>
              <w:rPr>
                <w:rFonts w:ascii="Times New Roman" w:hAnsi="Times New Roman" w:cs="Times New Roman"/>
                <w:lang w:val="en-CA"/>
              </w:rPr>
            </w:pPr>
            <w:r w:rsidRPr="003A27C0">
              <w:rPr>
                <w:rFonts w:ascii="Times New Roman" w:hAnsi="Times New Roman" w:cs="Times New Roman"/>
                <w:lang w:val="en-CA"/>
              </w:rPr>
              <w:t>Accuracy (%)</w:t>
            </w:r>
          </w:p>
        </w:tc>
        <w:tc>
          <w:tcPr>
            <w:tcW w:w="1566"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95 ± 5</w:t>
            </w:r>
          </w:p>
        </w:tc>
        <w:tc>
          <w:tcPr>
            <w:tcW w:w="1843" w:type="dxa"/>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100 ± 0.2</w:t>
            </w:r>
          </w:p>
        </w:tc>
      </w:tr>
      <w:tr w:rsidR="003229A6" w:rsidRPr="003A27C0" w:rsidTr="00262CAB">
        <w:trPr>
          <w:trHeight w:val="397"/>
        </w:trPr>
        <w:tc>
          <w:tcPr>
            <w:tcW w:w="3275" w:type="dxa"/>
            <w:tcBorders>
              <w:bottom w:val="dotted" w:sz="4" w:space="0" w:color="auto"/>
            </w:tcBorders>
            <w:vAlign w:val="center"/>
          </w:tcPr>
          <w:p w:rsidR="003229A6" w:rsidRPr="003A27C0" w:rsidRDefault="003229A6" w:rsidP="003A27C0">
            <w:pPr>
              <w:rPr>
                <w:rFonts w:ascii="Times New Roman" w:hAnsi="Times New Roman" w:cs="Times New Roman"/>
                <w:lang w:val="en-CA"/>
              </w:rPr>
            </w:pPr>
            <w:r w:rsidRPr="003A27C0">
              <w:rPr>
                <w:rFonts w:ascii="Times New Roman" w:hAnsi="Times New Roman" w:cs="Times New Roman"/>
                <w:lang w:val="en-CA"/>
              </w:rPr>
              <w:t>Recovery and matrix effect (%)</w:t>
            </w:r>
          </w:p>
        </w:tc>
        <w:tc>
          <w:tcPr>
            <w:tcW w:w="1566" w:type="dxa"/>
            <w:tcBorders>
              <w:bottom w:val="dotted" w:sz="4" w:space="0" w:color="auto"/>
            </w:tcBorders>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101 ± 7</w:t>
            </w:r>
          </w:p>
        </w:tc>
        <w:tc>
          <w:tcPr>
            <w:tcW w:w="1843" w:type="dxa"/>
            <w:tcBorders>
              <w:bottom w:val="dotted" w:sz="4" w:space="0" w:color="auto"/>
            </w:tcBorders>
            <w:vAlign w:val="center"/>
          </w:tcPr>
          <w:p w:rsidR="003229A6" w:rsidRPr="003A27C0" w:rsidRDefault="003229A6" w:rsidP="003A27C0">
            <w:pPr>
              <w:jc w:val="center"/>
              <w:rPr>
                <w:rFonts w:ascii="Times New Roman" w:hAnsi="Times New Roman" w:cs="Times New Roman"/>
                <w:lang w:val="en-CA"/>
              </w:rPr>
            </w:pPr>
            <w:r w:rsidRPr="003A27C0">
              <w:rPr>
                <w:rFonts w:ascii="Times New Roman" w:hAnsi="Times New Roman" w:cs="Times New Roman"/>
                <w:lang w:val="en-CA"/>
              </w:rPr>
              <w:t>95 ± 12</w:t>
            </w:r>
          </w:p>
        </w:tc>
      </w:tr>
      <w:tr w:rsidR="003229A6" w:rsidRPr="00D36AD8" w:rsidTr="00262CAB">
        <w:trPr>
          <w:trHeight w:val="397"/>
        </w:trPr>
        <w:tc>
          <w:tcPr>
            <w:tcW w:w="6684" w:type="dxa"/>
            <w:gridSpan w:val="3"/>
            <w:tcBorders>
              <w:top w:val="dotted" w:sz="4" w:space="0" w:color="auto"/>
            </w:tcBorders>
            <w:vAlign w:val="center"/>
          </w:tcPr>
          <w:p w:rsidR="003229A6" w:rsidRPr="003A27C0" w:rsidRDefault="003229A6" w:rsidP="003A27C0">
            <w:pPr>
              <w:rPr>
                <w:rFonts w:ascii="Times New Roman" w:hAnsi="Times New Roman" w:cs="Times New Roman"/>
                <w:sz w:val="18"/>
                <w:lang w:val="en-CA"/>
              </w:rPr>
            </w:pPr>
            <w:r w:rsidRPr="003A27C0">
              <w:rPr>
                <w:rFonts w:ascii="Times New Roman" w:hAnsi="Times New Roman" w:cs="Times New Roman"/>
                <w:sz w:val="18"/>
                <w:lang w:val="en-CA"/>
              </w:rPr>
              <w:t>LOD: limit of detection, LOQ: limit of quantification</w:t>
            </w:r>
          </w:p>
        </w:tc>
      </w:tr>
    </w:tbl>
    <w:p w:rsidR="003229A6" w:rsidRDefault="003229A6" w:rsidP="006E0914">
      <w:pPr>
        <w:spacing w:line="480" w:lineRule="auto"/>
        <w:rPr>
          <w:rFonts w:ascii="Times New Roman" w:hAnsi="Times New Roman" w:cs="Times New Roman"/>
          <w:color w:val="000000"/>
          <w:sz w:val="24"/>
          <w:szCs w:val="24"/>
          <w:lang w:val="en-CA"/>
        </w:rPr>
      </w:pPr>
    </w:p>
    <w:p w:rsidR="003229A6" w:rsidRDefault="003229A6" w:rsidP="006E0914">
      <w:pPr>
        <w:spacing w:line="48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The mass spectrometer parameters used to analyzed primidone are presented in table S3. P</w:t>
      </w:r>
      <w:r w:rsidRPr="006E0914">
        <w:rPr>
          <w:rFonts w:ascii="Times New Roman" w:hAnsi="Times New Roman" w:cs="Times New Roman"/>
          <w:color w:val="000000"/>
          <w:sz w:val="24"/>
          <w:szCs w:val="24"/>
          <w:lang w:val="en-CA"/>
        </w:rPr>
        <w:t>erimidone recover</w:t>
      </w:r>
      <w:r>
        <w:rPr>
          <w:rFonts w:ascii="Times New Roman" w:hAnsi="Times New Roman" w:cs="Times New Roman"/>
          <w:color w:val="000000"/>
          <w:sz w:val="24"/>
          <w:szCs w:val="24"/>
          <w:lang w:val="en-CA"/>
        </w:rPr>
        <w:t>y was determined by</w:t>
      </w:r>
      <w:r w:rsidRPr="006E0914">
        <w:rPr>
          <w:rFonts w:ascii="Times New Roman" w:hAnsi="Times New Roman" w:cs="Times New Roman"/>
          <w:color w:val="000000"/>
          <w:sz w:val="24"/>
          <w:szCs w:val="24"/>
          <w:lang w:val="en-CA"/>
        </w:rPr>
        <w:t xml:space="preserve"> spik</w:t>
      </w:r>
      <w:r>
        <w:rPr>
          <w:rFonts w:ascii="Times New Roman" w:hAnsi="Times New Roman" w:cs="Times New Roman"/>
          <w:color w:val="000000"/>
          <w:sz w:val="24"/>
          <w:szCs w:val="24"/>
          <w:lang w:val="en-CA"/>
        </w:rPr>
        <w:t>ing</w:t>
      </w:r>
      <w:r w:rsidRPr="006E0914">
        <w:rPr>
          <w:rFonts w:ascii="Times New Roman" w:hAnsi="Times New Roman" w:cs="Times New Roman"/>
          <w:color w:val="000000"/>
          <w:sz w:val="24"/>
          <w:szCs w:val="24"/>
          <w:lang w:val="en-CA"/>
        </w:rPr>
        <w:t xml:space="preserve"> known concentrations of 2,4- and 2,6-TDI</w:t>
      </w:r>
      <w:r>
        <w:rPr>
          <w:rFonts w:ascii="Times New Roman" w:hAnsi="Times New Roman" w:cs="Times New Roman"/>
          <w:color w:val="000000"/>
          <w:sz w:val="24"/>
          <w:szCs w:val="24"/>
          <w:lang w:val="en-CA"/>
        </w:rPr>
        <w:t xml:space="preserve"> on DAN impregnated filter (Table S4)</w:t>
      </w:r>
      <w:r w:rsidRPr="006E0914">
        <w:rPr>
          <w:rFonts w:ascii="Times New Roman" w:hAnsi="Times New Roman" w:cs="Times New Roman"/>
          <w:color w:val="000000"/>
          <w:sz w:val="24"/>
          <w:szCs w:val="24"/>
          <w:lang w:val="en-CA"/>
        </w:rPr>
        <w:t>.  Each spiked filter had sufficient time to dry at room temperature in order to simulate the filter desorption of an air collection.  Spiked filters provide a good estimation of the recovery, but do not replace a formal air sampling comparison. The recovery was judged reasonable and the evaluation was continued.  No correction of the measured values in the field was done as it would have had a minimal impact on the measured concentration</w:t>
      </w:r>
      <w:r>
        <w:rPr>
          <w:rFonts w:ascii="Times New Roman" w:hAnsi="Times New Roman" w:cs="Times New Roman"/>
          <w:color w:val="000000"/>
          <w:sz w:val="24"/>
          <w:szCs w:val="24"/>
          <w:lang w:val="en-CA"/>
        </w:rPr>
        <w:t>.</w:t>
      </w:r>
    </w:p>
    <w:p w:rsidR="003229A6" w:rsidRDefault="003229A6">
      <w:pP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br w:type="page"/>
      </w:r>
    </w:p>
    <w:p w:rsidR="003229A6" w:rsidRDefault="003229A6" w:rsidP="004076BE">
      <w:pPr>
        <w:rPr>
          <w:rFonts w:ascii="Times New Roman" w:hAnsi="Times New Roman" w:cs="Times New Roman"/>
          <w:sz w:val="24"/>
          <w:szCs w:val="24"/>
          <w:lang w:val="en-CA"/>
        </w:rPr>
      </w:pPr>
      <w:r>
        <w:rPr>
          <w:rFonts w:ascii="Times New Roman" w:hAnsi="Times New Roman" w:cs="Times New Roman"/>
          <w:b/>
          <w:sz w:val="24"/>
          <w:szCs w:val="24"/>
          <w:lang w:val="en-CA"/>
        </w:rPr>
        <w:lastRenderedPageBreak/>
        <w:t>Table S3</w:t>
      </w:r>
      <w:r w:rsidRPr="00295A1D">
        <w:rPr>
          <w:rFonts w:ascii="Times New Roman" w:hAnsi="Times New Roman" w:cs="Times New Roman"/>
          <w:b/>
          <w:sz w:val="24"/>
          <w:szCs w:val="24"/>
          <w:lang w:val="en-CA"/>
        </w:rPr>
        <w:t>.</w:t>
      </w:r>
      <w:r>
        <w:rPr>
          <w:rFonts w:ascii="Times New Roman" w:hAnsi="Times New Roman" w:cs="Times New Roman"/>
          <w:sz w:val="24"/>
          <w:szCs w:val="24"/>
          <w:lang w:val="en-CA"/>
        </w:rPr>
        <w:t xml:space="preserve"> MS analytical parameters for Perimidone (DAN method)</w:t>
      </w:r>
    </w:p>
    <w:tbl>
      <w:tblPr>
        <w:tblStyle w:val="Grilledutableau2"/>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2"/>
      </w:tblGrid>
      <w:tr w:rsidR="003229A6" w:rsidRPr="00E21BA5" w:rsidTr="00262CAB">
        <w:trPr>
          <w:trHeight w:val="667"/>
        </w:trPr>
        <w:tc>
          <w:tcPr>
            <w:tcW w:w="2551" w:type="dxa"/>
            <w:tcBorders>
              <w:bottom w:val="dotted" w:sz="4" w:space="0" w:color="auto"/>
            </w:tcBorders>
            <w:shd w:val="clear" w:color="auto" w:fill="auto"/>
          </w:tcPr>
          <w:p w:rsidR="003229A6" w:rsidRPr="00C95F20" w:rsidRDefault="003229A6" w:rsidP="00262CAB">
            <w:pPr>
              <w:spacing w:after="0"/>
              <w:jc w:val="both"/>
              <w:rPr>
                <w:rFonts w:ascii="Times New Roman" w:hAnsi="Times New Roman" w:cs="Times New Roman"/>
                <w:b/>
                <w:sz w:val="20"/>
                <w:lang w:val="en-CA"/>
              </w:rPr>
            </w:pPr>
            <w:r w:rsidRPr="00C95F20">
              <w:rPr>
                <w:rFonts w:ascii="Times New Roman" w:hAnsi="Times New Roman" w:cs="Times New Roman"/>
                <w:b/>
                <w:sz w:val="20"/>
                <w:lang w:val="en-CA"/>
              </w:rPr>
              <w:t>Substance</w:t>
            </w:r>
          </w:p>
        </w:tc>
        <w:tc>
          <w:tcPr>
            <w:tcW w:w="2551" w:type="dxa"/>
            <w:tcBorders>
              <w:bottom w:val="dotted" w:sz="4" w:space="0" w:color="auto"/>
            </w:tcBorders>
            <w:shd w:val="clear" w:color="auto" w:fill="auto"/>
          </w:tcPr>
          <w:p w:rsidR="003229A6" w:rsidRPr="00C95F20" w:rsidRDefault="003229A6" w:rsidP="00262CAB">
            <w:pPr>
              <w:spacing w:after="0"/>
              <w:jc w:val="both"/>
              <w:rPr>
                <w:rFonts w:ascii="Times New Roman" w:hAnsi="Times New Roman" w:cs="Times New Roman"/>
                <w:b/>
                <w:sz w:val="20"/>
                <w:lang w:val="en-CA"/>
              </w:rPr>
            </w:pPr>
            <w:r w:rsidRPr="00C95F20">
              <w:rPr>
                <w:rFonts w:ascii="Times New Roman" w:hAnsi="Times New Roman" w:cs="Times New Roman"/>
                <w:b/>
                <w:sz w:val="20"/>
                <w:lang w:val="en-CA"/>
              </w:rPr>
              <w:t xml:space="preserve">Calculated </w:t>
            </w:r>
          </w:p>
          <w:p w:rsidR="003229A6" w:rsidRPr="00C95F20" w:rsidRDefault="003229A6" w:rsidP="00262CAB">
            <w:pPr>
              <w:spacing w:after="0"/>
              <w:jc w:val="both"/>
              <w:rPr>
                <w:rFonts w:ascii="Times New Roman" w:hAnsi="Times New Roman" w:cs="Times New Roman"/>
                <w:b/>
                <w:sz w:val="20"/>
                <w:lang w:val="en-CA"/>
              </w:rPr>
            </w:pPr>
            <w:r w:rsidRPr="00C95F20">
              <w:rPr>
                <w:rFonts w:ascii="Times New Roman" w:hAnsi="Times New Roman" w:cs="Times New Roman"/>
                <w:b/>
                <w:sz w:val="20"/>
                <w:lang w:val="en-CA"/>
              </w:rPr>
              <w:t>[M+H]</w:t>
            </w:r>
            <w:r w:rsidRPr="00C95F20">
              <w:rPr>
                <w:rFonts w:ascii="Times New Roman" w:hAnsi="Times New Roman" w:cs="Times New Roman"/>
                <w:b/>
                <w:sz w:val="20"/>
                <w:vertAlign w:val="superscript"/>
                <w:lang w:val="en-CA"/>
              </w:rPr>
              <w:t>+</w:t>
            </w:r>
          </w:p>
        </w:tc>
        <w:tc>
          <w:tcPr>
            <w:tcW w:w="2552" w:type="dxa"/>
            <w:tcBorders>
              <w:bottom w:val="dotted" w:sz="4" w:space="0" w:color="auto"/>
            </w:tcBorders>
            <w:shd w:val="clear" w:color="auto" w:fill="auto"/>
          </w:tcPr>
          <w:p w:rsidR="003229A6" w:rsidRPr="00C95F20" w:rsidRDefault="003229A6" w:rsidP="00262CAB">
            <w:pPr>
              <w:spacing w:after="0"/>
              <w:jc w:val="center"/>
              <w:rPr>
                <w:rFonts w:ascii="Times New Roman" w:hAnsi="Times New Roman" w:cs="Times New Roman"/>
                <w:b/>
                <w:sz w:val="20"/>
                <w:lang w:val="en-CA"/>
              </w:rPr>
            </w:pPr>
            <w:r w:rsidRPr="00C95F20">
              <w:rPr>
                <w:rFonts w:ascii="Times New Roman" w:hAnsi="Times New Roman" w:cs="Times New Roman"/>
                <w:b/>
                <w:sz w:val="20"/>
                <w:lang w:val="en-CA"/>
              </w:rPr>
              <w:t>MRM transition</w:t>
            </w:r>
          </w:p>
        </w:tc>
      </w:tr>
      <w:tr w:rsidR="003229A6" w:rsidRPr="00E21BA5" w:rsidTr="00262CAB">
        <w:trPr>
          <w:trHeight w:val="539"/>
        </w:trPr>
        <w:tc>
          <w:tcPr>
            <w:tcW w:w="2551" w:type="dxa"/>
            <w:vMerge w:val="restart"/>
            <w:tcBorders>
              <w:top w:val="dotted" w:sz="4" w:space="0" w:color="auto"/>
            </w:tcBorders>
            <w:shd w:val="clear" w:color="auto" w:fill="auto"/>
            <w:vAlign w:val="center"/>
          </w:tcPr>
          <w:p w:rsidR="003229A6" w:rsidRPr="004C016B" w:rsidRDefault="003229A6" w:rsidP="00262CAB">
            <w:pPr>
              <w:rPr>
                <w:rFonts w:ascii="Times New Roman" w:hAnsi="Times New Roman" w:cs="Times New Roman"/>
                <w:sz w:val="20"/>
                <w:lang w:val="en-CA"/>
              </w:rPr>
            </w:pPr>
            <w:r w:rsidRPr="004C016B">
              <w:rPr>
                <w:rFonts w:ascii="Times New Roman" w:hAnsi="Times New Roman" w:cs="Times New Roman"/>
                <w:sz w:val="20"/>
                <w:lang w:val="en-CA"/>
              </w:rPr>
              <w:t>Perimidone</w:t>
            </w:r>
          </w:p>
        </w:tc>
        <w:tc>
          <w:tcPr>
            <w:tcW w:w="2551" w:type="dxa"/>
            <w:vMerge w:val="restart"/>
            <w:tcBorders>
              <w:top w:val="dotted" w:sz="4" w:space="0" w:color="auto"/>
              <w:bottom w:val="dotted" w:sz="4" w:space="0" w:color="auto"/>
            </w:tcBorders>
            <w:shd w:val="clear" w:color="auto" w:fill="auto"/>
            <w:vAlign w:val="center"/>
          </w:tcPr>
          <w:p w:rsidR="003229A6" w:rsidRPr="004C016B" w:rsidRDefault="003229A6" w:rsidP="00262CAB">
            <w:pPr>
              <w:rPr>
                <w:rFonts w:ascii="Times New Roman" w:hAnsi="Times New Roman" w:cs="Times New Roman"/>
                <w:sz w:val="20"/>
                <w:lang w:val="en-CA"/>
              </w:rPr>
            </w:pPr>
            <w:r w:rsidRPr="004C016B">
              <w:rPr>
                <w:rFonts w:ascii="Times New Roman" w:hAnsi="Times New Roman" w:cs="Times New Roman"/>
                <w:sz w:val="20"/>
                <w:lang w:val="en-CA"/>
              </w:rPr>
              <w:t>185</w:t>
            </w:r>
          </w:p>
        </w:tc>
        <w:tc>
          <w:tcPr>
            <w:tcW w:w="2552" w:type="dxa"/>
            <w:tcBorders>
              <w:top w:val="dotted" w:sz="4" w:space="0" w:color="auto"/>
            </w:tcBorders>
            <w:shd w:val="clear" w:color="auto" w:fill="auto"/>
            <w:vAlign w:val="center"/>
          </w:tcPr>
          <w:p w:rsidR="003229A6" w:rsidRPr="004C016B" w:rsidRDefault="003229A6" w:rsidP="00262CAB">
            <w:pPr>
              <w:jc w:val="center"/>
              <w:rPr>
                <w:rFonts w:ascii="Times New Roman" w:hAnsi="Times New Roman" w:cs="Times New Roman"/>
                <w:sz w:val="20"/>
                <w:lang w:val="en-CA"/>
              </w:rPr>
            </w:pPr>
            <w:r w:rsidRPr="004C016B">
              <w:rPr>
                <w:rFonts w:ascii="Times New Roman" w:hAnsi="Times New Roman" w:cs="Times New Roman"/>
                <w:sz w:val="20"/>
                <w:lang w:val="en-CA"/>
              </w:rPr>
              <w:t>185 - 115</w:t>
            </w:r>
          </w:p>
        </w:tc>
      </w:tr>
      <w:tr w:rsidR="003229A6" w:rsidRPr="00E21BA5" w:rsidTr="00262CAB">
        <w:trPr>
          <w:trHeight w:val="301"/>
        </w:trPr>
        <w:tc>
          <w:tcPr>
            <w:tcW w:w="2551" w:type="dxa"/>
            <w:vMerge/>
            <w:shd w:val="clear" w:color="auto" w:fill="auto"/>
            <w:vAlign w:val="center"/>
          </w:tcPr>
          <w:p w:rsidR="003229A6" w:rsidRPr="004C016B" w:rsidRDefault="003229A6" w:rsidP="00262CAB">
            <w:pPr>
              <w:rPr>
                <w:rFonts w:ascii="Times New Roman" w:hAnsi="Times New Roman" w:cs="Times New Roman"/>
                <w:sz w:val="20"/>
              </w:rPr>
            </w:pPr>
          </w:p>
        </w:tc>
        <w:tc>
          <w:tcPr>
            <w:tcW w:w="2551" w:type="dxa"/>
            <w:vMerge/>
            <w:tcBorders>
              <w:bottom w:val="dotted" w:sz="4" w:space="0" w:color="auto"/>
            </w:tcBorders>
            <w:shd w:val="clear" w:color="auto" w:fill="auto"/>
            <w:vAlign w:val="center"/>
          </w:tcPr>
          <w:p w:rsidR="003229A6" w:rsidRPr="004C016B" w:rsidRDefault="003229A6" w:rsidP="00262CAB">
            <w:pPr>
              <w:rPr>
                <w:rFonts w:ascii="Times New Roman" w:hAnsi="Times New Roman" w:cs="Times New Roman"/>
                <w:sz w:val="20"/>
              </w:rPr>
            </w:pPr>
          </w:p>
        </w:tc>
        <w:tc>
          <w:tcPr>
            <w:tcW w:w="2552" w:type="dxa"/>
            <w:tcBorders>
              <w:bottom w:val="dotted" w:sz="4" w:space="0" w:color="auto"/>
            </w:tcBorders>
            <w:shd w:val="clear" w:color="auto" w:fill="auto"/>
            <w:vAlign w:val="center"/>
          </w:tcPr>
          <w:p w:rsidR="003229A6" w:rsidRPr="004C016B" w:rsidRDefault="003229A6" w:rsidP="00262CAB">
            <w:pPr>
              <w:jc w:val="center"/>
              <w:rPr>
                <w:rFonts w:ascii="Times New Roman" w:hAnsi="Times New Roman" w:cs="Times New Roman"/>
                <w:sz w:val="20"/>
                <w:lang w:val="en-CA"/>
              </w:rPr>
            </w:pPr>
            <w:r w:rsidRPr="004C016B">
              <w:rPr>
                <w:rFonts w:ascii="Times New Roman" w:hAnsi="Times New Roman" w:cs="Times New Roman"/>
                <w:sz w:val="20"/>
                <w:lang w:val="en-CA"/>
              </w:rPr>
              <w:t>185 - 130</w:t>
            </w:r>
          </w:p>
        </w:tc>
      </w:tr>
      <w:tr w:rsidR="003229A6" w:rsidRPr="00E21BA5" w:rsidTr="00262CAB">
        <w:trPr>
          <w:trHeight w:val="477"/>
        </w:trPr>
        <w:tc>
          <w:tcPr>
            <w:tcW w:w="2551" w:type="dxa"/>
            <w:vMerge w:val="restart"/>
            <w:tcBorders>
              <w:bottom w:val="dotted" w:sz="4" w:space="0" w:color="auto"/>
            </w:tcBorders>
            <w:shd w:val="clear" w:color="auto" w:fill="auto"/>
            <w:vAlign w:val="center"/>
          </w:tcPr>
          <w:p w:rsidR="003229A6" w:rsidRPr="004C016B" w:rsidRDefault="003229A6" w:rsidP="00262CAB">
            <w:pPr>
              <w:rPr>
                <w:rFonts w:ascii="Times New Roman" w:hAnsi="Times New Roman" w:cs="Times New Roman"/>
                <w:sz w:val="20"/>
                <w:lang w:val="en-CA"/>
              </w:rPr>
            </w:pPr>
            <w:r w:rsidRPr="004C016B">
              <w:rPr>
                <w:rFonts w:ascii="Times New Roman" w:hAnsi="Times New Roman" w:cs="Times New Roman"/>
                <w:sz w:val="20"/>
                <w:lang w:val="en-CA"/>
              </w:rPr>
              <w:t>Perimidone-d</w:t>
            </w:r>
            <w:r w:rsidRPr="004C016B">
              <w:rPr>
                <w:rFonts w:ascii="Times New Roman" w:hAnsi="Times New Roman" w:cs="Times New Roman"/>
                <w:sz w:val="20"/>
                <w:vertAlign w:val="subscript"/>
                <w:lang w:val="en-CA"/>
              </w:rPr>
              <w:t>6</w:t>
            </w:r>
          </w:p>
        </w:tc>
        <w:tc>
          <w:tcPr>
            <w:tcW w:w="2551" w:type="dxa"/>
            <w:vMerge w:val="restart"/>
            <w:tcBorders>
              <w:top w:val="dotted" w:sz="4" w:space="0" w:color="auto"/>
              <w:bottom w:val="dotted" w:sz="4" w:space="0" w:color="auto"/>
            </w:tcBorders>
            <w:shd w:val="clear" w:color="auto" w:fill="auto"/>
            <w:vAlign w:val="center"/>
          </w:tcPr>
          <w:p w:rsidR="003229A6" w:rsidRPr="004C016B" w:rsidRDefault="003229A6" w:rsidP="00262CAB">
            <w:pPr>
              <w:rPr>
                <w:rFonts w:ascii="Times New Roman" w:hAnsi="Times New Roman" w:cs="Times New Roman"/>
                <w:sz w:val="20"/>
                <w:lang w:val="en-CA"/>
              </w:rPr>
            </w:pPr>
            <w:r w:rsidRPr="004C016B">
              <w:rPr>
                <w:rFonts w:ascii="Times New Roman" w:hAnsi="Times New Roman" w:cs="Times New Roman"/>
                <w:sz w:val="20"/>
                <w:lang w:val="en-CA"/>
              </w:rPr>
              <w:t>191</w:t>
            </w:r>
          </w:p>
        </w:tc>
        <w:tc>
          <w:tcPr>
            <w:tcW w:w="2552" w:type="dxa"/>
            <w:tcBorders>
              <w:top w:val="dotted" w:sz="4" w:space="0" w:color="auto"/>
            </w:tcBorders>
            <w:shd w:val="clear" w:color="auto" w:fill="auto"/>
            <w:vAlign w:val="center"/>
          </w:tcPr>
          <w:p w:rsidR="003229A6" w:rsidRPr="004C016B" w:rsidRDefault="003229A6" w:rsidP="00262CAB">
            <w:pPr>
              <w:jc w:val="center"/>
              <w:rPr>
                <w:rFonts w:ascii="Times New Roman" w:hAnsi="Times New Roman" w:cs="Times New Roman"/>
                <w:sz w:val="20"/>
                <w:lang w:val="en-CA"/>
              </w:rPr>
            </w:pPr>
            <w:r w:rsidRPr="004C016B">
              <w:rPr>
                <w:rFonts w:ascii="Times New Roman" w:hAnsi="Times New Roman" w:cs="Times New Roman"/>
                <w:sz w:val="20"/>
                <w:lang w:val="en-CA"/>
              </w:rPr>
              <w:t>191 - 121</w:t>
            </w:r>
          </w:p>
        </w:tc>
      </w:tr>
      <w:tr w:rsidR="003229A6" w:rsidRPr="00E21BA5" w:rsidTr="00262CAB">
        <w:trPr>
          <w:trHeight w:val="79"/>
        </w:trPr>
        <w:tc>
          <w:tcPr>
            <w:tcW w:w="2551" w:type="dxa"/>
            <w:vMerge/>
            <w:tcBorders>
              <w:bottom w:val="dotted" w:sz="4" w:space="0" w:color="auto"/>
            </w:tcBorders>
            <w:shd w:val="clear" w:color="auto" w:fill="auto"/>
          </w:tcPr>
          <w:p w:rsidR="003229A6" w:rsidRPr="004C016B" w:rsidRDefault="003229A6" w:rsidP="00262CAB">
            <w:pPr>
              <w:jc w:val="both"/>
              <w:rPr>
                <w:rFonts w:ascii="Times New Roman" w:hAnsi="Times New Roman" w:cs="Times New Roman"/>
                <w:sz w:val="20"/>
              </w:rPr>
            </w:pPr>
          </w:p>
        </w:tc>
        <w:tc>
          <w:tcPr>
            <w:tcW w:w="2551" w:type="dxa"/>
            <w:vMerge/>
            <w:tcBorders>
              <w:bottom w:val="dotted" w:sz="4" w:space="0" w:color="auto"/>
            </w:tcBorders>
            <w:shd w:val="clear" w:color="auto" w:fill="auto"/>
          </w:tcPr>
          <w:p w:rsidR="003229A6" w:rsidRPr="004C016B" w:rsidRDefault="003229A6" w:rsidP="00262CAB">
            <w:pPr>
              <w:jc w:val="both"/>
              <w:rPr>
                <w:rFonts w:ascii="Times New Roman" w:hAnsi="Times New Roman" w:cs="Times New Roman"/>
                <w:sz w:val="20"/>
              </w:rPr>
            </w:pPr>
          </w:p>
        </w:tc>
        <w:tc>
          <w:tcPr>
            <w:tcW w:w="2552" w:type="dxa"/>
            <w:tcBorders>
              <w:bottom w:val="dotted" w:sz="4" w:space="0" w:color="auto"/>
            </w:tcBorders>
            <w:shd w:val="clear" w:color="auto" w:fill="auto"/>
            <w:vAlign w:val="center"/>
          </w:tcPr>
          <w:p w:rsidR="003229A6" w:rsidRPr="004C016B" w:rsidRDefault="003229A6" w:rsidP="00262CAB">
            <w:pPr>
              <w:jc w:val="center"/>
              <w:rPr>
                <w:rFonts w:ascii="Times New Roman" w:hAnsi="Times New Roman" w:cs="Times New Roman"/>
                <w:sz w:val="20"/>
                <w:lang w:val="en-CA"/>
              </w:rPr>
            </w:pPr>
            <w:r w:rsidRPr="004C016B">
              <w:rPr>
                <w:rFonts w:ascii="Times New Roman" w:hAnsi="Times New Roman" w:cs="Times New Roman"/>
                <w:sz w:val="20"/>
                <w:lang w:val="en-CA"/>
              </w:rPr>
              <w:t>191 - 136</w:t>
            </w:r>
          </w:p>
        </w:tc>
      </w:tr>
    </w:tbl>
    <w:p w:rsidR="003229A6" w:rsidRDefault="003229A6" w:rsidP="004076BE">
      <w:pPr>
        <w:rPr>
          <w:rFonts w:ascii="Times New Roman" w:hAnsi="Times New Roman" w:cs="Times New Roman"/>
          <w:sz w:val="24"/>
          <w:szCs w:val="24"/>
          <w:lang w:val="en-CA"/>
        </w:rPr>
      </w:pPr>
    </w:p>
    <w:p w:rsidR="003229A6" w:rsidRDefault="003229A6" w:rsidP="006E0914">
      <w:pPr>
        <w:spacing w:line="480" w:lineRule="auto"/>
        <w:rPr>
          <w:rFonts w:ascii="Times New Roman" w:hAnsi="Times New Roman" w:cs="Times New Roman"/>
          <w:color w:val="000000"/>
          <w:sz w:val="24"/>
          <w:szCs w:val="24"/>
          <w:lang w:val="en-CA"/>
        </w:rPr>
      </w:pPr>
    </w:p>
    <w:p w:rsidR="003229A6" w:rsidRPr="00B5535A" w:rsidRDefault="003229A6" w:rsidP="004076BE">
      <w:pPr>
        <w:rPr>
          <w:rFonts w:ascii="Times New Roman" w:hAnsi="Times New Roman" w:cs="Times New Roman"/>
          <w:sz w:val="24"/>
          <w:szCs w:val="24"/>
          <w:lang w:val="en-CA"/>
        </w:rPr>
      </w:pPr>
      <w:r>
        <w:rPr>
          <w:rFonts w:ascii="Times New Roman" w:hAnsi="Times New Roman" w:cs="Times New Roman"/>
          <w:b/>
          <w:sz w:val="24"/>
          <w:szCs w:val="24"/>
          <w:lang w:val="en-CA"/>
        </w:rPr>
        <w:t>Table S4</w:t>
      </w:r>
      <w:r w:rsidRPr="00B5535A">
        <w:rPr>
          <w:rFonts w:ascii="Times New Roman" w:hAnsi="Times New Roman" w:cs="Times New Roman"/>
          <w:b/>
          <w:sz w:val="24"/>
          <w:szCs w:val="24"/>
          <w:lang w:val="en-CA"/>
        </w:rPr>
        <w:t>.</w:t>
      </w:r>
      <w:r w:rsidRPr="00B5535A">
        <w:rPr>
          <w:rFonts w:ascii="Times New Roman" w:hAnsi="Times New Roman" w:cs="Times New Roman"/>
          <w:sz w:val="24"/>
          <w:szCs w:val="24"/>
          <w:lang w:val="en-CA"/>
        </w:rPr>
        <w:t xml:space="preserve">  Perimidone recovery for DAN coat</w:t>
      </w:r>
      <w:r>
        <w:rPr>
          <w:rFonts w:ascii="Times New Roman" w:hAnsi="Times New Roman" w:cs="Times New Roman"/>
          <w:sz w:val="24"/>
          <w:szCs w:val="24"/>
          <w:lang w:val="en-CA"/>
        </w:rPr>
        <w:t>ed filters spiked with free TDI</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085"/>
        <w:gridCol w:w="1843"/>
        <w:gridCol w:w="1843"/>
      </w:tblGrid>
      <w:tr w:rsidR="003229A6" w:rsidRPr="00B5535A" w:rsidTr="00262CAB">
        <w:trPr>
          <w:trHeight w:val="461"/>
        </w:trPr>
        <w:tc>
          <w:tcPr>
            <w:tcW w:w="3085" w:type="dxa"/>
            <w:vMerge w:val="restart"/>
            <w:vAlign w:val="center"/>
            <w:hideMark/>
          </w:tcPr>
          <w:p w:rsidR="003229A6" w:rsidRPr="00B5535A" w:rsidRDefault="003229A6" w:rsidP="00262CAB">
            <w:pPr>
              <w:rPr>
                <w:rFonts w:ascii="Times New Roman" w:hAnsi="Times New Roman" w:cs="Times New Roman"/>
                <w:lang w:val="en-CA"/>
              </w:rPr>
            </w:pPr>
            <w:r w:rsidRPr="00B5535A">
              <w:rPr>
                <w:rFonts w:ascii="Times New Roman" w:hAnsi="Times New Roman" w:cs="Times New Roman"/>
                <w:b/>
                <w:bCs/>
                <w:lang w:val="en-CA"/>
              </w:rPr>
              <w:t>Perimidone level (ng/mL)</w:t>
            </w:r>
          </w:p>
        </w:tc>
        <w:tc>
          <w:tcPr>
            <w:tcW w:w="3686" w:type="dxa"/>
            <w:gridSpan w:val="2"/>
            <w:vAlign w:val="center"/>
            <w:hideMark/>
          </w:tcPr>
          <w:p w:rsidR="003229A6" w:rsidRPr="00B5535A" w:rsidRDefault="003229A6" w:rsidP="00262CAB">
            <w:pPr>
              <w:jc w:val="center"/>
              <w:rPr>
                <w:rFonts w:ascii="Times New Roman" w:hAnsi="Times New Roman" w:cs="Times New Roman"/>
              </w:rPr>
            </w:pPr>
            <w:r w:rsidRPr="00B5535A">
              <w:rPr>
                <w:rFonts w:ascii="Times New Roman" w:hAnsi="Times New Roman" w:cs="Times New Roman"/>
                <w:b/>
                <w:bCs/>
                <w:lang w:val="en-CA"/>
              </w:rPr>
              <w:t>Recovery (%)</w:t>
            </w:r>
            <w:r w:rsidRPr="00B5535A">
              <w:rPr>
                <w:rFonts w:ascii="Times New Roman" w:hAnsi="Times New Roman" w:cs="Times New Roman"/>
                <w:b/>
                <w:bCs/>
                <w:vertAlign w:val="superscript"/>
                <w:lang w:val="en-CA"/>
              </w:rPr>
              <w:t>A</w:t>
            </w:r>
          </w:p>
        </w:tc>
      </w:tr>
      <w:tr w:rsidR="003229A6" w:rsidRPr="00B5535A" w:rsidTr="00262CAB">
        <w:trPr>
          <w:trHeight w:val="411"/>
        </w:trPr>
        <w:tc>
          <w:tcPr>
            <w:tcW w:w="3085" w:type="dxa"/>
            <w:vMerge/>
            <w:tcBorders>
              <w:bottom w:val="dotted" w:sz="4" w:space="0" w:color="auto"/>
            </w:tcBorders>
            <w:vAlign w:val="center"/>
          </w:tcPr>
          <w:p w:rsidR="003229A6" w:rsidRPr="00B5535A" w:rsidRDefault="003229A6" w:rsidP="00262CAB">
            <w:pPr>
              <w:rPr>
                <w:rFonts w:ascii="Times New Roman" w:hAnsi="Times New Roman" w:cs="Times New Roman"/>
                <w:b/>
                <w:bCs/>
                <w:lang w:val="en-CA"/>
              </w:rPr>
            </w:pPr>
          </w:p>
        </w:tc>
        <w:tc>
          <w:tcPr>
            <w:tcW w:w="1843" w:type="dxa"/>
            <w:tcBorders>
              <w:bottom w:val="dotted" w:sz="4" w:space="0" w:color="auto"/>
            </w:tcBorders>
            <w:vAlign w:val="center"/>
          </w:tcPr>
          <w:p w:rsidR="003229A6" w:rsidRPr="00B5535A" w:rsidRDefault="003229A6" w:rsidP="00262CAB">
            <w:pPr>
              <w:jc w:val="center"/>
              <w:rPr>
                <w:rFonts w:ascii="Times New Roman" w:hAnsi="Times New Roman" w:cs="Times New Roman"/>
                <w:b/>
                <w:bCs/>
                <w:lang w:val="en-CA"/>
              </w:rPr>
            </w:pPr>
            <w:r w:rsidRPr="00B5535A">
              <w:rPr>
                <w:rFonts w:ascii="Times New Roman" w:hAnsi="Times New Roman" w:cs="Times New Roman"/>
                <w:b/>
                <w:bCs/>
                <w:lang w:val="en-CA"/>
              </w:rPr>
              <w:t>2,4-TDI</w:t>
            </w:r>
          </w:p>
        </w:tc>
        <w:tc>
          <w:tcPr>
            <w:tcW w:w="1843" w:type="dxa"/>
            <w:tcBorders>
              <w:bottom w:val="dotted" w:sz="4" w:space="0" w:color="auto"/>
            </w:tcBorders>
            <w:vAlign w:val="center"/>
          </w:tcPr>
          <w:p w:rsidR="003229A6" w:rsidRPr="00B5535A" w:rsidRDefault="003229A6" w:rsidP="00262CAB">
            <w:pPr>
              <w:jc w:val="center"/>
              <w:rPr>
                <w:rFonts w:ascii="Times New Roman" w:hAnsi="Times New Roman" w:cs="Times New Roman"/>
                <w:b/>
                <w:bCs/>
                <w:lang w:val="en-CA"/>
              </w:rPr>
            </w:pPr>
            <w:r w:rsidRPr="00B5535A">
              <w:rPr>
                <w:rFonts w:ascii="Times New Roman" w:hAnsi="Times New Roman" w:cs="Times New Roman"/>
                <w:b/>
                <w:bCs/>
                <w:lang w:val="en-CA"/>
              </w:rPr>
              <w:t>2,6-TDI</w:t>
            </w:r>
          </w:p>
        </w:tc>
      </w:tr>
      <w:tr w:rsidR="003229A6" w:rsidRPr="00B5535A" w:rsidTr="00262CAB">
        <w:trPr>
          <w:trHeight w:val="584"/>
        </w:trPr>
        <w:tc>
          <w:tcPr>
            <w:tcW w:w="3085" w:type="dxa"/>
            <w:tcBorders>
              <w:top w:val="dotted" w:sz="4" w:space="0" w:color="auto"/>
            </w:tcBorders>
            <w:vAlign w:val="center"/>
            <w:hideMark/>
          </w:tcPr>
          <w:p w:rsidR="003229A6" w:rsidRPr="00B5535A" w:rsidRDefault="003229A6" w:rsidP="00262CAB">
            <w:pPr>
              <w:rPr>
                <w:rFonts w:ascii="Times New Roman" w:hAnsi="Times New Roman" w:cs="Times New Roman"/>
              </w:rPr>
            </w:pPr>
            <w:r w:rsidRPr="00B5535A">
              <w:rPr>
                <w:rFonts w:ascii="Times New Roman" w:hAnsi="Times New Roman" w:cs="Times New Roman"/>
                <w:lang w:val="en-CA"/>
              </w:rPr>
              <w:t>500</w:t>
            </w:r>
          </w:p>
        </w:tc>
        <w:tc>
          <w:tcPr>
            <w:tcW w:w="1843" w:type="dxa"/>
            <w:tcBorders>
              <w:top w:val="dotted" w:sz="4" w:space="0" w:color="auto"/>
            </w:tcBorders>
            <w:vAlign w:val="center"/>
            <w:hideMark/>
          </w:tcPr>
          <w:p w:rsidR="003229A6" w:rsidRPr="00B5535A" w:rsidRDefault="003229A6" w:rsidP="00262CAB">
            <w:pPr>
              <w:jc w:val="center"/>
              <w:rPr>
                <w:rFonts w:ascii="Times New Roman" w:hAnsi="Times New Roman" w:cs="Times New Roman"/>
              </w:rPr>
            </w:pPr>
            <w:r w:rsidRPr="00B5535A">
              <w:rPr>
                <w:rFonts w:ascii="Times New Roman" w:hAnsi="Times New Roman" w:cs="Times New Roman"/>
                <w:lang w:val="en-CA"/>
              </w:rPr>
              <w:t>87 ± 7</w:t>
            </w:r>
          </w:p>
        </w:tc>
        <w:tc>
          <w:tcPr>
            <w:tcW w:w="1843" w:type="dxa"/>
            <w:tcBorders>
              <w:top w:val="dotted" w:sz="4" w:space="0" w:color="auto"/>
            </w:tcBorders>
            <w:vAlign w:val="center"/>
            <w:hideMark/>
          </w:tcPr>
          <w:p w:rsidR="003229A6" w:rsidRPr="00B5535A" w:rsidRDefault="003229A6" w:rsidP="00262CAB">
            <w:pPr>
              <w:jc w:val="center"/>
              <w:rPr>
                <w:rFonts w:ascii="Times New Roman" w:hAnsi="Times New Roman" w:cs="Times New Roman"/>
              </w:rPr>
            </w:pPr>
            <w:r w:rsidRPr="00B5535A">
              <w:rPr>
                <w:rFonts w:ascii="Times New Roman" w:hAnsi="Times New Roman" w:cs="Times New Roman"/>
                <w:lang w:val="en-CA"/>
              </w:rPr>
              <w:t>76 ± 8</w:t>
            </w:r>
          </w:p>
        </w:tc>
      </w:tr>
      <w:tr w:rsidR="003229A6" w:rsidRPr="00B5535A" w:rsidTr="00262CAB">
        <w:trPr>
          <w:trHeight w:val="584"/>
        </w:trPr>
        <w:tc>
          <w:tcPr>
            <w:tcW w:w="3085" w:type="dxa"/>
            <w:vAlign w:val="center"/>
            <w:hideMark/>
          </w:tcPr>
          <w:p w:rsidR="003229A6" w:rsidRPr="00B5535A" w:rsidRDefault="003229A6" w:rsidP="00262CAB">
            <w:pPr>
              <w:rPr>
                <w:rFonts w:ascii="Times New Roman" w:hAnsi="Times New Roman" w:cs="Times New Roman"/>
              </w:rPr>
            </w:pPr>
            <w:r w:rsidRPr="00B5535A">
              <w:rPr>
                <w:rFonts w:ascii="Times New Roman" w:hAnsi="Times New Roman" w:cs="Times New Roman"/>
                <w:lang w:val="en-CA"/>
              </w:rPr>
              <w:t>1000</w:t>
            </w:r>
          </w:p>
        </w:tc>
        <w:tc>
          <w:tcPr>
            <w:tcW w:w="1843" w:type="dxa"/>
            <w:vAlign w:val="center"/>
            <w:hideMark/>
          </w:tcPr>
          <w:p w:rsidR="003229A6" w:rsidRPr="00B5535A" w:rsidRDefault="003229A6" w:rsidP="00262CAB">
            <w:pPr>
              <w:jc w:val="center"/>
              <w:rPr>
                <w:rFonts w:ascii="Times New Roman" w:hAnsi="Times New Roman" w:cs="Times New Roman"/>
              </w:rPr>
            </w:pPr>
            <w:r w:rsidRPr="00B5535A">
              <w:rPr>
                <w:rFonts w:ascii="Times New Roman" w:hAnsi="Times New Roman" w:cs="Times New Roman"/>
                <w:lang w:val="en-CA"/>
              </w:rPr>
              <w:t>82 ± 9</w:t>
            </w:r>
          </w:p>
        </w:tc>
        <w:tc>
          <w:tcPr>
            <w:tcW w:w="1843" w:type="dxa"/>
            <w:vAlign w:val="center"/>
            <w:hideMark/>
          </w:tcPr>
          <w:p w:rsidR="003229A6" w:rsidRPr="00B5535A" w:rsidRDefault="003229A6" w:rsidP="00262CAB">
            <w:pPr>
              <w:jc w:val="center"/>
              <w:rPr>
                <w:rFonts w:ascii="Times New Roman" w:hAnsi="Times New Roman" w:cs="Times New Roman"/>
              </w:rPr>
            </w:pPr>
            <w:r w:rsidRPr="00B5535A">
              <w:rPr>
                <w:rFonts w:ascii="Times New Roman" w:hAnsi="Times New Roman" w:cs="Times New Roman"/>
                <w:lang w:val="en-CA"/>
              </w:rPr>
              <w:t>78 ± 3</w:t>
            </w:r>
          </w:p>
        </w:tc>
      </w:tr>
      <w:tr w:rsidR="003229A6" w:rsidRPr="00B5535A" w:rsidTr="00262CAB">
        <w:trPr>
          <w:trHeight w:val="584"/>
        </w:trPr>
        <w:tc>
          <w:tcPr>
            <w:tcW w:w="3085" w:type="dxa"/>
            <w:tcBorders>
              <w:bottom w:val="dotted" w:sz="4" w:space="0" w:color="auto"/>
            </w:tcBorders>
            <w:vAlign w:val="center"/>
            <w:hideMark/>
          </w:tcPr>
          <w:p w:rsidR="003229A6" w:rsidRPr="00B5535A" w:rsidRDefault="003229A6" w:rsidP="00262CAB">
            <w:pPr>
              <w:rPr>
                <w:rFonts w:ascii="Times New Roman" w:hAnsi="Times New Roman" w:cs="Times New Roman"/>
              </w:rPr>
            </w:pPr>
            <w:r w:rsidRPr="00B5535A">
              <w:rPr>
                <w:rFonts w:ascii="Times New Roman" w:hAnsi="Times New Roman" w:cs="Times New Roman"/>
                <w:lang w:val="en-CA"/>
              </w:rPr>
              <w:t>2000</w:t>
            </w:r>
          </w:p>
        </w:tc>
        <w:tc>
          <w:tcPr>
            <w:tcW w:w="1843" w:type="dxa"/>
            <w:tcBorders>
              <w:bottom w:val="dotted" w:sz="4" w:space="0" w:color="auto"/>
            </w:tcBorders>
            <w:vAlign w:val="center"/>
            <w:hideMark/>
          </w:tcPr>
          <w:p w:rsidR="003229A6" w:rsidRPr="00B5535A" w:rsidRDefault="003229A6" w:rsidP="00262CAB">
            <w:pPr>
              <w:jc w:val="center"/>
              <w:rPr>
                <w:rFonts w:ascii="Times New Roman" w:hAnsi="Times New Roman" w:cs="Times New Roman"/>
              </w:rPr>
            </w:pPr>
            <w:r w:rsidRPr="00B5535A">
              <w:rPr>
                <w:rFonts w:ascii="Times New Roman" w:hAnsi="Times New Roman" w:cs="Times New Roman"/>
                <w:lang w:val="en-CA"/>
              </w:rPr>
              <w:t>74 ± 10</w:t>
            </w:r>
          </w:p>
        </w:tc>
        <w:tc>
          <w:tcPr>
            <w:tcW w:w="1843" w:type="dxa"/>
            <w:tcBorders>
              <w:bottom w:val="dotted" w:sz="4" w:space="0" w:color="auto"/>
            </w:tcBorders>
            <w:vAlign w:val="center"/>
            <w:hideMark/>
          </w:tcPr>
          <w:p w:rsidR="003229A6" w:rsidRPr="00B5535A" w:rsidRDefault="003229A6" w:rsidP="00262CAB">
            <w:pPr>
              <w:jc w:val="center"/>
              <w:rPr>
                <w:rFonts w:ascii="Times New Roman" w:hAnsi="Times New Roman" w:cs="Times New Roman"/>
              </w:rPr>
            </w:pPr>
            <w:r w:rsidRPr="00B5535A">
              <w:rPr>
                <w:rFonts w:ascii="Times New Roman" w:hAnsi="Times New Roman" w:cs="Times New Roman"/>
                <w:lang w:val="en-CA"/>
              </w:rPr>
              <w:t>77 ± 3</w:t>
            </w:r>
          </w:p>
        </w:tc>
      </w:tr>
      <w:tr w:rsidR="003229A6" w:rsidRPr="00D36AD8" w:rsidTr="00262CAB">
        <w:trPr>
          <w:trHeight w:val="584"/>
        </w:trPr>
        <w:tc>
          <w:tcPr>
            <w:tcW w:w="3085" w:type="dxa"/>
            <w:tcBorders>
              <w:top w:val="dotted" w:sz="4" w:space="0" w:color="auto"/>
            </w:tcBorders>
            <w:vAlign w:val="center"/>
          </w:tcPr>
          <w:p w:rsidR="003229A6" w:rsidRPr="00B5535A" w:rsidRDefault="003229A6" w:rsidP="00262CAB">
            <w:pPr>
              <w:rPr>
                <w:rFonts w:ascii="Times New Roman" w:hAnsi="Times New Roman" w:cs="Times New Roman"/>
                <w:lang w:val="en-CA"/>
              </w:rPr>
            </w:pPr>
            <w:r w:rsidRPr="00B5535A">
              <w:rPr>
                <w:rFonts w:ascii="Times New Roman" w:hAnsi="Times New Roman" w:cs="Times New Roman"/>
                <w:sz w:val="18"/>
                <w:vertAlign w:val="superscript"/>
                <w:lang w:val="en-CA"/>
              </w:rPr>
              <w:t>A</w:t>
            </w:r>
            <w:r w:rsidRPr="00B5535A">
              <w:rPr>
                <w:rFonts w:ascii="Times New Roman" w:hAnsi="Times New Roman" w:cs="Times New Roman"/>
                <w:sz w:val="18"/>
                <w:lang w:val="en-CA"/>
              </w:rPr>
              <w:t xml:space="preserve"> n = 5 for each level</w:t>
            </w:r>
          </w:p>
        </w:tc>
        <w:tc>
          <w:tcPr>
            <w:tcW w:w="1843" w:type="dxa"/>
            <w:tcBorders>
              <w:top w:val="dotted" w:sz="4" w:space="0" w:color="auto"/>
            </w:tcBorders>
            <w:vAlign w:val="center"/>
          </w:tcPr>
          <w:p w:rsidR="003229A6" w:rsidRPr="00B5535A" w:rsidRDefault="003229A6" w:rsidP="00262CAB">
            <w:pPr>
              <w:jc w:val="center"/>
              <w:rPr>
                <w:rFonts w:ascii="Times New Roman" w:hAnsi="Times New Roman" w:cs="Times New Roman"/>
                <w:lang w:val="en-CA"/>
              </w:rPr>
            </w:pPr>
          </w:p>
        </w:tc>
        <w:tc>
          <w:tcPr>
            <w:tcW w:w="1843" w:type="dxa"/>
            <w:tcBorders>
              <w:top w:val="dotted" w:sz="4" w:space="0" w:color="auto"/>
            </w:tcBorders>
            <w:vAlign w:val="center"/>
          </w:tcPr>
          <w:p w:rsidR="003229A6" w:rsidRPr="00B5535A" w:rsidRDefault="003229A6" w:rsidP="00262CAB">
            <w:pPr>
              <w:jc w:val="center"/>
              <w:rPr>
                <w:rFonts w:ascii="Times New Roman" w:hAnsi="Times New Roman" w:cs="Times New Roman"/>
                <w:lang w:val="en-CA"/>
              </w:rPr>
            </w:pPr>
          </w:p>
        </w:tc>
      </w:tr>
    </w:tbl>
    <w:p w:rsidR="003229A6" w:rsidRDefault="003229A6">
      <w:pPr>
        <w:rPr>
          <w:rFonts w:ascii="Times New Roman" w:hAnsi="Times New Roman" w:cs="Times New Roman"/>
          <w:color w:val="000000"/>
          <w:sz w:val="24"/>
          <w:szCs w:val="24"/>
          <w:lang w:val="en-CA"/>
        </w:rPr>
      </w:pPr>
    </w:p>
    <w:p w:rsidR="003229A6" w:rsidRDefault="003229A6">
      <w:pPr>
        <w:rPr>
          <w:rFonts w:ascii="Times New Roman" w:hAnsi="Times New Roman" w:cs="Times New Roman"/>
          <w:color w:val="000000"/>
          <w:sz w:val="24"/>
          <w:szCs w:val="24"/>
          <w:lang w:val="en-CA"/>
        </w:rPr>
      </w:pPr>
    </w:p>
    <w:p w:rsidR="003229A6" w:rsidRDefault="003229A6">
      <w:pP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br w:type="page"/>
      </w:r>
    </w:p>
    <w:p w:rsidR="003229A6" w:rsidRPr="00DE5A7A" w:rsidRDefault="003229A6" w:rsidP="00DE5A7A">
      <w:pPr>
        <w:spacing w:line="480" w:lineRule="auto"/>
        <w:rPr>
          <w:rFonts w:ascii="Times New Roman" w:hAnsi="Times New Roman" w:cs="Times New Roman"/>
          <w:sz w:val="28"/>
          <w:szCs w:val="24"/>
          <w:lang w:val="en-CA"/>
        </w:rPr>
      </w:pPr>
      <w:r w:rsidRPr="00DE5A7A">
        <w:rPr>
          <w:rFonts w:ascii="Times New Roman" w:hAnsi="Times New Roman" w:cs="Times New Roman"/>
          <w:b/>
          <w:sz w:val="28"/>
          <w:szCs w:val="24"/>
          <w:lang w:val="en-CA"/>
        </w:rPr>
        <w:lastRenderedPageBreak/>
        <w:t>Determinants of measured TDI concentration</w:t>
      </w:r>
    </w:p>
    <w:p w:rsidR="003229A6" w:rsidRPr="00E97D0F" w:rsidRDefault="003229A6" w:rsidP="006E0914">
      <w:pPr>
        <w:spacing w:line="480" w:lineRule="auto"/>
        <w:rPr>
          <w:rFonts w:ascii="Times New Roman" w:hAnsi="Times New Roman" w:cs="Times New Roman"/>
          <w:color w:val="000000"/>
          <w:sz w:val="24"/>
          <w:szCs w:val="24"/>
        </w:rPr>
      </w:pPr>
      <w:r w:rsidRPr="002D43D2">
        <w:rPr>
          <w:noProof/>
          <w:lang w:eastAsia="fr-CA"/>
        </w:rPr>
        <w:drawing>
          <wp:inline distT="0" distB="0" distL="0" distR="0" wp14:anchorId="4879423C" wp14:editId="6EEAE05B">
            <wp:extent cx="5233863" cy="7028121"/>
            <wp:effectExtent l="0" t="0" r="508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240622" cy="7037197"/>
                    </a:xfrm>
                    <a:prstGeom prst="rect">
                      <a:avLst/>
                    </a:prstGeom>
                    <a:noFill/>
                    <a:ln>
                      <a:noFill/>
                    </a:ln>
                  </pic:spPr>
                </pic:pic>
              </a:graphicData>
            </a:graphic>
          </wp:inline>
        </w:drawing>
      </w:r>
    </w:p>
    <w:p w:rsidR="003229A6" w:rsidRPr="008F59B0" w:rsidRDefault="003229A6" w:rsidP="00E97D0F">
      <w:pPr>
        <w:spacing w:line="360" w:lineRule="auto"/>
        <w:rPr>
          <w:rFonts w:ascii="Times New Roman" w:hAnsi="Times New Roman" w:cs="Times New Roman"/>
          <w:sz w:val="24"/>
          <w:szCs w:val="24"/>
          <w:lang w:val="en-CA"/>
        </w:rPr>
      </w:pPr>
      <w:r w:rsidRPr="008F59B0">
        <w:rPr>
          <w:rFonts w:ascii="Times New Roman" w:hAnsi="Times New Roman" w:cs="Times New Roman"/>
          <w:b/>
          <w:sz w:val="24"/>
          <w:szCs w:val="24"/>
          <w:lang w:val="en-CA"/>
        </w:rPr>
        <w:t xml:space="preserve">Figure </w:t>
      </w:r>
      <w:r>
        <w:rPr>
          <w:rFonts w:ascii="Times New Roman" w:hAnsi="Times New Roman" w:cs="Times New Roman"/>
          <w:b/>
          <w:sz w:val="24"/>
          <w:szCs w:val="24"/>
          <w:lang w:val="en-CA"/>
        </w:rPr>
        <w:t>S1</w:t>
      </w:r>
      <w:r w:rsidRPr="008F59B0">
        <w:rPr>
          <w:rFonts w:ascii="Times New Roman" w:hAnsi="Times New Roman" w:cs="Times New Roman"/>
          <w:b/>
          <w:sz w:val="24"/>
          <w:szCs w:val="24"/>
          <w:lang w:val="en-CA"/>
        </w:rPr>
        <w:t>.</w:t>
      </w:r>
      <w:r w:rsidRPr="008F59B0">
        <w:rPr>
          <w:rFonts w:ascii="Times New Roman" w:hAnsi="Times New Roman" w:cs="Times New Roman"/>
          <w:sz w:val="24"/>
          <w:szCs w:val="24"/>
          <w:lang w:val="en-CA"/>
        </w:rPr>
        <w:t xml:space="preserve"> </w:t>
      </w:r>
      <w:r>
        <w:rPr>
          <w:rFonts w:ascii="Times New Roman" w:hAnsi="Times New Roman" w:cs="Times New Roman"/>
          <w:sz w:val="24"/>
          <w:szCs w:val="24"/>
          <w:lang w:val="en-CA"/>
        </w:rPr>
        <w:t>P</w:t>
      </w:r>
      <w:r w:rsidRPr="008F59B0">
        <w:rPr>
          <w:rFonts w:ascii="Times New Roman" w:hAnsi="Times New Roman" w:cs="Times New Roman"/>
          <w:sz w:val="24"/>
          <w:szCs w:val="24"/>
          <w:lang w:val="en-CA"/>
        </w:rPr>
        <w:t xml:space="preserve">article concentration </w:t>
      </w:r>
      <w:r>
        <w:rPr>
          <w:rFonts w:ascii="Times New Roman" w:hAnsi="Times New Roman" w:cs="Times New Roman"/>
          <w:sz w:val="24"/>
          <w:szCs w:val="24"/>
          <w:lang w:val="en-CA"/>
        </w:rPr>
        <w:t xml:space="preserve">vs TDI index </w:t>
      </w:r>
      <w:r w:rsidRPr="008F59B0">
        <w:rPr>
          <w:rFonts w:ascii="Times New Roman" w:hAnsi="Times New Roman" w:cs="Times New Roman"/>
          <w:sz w:val="24"/>
          <w:szCs w:val="24"/>
          <w:lang w:val="en-CA"/>
        </w:rPr>
        <w:t xml:space="preserve">(A) and </w:t>
      </w:r>
      <w:r>
        <w:rPr>
          <w:rFonts w:ascii="Times New Roman" w:hAnsi="Times New Roman" w:cs="Times New Roman"/>
          <w:sz w:val="24"/>
          <w:szCs w:val="24"/>
          <w:lang w:val="en-CA"/>
        </w:rPr>
        <w:t xml:space="preserve">TDI </w:t>
      </w:r>
      <w:r w:rsidRPr="008F59B0">
        <w:rPr>
          <w:rFonts w:ascii="Times New Roman" w:hAnsi="Times New Roman" w:cs="Times New Roman"/>
          <w:sz w:val="24"/>
          <w:szCs w:val="24"/>
          <w:lang w:val="en-CA"/>
        </w:rPr>
        <w:t>emission</w:t>
      </w:r>
      <w:r>
        <w:rPr>
          <w:rFonts w:ascii="Times New Roman" w:hAnsi="Times New Roman" w:cs="Times New Roman"/>
          <w:sz w:val="24"/>
          <w:szCs w:val="24"/>
          <w:lang w:val="en-CA"/>
        </w:rPr>
        <w:t xml:space="preserve"> vs TDI index</w:t>
      </w:r>
      <w:r w:rsidRPr="008F59B0">
        <w:rPr>
          <w:rFonts w:ascii="Times New Roman" w:hAnsi="Times New Roman" w:cs="Times New Roman"/>
          <w:sz w:val="24"/>
          <w:szCs w:val="24"/>
          <w:lang w:val="en-CA"/>
        </w:rPr>
        <w:t xml:space="preserve"> (B)</w:t>
      </w:r>
    </w:p>
    <w:p w:rsidR="003229A6" w:rsidRPr="002B443B" w:rsidRDefault="002B443B" w:rsidP="006E0914">
      <w:pPr>
        <w:spacing w:line="480" w:lineRule="auto"/>
        <w:rPr>
          <w:rFonts w:ascii="Times New Roman" w:hAnsi="Times New Roman" w:cs="Times New Roman"/>
          <w:b/>
          <w:color w:val="000000"/>
          <w:sz w:val="24"/>
          <w:szCs w:val="24"/>
          <w:lang w:val="en-CA"/>
        </w:rPr>
      </w:pPr>
      <w:r w:rsidRPr="002B443B">
        <w:rPr>
          <w:rFonts w:ascii="Times New Roman" w:hAnsi="Times New Roman" w:cs="Times New Roman"/>
          <w:b/>
          <w:color w:val="000000"/>
          <w:sz w:val="24"/>
          <w:szCs w:val="24"/>
          <w:lang w:val="en-CA"/>
        </w:rPr>
        <w:lastRenderedPageBreak/>
        <w:t>References</w:t>
      </w:r>
    </w:p>
    <w:p w:rsidR="003229A6" w:rsidRPr="00D36AD8" w:rsidRDefault="003229A6" w:rsidP="002B443B">
      <w:pPr>
        <w:pStyle w:val="EndNoteBibliography"/>
        <w:spacing w:after="120"/>
      </w:pPr>
      <w:r w:rsidRPr="00D36AD8">
        <w:t xml:space="preserve">American Chemistry Council. 2014. Considerations for Modifications to OSHA Method 42 Air Monitoring Method: Toluene Diisocyanate (TDI). Washington, DC; [accessed]. </w:t>
      </w:r>
      <w:r w:rsidRPr="003229A6">
        <w:t>https://dii.americanchemistry.com/Environment-Health-and-Safety/WorkerIndustry-Health-and-Safety-Guidance/Considerations-for-Modifications-to-OSHA-Method-42.pdf</w:t>
      </w:r>
      <w:r w:rsidRPr="00D36AD8">
        <w:t>.</w:t>
      </w:r>
    </w:p>
    <w:p w:rsidR="003229A6" w:rsidRPr="00D36AD8" w:rsidRDefault="003229A6" w:rsidP="002B443B">
      <w:pPr>
        <w:pStyle w:val="EndNoteBibliography"/>
        <w:spacing w:after="120"/>
      </w:pPr>
      <w:r w:rsidRPr="00D36AD8">
        <w:t>ASTM International. 2008. Determination of 2,4-Toluene Diisocyanate (2,4-TDI) and 2,6-Toluene Diisocyanate (2,6-TDI) in Air (with 9-(N-Methylaminomethyl) Anthracene Method) (MAMA) in the Workpla</w:t>
      </w:r>
      <w:r w:rsidR="002B443B">
        <w:t>ce. West Conshohocken, PA.</w:t>
      </w:r>
    </w:p>
    <w:p w:rsidR="003229A6" w:rsidRPr="00D36AD8" w:rsidRDefault="003229A6" w:rsidP="002B443B">
      <w:pPr>
        <w:pStyle w:val="EndNoteBibliography"/>
        <w:spacing w:after="120"/>
      </w:pPr>
      <w:r w:rsidRPr="00D36AD8">
        <w:t>Brown J, Halpenny M. 2013. ASSET™ EZ4-NCO Dry Sampler Extraction Procedure. In:</w:t>
      </w:r>
      <w:r w:rsidRPr="00D36AD8">
        <w:rPr>
          <w:i/>
        </w:rPr>
        <w:t xml:space="preserve"> </w:t>
      </w:r>
      <w:r w:rsidRPr="00D36AD8">
        <w:t>Sigma-Aldrich, editor. Milwaukee, WI, USA.</w:t>
      </w:r>
    </w:p>
    <w:p w:rsidR="003229A6" w:rsidRPr="00D36AD8" w:rsidRDefault="003229A6" w:rsidP="002B443B">
      <w:pPr>
        <w:pStyle w:val="EndNoteBibliography"/>
        <w:spacing w:after="120"/>
      </w:pPr>
      <w:r w:rsidRPr="00D36AD8">
        <w:t>International Organization for Standardization (ISO). 2008. ISO 17734-1 - Workplace atmospheres - Determination oforganonitrogen compounds in air uing liquid chromatography and mass spectrometry — Part 1: Isocyanates usin</w:t>
      </w:r>
      <w:r w:rsidR="002B443B">
        <w:t>g dibutylamine derivatives.</w:t>
      </w:r>
    </w:p>
    <w:p w:rsidR="003229A6" w:rsidRPr="00D36AD8" w:rsidRDefault="003229A6" w:rsidP="002B443B">
      <w:pPr>
        <w:pStyle w:val="EndNoteBibliography"/>
        <w:spacing w:after="120"/>
      </w:pPr>
      <w:r w:rsidRPr="00D36AD8">
        <w:t>International Organization for Standardization (ISO). 2010. ISO 17736 - Workplace air quality — Determination of isocyanate in air using a double-filter sampling device and analysis by high pres</w:t>
      </w:r>
      <w:r w:rsidR="002B443B">
        <w:t>sure liquid chromatography.</w:t>
      </w:r>
    </w:p>
    <w:p w:rsidR="003229A6" w:rsidRPr="00D36AD8" w:rsidRDefault="003229A6" w:rsidP="002B443B">
      <w:pPr>
        <w:pStyle w:val="EndNoteBibliography"/>
        <w:spacing w:after="120"/>
      </w:pPr>
      <w:r w:rsidRPr="00D36AD8">
        <w:t>International Organization for Standardization (ISO). 2012. ISO 14382 - Workplace atmospheres - Determination of toluene diisocyanate vapours using 1-(2-pyridyl)piperazine-coated glass fibre filters and analysis by high performance liquid chromatography with ultraviolet and fluorescence detectors</w:t>
      </w:r>
      <w:r w:rsidR="002B443B">
        <w:t>.</w:t>
      </w:r>
    </w:p>
    <w:p w:rsidR="003229A6" w:rsidRPr="00D36AD8" w:rsidRDefault="003229A6" w:rsidP="002B443B">
      <w:pPr>
        <w:pStyle w:val="EndNoteBibliography"/>
        <w:spacing w:after="120"/>
      </w:pPr>
      <w:r w:rsidRPr="00D36AD8">
        <w:t>Lesage J, Goyer N, Desjardins F, Vincent J-Y, Perrault G. 1992. WORKERS' EXPOSURE TO ISOCYANATES. American Industrial Hygiene Association Journal. 53(2):146-153.</w:t>
      </w:r>
    </w:p>
    <w:p w:rsidR="003229A6" w:rsidRPr="00D36AD8" w:rsidRDefault="003229A6" w:rsidP="002B443B">
      <w:pPr>
        <w:pStyle w:val="EndNoteBibliography"/>
        <w:spacing w:after="120"/>
      </w:pPr>
      <w:r w:rsidRPr="00D36AD8">
        <w:t>Lesage J, Perrault G, inventors; IRSST-Institut de Recherche en Sante et en Securite du Travail du Quebec (Montreal, CA), assignee. 1990. Sampling device. patent US 4,961,916.</w:t>
      </w:r>
    </w:p>
    <w:p w:rsidR="003229A6" w:rsidRPr="00D36AD8" w:rsidRDefault="003229A6" w:rsidP="002B443B">
      <w:pPr>
        <w:pStyle w:val="EndNoteBibliography"/>
        <w:spacing w:after="120"/>
      </w:pPr>
      <w:r w:rsidRPr="00D36AD8">
        <w:t>Marand Å, Karlsson D, Dalene M, Skarping G. 2005. Solvent-free sampling with di-n-butylamine for monitoring of isocyanates in air [Article]. Journal of Environmental Monitoring. 7(4):335-343.</w:t>
      </w:r>
    </w:p>
    <w:p w:rsidR="003229A6" w:rsidRPr="00D36AD8" w:rsidRDefault="003229A6" w:rsidP="002B443B">
      <w:pPr>
        <w:pStyle w:val="EndNoteBibliography"/>
        <w:spacing w:after="120"/>
      </w:pPr>
      <w:r w:rsidRPr="00D36AD8">
        <w:t xml:space="preserve">Occupational Safety and Health Administration (OSHA). 1989. Diisocyanates method 42. OSHA; [accessed]. </w:t>
      </w:r>
      <w:r w:rsidRPr="003229A6">
        <w:t>https://www.osha.gov/dts/sltc/methods/organic/org042/org042.html</w:t>
      </w:r>
      <w:r w:rsidRPr="00D36AD8">
        <w:t>.</w:t>
      </w:r>
    </w:p>
    <w:p w:rsidR="003229A6" w:rsidRPr="00D36AD8" w:rsidRDefault="003229A6" w:rsidP="002B443B">
      <w:pPr>
        <w:pStyle w:val="EndNoteBibliography"/>
        <w:spacing w:after="120"/>
      </w:pPr>
      <w:r w:rsidRPr="00D36AD8">
        <w:t xml:space="preserve">Puscasu S, Aubin S, Cloutier Y, Sarazin P, Van Tra H, Gagné S. 2015. CIP10 optimization for 4,4-methylene diphenyl diisocyanate aerosol sampling and field comparison with impinger method [Article]. Annals of Occupational </w:t>
      </w:r>
      <w:r w:rsidR="002B443B">
        <w:t>Hygiene. 59(3):347-357.</w:t>
      </w:r>
    </w:p>
    <w:p w:rsidR="003229A6" w:rsidRPr="00D36AD8" w:rsidRDefault="003229A6" w:rsidP="002B443B">
      <w:pPr>
        <w:pStyle w:val="EndNoteBibliography"/>
        <w:spacing w:after="120"/>
      </w:pPr>
      <w:r w:rsidRPr="00D36AD8">
        <w:t>Puscasu S, Aubin S, Van Tra H, Gagné S. 2014. Adaptation of CIP10 for the sampling of 4,4′-methylene diphenyl diisocyanate aerosols [Article]. Analytical M</w:t>
      </w:r>
      <w:r w:rsidR="002B443B">
        <w:t>ethods. 6(4):1101-1107.</w:t>
      </w:r>
    </w:p>
    <w:p w:rsidR="003229A6" w:rsidRPr="00D36AD8" w:rsidRDefault="003229A6" w:rsidP="002B443B">
      <w:pPr>
        <w:pStyle w:val="EndNoteBibliography"/>
        <w:spacing w:after="120"/>
      </w:pPr>
      <w:r w:rsidRPr="00D36AD8">
        <w:t>Sangö C, Zimerson E. 1980. a new reagent for determination of isocyanates in working atmospheres by hplc using uv or fluorescence detection [Article]. J Liq Chromatogr. 3(7):971-990. English.</w:t>
      </w:r>
    </w:p>
    <w:p w:rsidR="003229A6" w:rsidRPr="00D36AD8" w:rsidRDefault="003229A6" w:rsidP="002B443B">
      <w:pPr>
        <w:pStyle w:val="EndNoteBibliography"/>
        <w:spacing w:after="120"/>
      </w:pPr>
      <w:r w:rsidRPr="00D36AD8">
        <w:t>Skarping G, Dalene M, inventors; Provtagaren AB, assignee. 2010. Sampling device. United States patent US 7,700,045.</w:t>
      </w:r>
    </w:p>
    <w:sectPr w:rsidR="003229A6" w:rsidRPr="00D36AD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EAD" w:rsidRDefault="00FF5EAD" w:rsidP="00FF5EAD">
      <w:pPr>
        <w:spacing w:after="0" w:line="240" w:lineRule="auto"/>
      </w:pPr>
      <w:r>
        <w:separator/>
      </w:r>
    </w:p>
  </w:endnote>
  <w:endnote w:type="continuationSeparator" w:id="0">
    <w:p w:rsidR="00FF5EAD" w:rsidRDefault="00FF5EAD" w:rsidP="00FF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AD" w:rsidRDefault="00FF5EA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2" name="MSIPCM790b4db288d96f47c5e0f411"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5EAD" w:rsidRPr="00FF5EAD" w:rsidRDefault="00FF5EAD" w:rsidP="00FF5EAD">
                          <w:pPr>
                            <w:spacing w:after="0"/>
                            <w:rPr>
                              <w:rFonts w:ascii="Rockwell" w:hAnsi="Rockwell"/>
                              <w:color w:val="0078D7"/>
                              <w:sz w:val="18"/>
                            </w:rPr>
                          </w:pPr>
                          <w:r w:rsidRPr="00FF5EA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0b4db288d96f47c5e0f411"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3GU2+hsDAAA3BgAADgAAAAAAAAAAAAAA&#10;AAAuAgAAZHJzL2Uyb0RvYy54bWxQSwECLQAUAAYACAAAACEAu0DtMdwAAAALAQAADwAAAAAAAAAA&#10;AAAAAAB1BQAAZHJzL2Rvd25yZXYueG1sUEsFBgAAAAAEAAQA8wAAAH4GAAAAAA==&#10;" o:allowincell="f" filled="f" stroked="f" strokeweight=".5pt">
              <v:fill o:detectmouseclick="t"/>
              <v:textbox inset="20pt,0,,0">
                <w:txbxContent>
                  <w:p w:rsidR="00FF5EAD" w:rsidRPr="00FF5EAD" w:rsidRDefault="00FF5EAD" w:rsidP="00FF5EAD">
                    <w:pPr>
                      <w:spacing w:after="0"/>
                      <w:rPr>
                        <w:rFonts w:ascii="Rockwell" w:hAnsi="Rockwell"/>
                        <w:color w:val="0078D7"/>
                        <w:sz w:val="18"/>
                      </w:rPr>
                    </w:pPr>
                    <w:r w:rsidRPr="00FF5EAD">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EAD" w:rsidRDefault="00FF5EAD" w:rsidP="00FF5EAD">
      <w:pPr>
        <w:spacing w:after="0" w:line="240" w:lineRule="auto"/>
      </w:pPr>
      <w:r>
        <w:separator/>
      </w:r>
    </w:p>
  </w:footnote>
  <w:footnote w:type="continuationSeparator" w:id="0">
    <w:p w:rsidR="00FF5EAD" w:rsidRDefault="00FF5EAD" w:rsidP="00FF5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E012D"/>
    <w:multiLevelType w:val="hybridMultilevel"/>
    <w:tmpl w:val="896447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229A6"/>
    <w:rsid w:val="002B443B"/>
    <w:rsid w:val="002C6038"/>
    <w:rsid w:val="003229A6"/>
    <w:rsid w:val="00366C25"/>
    <w:rsid w:val="009E14CC"/>
    <w:rsid w:val="00AE67A4"/>
    <w:rsid w:val="00FF5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D457B-9520-41D9-B294-48FA14B8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9A6"/>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29A6"/>
    <w:rPr>
      <w:sz w:val="16"/>
      <w:szCs w:val="16"/>
    </w:rPr>
  </w:style>
  <w:style w:type="paragraph" w:styleId="CommentText">
    <w:name w:val="annotation text"/>
    <w:basedOn w:val="Normal"/>
    <w:link w:val="CommentTextChar"/>
    <w:uiPriority w:val="99"/>
    <w:semiHidden/>
    <w:unhideWhenUsed/>
    <w:qFormat/>
    <w:rsid w:val="003229A6"/>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3229A6"/>
    <w:rPr>
      <w:sz w:val="20"/>
      <w:szCs w:val="20"/>
      <w:lang w:val="fr-CA"/>
    </w:rPr>
  </w:style>
  <w:style w:type="paragraph" w:styleId="BalloonText">
    <w:name w:val="Balloon Text"/>
    <w:basedOn w:val="Normal"/>
    <w:link w:val="BalloonTextChar"/>
    <w:uiPriority w:val="99"/>
    <w:semiHidden/>
    <w:unhideWhenUsed/>
    <w:rsid w:val="0032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A6"/>
    <w:rPr>
      <w:rFonts w:ascii="Tahoma" w:hAnsi="Tahoma" w:cs="Tahoma"/>
      <w:sz w:val="16"/>
      <w:szCs w:val="16"/>
      <w:lang w:val="fr-CA"/>
    </w:rPr>
  </w:style>
  <w:style w:type="paragraph" w:styleId="CommentSubject">
    <w:name w:val="annotation subject"/>
    <w:basedOn w:val="CommentText"/>
    <w:next w:val="CommentText"/>
    <w:link w:val="CommentSubjectChar"/>
    <w:uiPriority w:val="99"/>
    <w:semiHidden/>
    <w:unhideWhenUsed/>
    <w:rsid w:val="003229A6"/>
    <w:rPr>
      <w:b/>
      <w:bCs/>
    </w:rPr>
  </w:style>
  <w:style w:type="character" w:customStyle="1" w:styleId="CommentSubjectChar">
    <w:name w:val="Comment Subject Char"/>
    <w:basedOn w:val="CommentTextChar"/>
    <w:link w:val="CommentSubject"/>
    <w:uiPriority w:val="99"/>
    <w:semiHidden/>
    <w:rsid w:val="003229A6"/>
    <w:rPr>
      <w:b/>
      <w:bCs/>
      <w:sz w:val="20"/>
      <w:szCs w:val="20"/>
      <w:lang w:val="fr-CA"/>
    </w:rPr>
  </w:style>
  <w:style w:type="paragraph" w:customStyle="1" w:styleId="EndNoteBibliographyTitle">
    <w:name w:val="EndNote Bibliography Title"/>
    <w:basedOn w:val="Normal"/>
    <w:link w:val="EndNoteBibliographyTitleCar"/>
    <w:rsid w:val="003229A6"/>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3229A6"/>
    <w:rPr>
      <w:rFonts w:ascii="Calibri" w:hAnsi="Calibri" w:cs="Calibri"/>
      <w:noProof/>
      <w:lang w:val="en-US"/>
    </w:rPr>
  </w:style>
  <w:style w:type="paragraph" w:customStyle="1" w:styleId="EndNoteBibliography">
    <w:name w:val="EndNote Bibliography"/>
    <w:basedOn w:val="Normal"/>
    <w:link w:val="EndNoteBibliographyCar"/>
    <w:rsid w:val="003229A6"/>
    <w:pPr>
      <w:spacing w:line="240" w:lineRule="auto"/>
    </w:pPr>
    <w:rPr>
      <w:rFonts w:ascii="Calibri" w:hAnsi="Calibri" w:cs="Calibri"/>
      <w:noProof/>
      <w:lang w:val="en-US"/>
    </w:rPr>
  </w:style>
  <w:style w:type="character" w:customStyle="1" w:styleId="EndNoteBibliographyCar">
    <w:name w:val="EndNote Bibliography Car"/>
    <w:basedOn w:val="DefaultParagraphFont"/>
    <w:link w:val="EndNoteBibliography"/>
    <w:rsid w:val="003229A6"/>
    <w:rPr>
      <w:rFonts w:ascii="Calibri" w:hAnsi="Calibri" w:cs="Calibri"/>
      <w:noProof/>
      <w:lang w:val="en-US"/>
    </w:rPr>
  </w:style>
  <w:style w:type="character" w:styleId="Hyperlink">
    <w:name w:val="Hyperlink"/>
    <w:basedOn w:val="DefaultParagraphFont"/>
    <w:uiPriority w:val="99"/>
    <w:unhideWhenUsed/>
    <w:rsid w:val="003229A6"/>
    <w:rPr>
      <w:color w:val="0000FF" w:themeColor="hyperlink"/>
      <w:u w:val="single"/>
    </w:rPr>
  </w:style>
  <w:style w:type="character" w:customStyle="1" w:styleId="InternetLink">
    <w:name w:val="Internet Link"/>
    <w:basedOn w:val="DefaultParagraphFont"/>
    <w:uiPriority w:val="99"/>
    <w:semiHidden/>
    <w:unhideWhenUsed/>
    <w:rsid w:val="003229A6"/>
    <w:rPr>
      <w:color w:val="0000FF"/>
      <w:u w:val="single"/>
    </w:rPr>
  </w:style>
  <w:style w:type="paragraph" w:styleId="BodyText">
    <w:name w:val="Body Text"/>
    <w:basedOn w:val="Normal"/>
    <w:link w:val="BodyTextChar"/>
    <w:rsid w:val="003229A6"/>
    <w:pPr>
      <w:spacing w:after="140" w:line="288" w:lineRule="auto"/>
    </w:pPr>
    <w:rPr>
      <w:rFonts w:ascii="Liberation Serif" w:eastAsia="SimSun" w:hAnsi="Liberation Serif" w:cs="Mangal"/>
      <w:color w:val="00000A"/>
      <w:sz w:val="24"/>
      <w:szCs w:val="24"/>
      <w:lang w:val="en-US" w:eastAsia="zh-CN" w:bidi="hi-IN"/>
    </w:rPr>
  </w:style>
  <w:style w:type="character" w:customStyle="1" w:styleId="BodyTextChar">
    <w:name w:val="Body Text Char"/>
    <w:basedOn w:val="DefaultParagraphFont"/>
    <w:link w:val="BodyText"/>
    <w:rsid w:val="003229A6"/>
    <w:rPr>
      <w:rFonts w:ascii="Liberation Serif" w:eastAsia="SimSun" w:hAnsi="Liberation Serif" w:cs="Mangal"/>
      <w:color w:val="00000A"/>
      <w:sz w:val="24"/>
      <w:szCs w:val="24"/>
      <w:lang w:val="en-US" w:eastAsia="zh-CN" w:bidi="hi-IN"/>
    </w:rPr>
  </w:style>
  <w:style w:type="character" w:styleId="Strong">
    <w:name w:val="Strong"/>
    <w:basedOn w:val="DefaultParagraphFont"/>
    <w:uiPriority w:val="22"/>
    <w:qFormat/>
    <w:rsid w:val="003229A6"/>
    <w:rPr>
      <w:b/>
      <w:bCs/>
    </w:rPr>
  </w:style>
  <w:style w:type="table" w:styleId="TableGrid">
    <w:name w:val="Table Grid"/>
    <w:basedOn w:val="TableNormal"/>
    <w:uiPriority w:val="59"/>
    <w:rsid w:val="003229A6"/>
    <w:pPr>
      <w:spacing w:after="160" w:line="240" w:lineRule="auto"/>
    </w:pPr>
    <w:rPr>
      <w:rFonts w:ascii="Liberation Serif" w:hAnsi="Liberation Serif"/>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29A6"/>
    <w:rPr>
      <w:color w:val="800080" w:themeColor="followedHyperlink"/>
      <w:u w:val="single"/>
    </w:rPr>
  </w:style>
  <w:style w:type="table" w:customStyle="1" w:styleId="Grilledutableau1">
    <w:name w:val="Grille du tableau1"/>
    <w:basedOn w:val="TableNormal"/>
    <w:next w:val="TableGrid"/>
    <w:uiPriority w:val="59"/>
    <w:rsid w:val="003229A6"/>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3229A6"/>
    <w:pPr>
      <w:spacing w:after="160" w:line="240" w:lineRule="auto"/>
    </w:pPr>
    <w:rPr>
      <w:rFonts w:ascii="Liberation Serif" w:hAnsi="Liberation Serif"/>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AD"/>
    <w:rPr>
      <w:lang w:val="fr-CA"/>
    </w:rPr>
  </w:style>
  <w:style w:type="paragraph" w:styleId="Footer">
    <w:name w:val="footer"/>
    <w:basedOn w:val="Normal"/>
    <w:link w:val="FooterChar"/>
    <w:uiPriority w:val="99"/>
    <w:unhideWhenUsed/>
    <w:rsid w:val="00FF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AD"/>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1628</Words>
  <Characters>9284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IRSST</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Aubin</dc:creator>
  <cp:lastModifiedBy>Lee, Gina</cp:lastModifiedBy>
  <cp:revision>2</cp:revision>
  <dcterms:created xsi:type="dcterms:W3CDTF">2020-03-17T18:41:00Z</dcterms:created>
  <dcterms:modified xsi:type="dcterms:W3CDTF">2020-03-17T18:41:00Z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Gina.Lee@informa.com</vt:lpwstr>
  </property>
  <property fmtid="{D5CDD505-2E9C-101B-9397-08002B2CF9AE}" pid="5" name="MSIP_Label_181c070e-054b-4d1c-ba4c-fc70b099192e_SetDate">
    <vt:lpwstr>2020-03-17T18:41:05.2605343Z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075df51f-9bf7-4cc3-a502-b8c93bb1587c</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Gina.Lee@informa.com</vt:lpwstr>
  </property>
  <property fmtid="{D5CDD505-2E9C-101B-9397-08002B2CF9AE}" pid="13" name="MSIP_Label_2bbab825-a111-45e4-86a1-18cee0005896_SetDate">
    <vt:lpwstr>2020-03-17T18:41:05.2605343Z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075df51f-9bf7-4cc3-a502-b8c93bb1587c</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