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3FC4F" w14:textId="29995BF2" w:rsidR="008A6EC9" w:rsidRDefault="002D7137" w:rsidP="008A6EC9">
      <w:pPr>
        <w:jc w:val="center"/>
        <w:rPr>
          <w:rFonts w:cs="Times New Roman"/>
          <w:sz w:val="28"/>
          <w:szCs w:val="28"/>
        </w:rPr>
      </w:pPr>
      <w:r>
        <w:rPr>
          <w:rFonts w:cs="Times New Roman"/>
          <w:sz w:val="28"/>
          <w:szCs w:val="28"/>
        </w:rPr>
        <w:t>Supplementary Information for “</w:t>
      </w:r>
      <w:r w:rsidR="00BE53FD" w:rsidRPr="00BE53FD">
        <w:rPr>
          <w:rFonts w:cs="Times New Roman"/>
          <w:sz w:val="28"/>
          <w:szCs w:val="28"/>
        </w:rPr>
        <w:t>Sensitivity and Accuracy of Refractive Index Retrievals from Measured Extinction and Absorption Cross Sections for Mobility-Selected Internally Mixed Light Absorbing Aerosols</w:t>
      </w:r>
      <w:r>
        <w:rPr>
          <w:rFonts w:cs="Times New Roman"/>
          <w:sz w:val="28"/>
          <w:szCs w:val="28"/>
        </w:rPr>
        <w:t>”</w:t>
      </w:r>
      <w:bookmarkStart w:id="0" w:name="_GoBack"/>
      <w:bookmarkEnd w:id="0"/>
    </w:p>
    <w:p w14:paraId="4179D7DB" w14:textId="56A92C8E" w:rsidR="004E44AB" w:rsidRPr="000B0D98" w:rsidRDefault="004E44AB" w:rsidP="004E44AB">
      <w:pPr>
        <w:pStyle w:val="BATitle"/>
        <w:spacing w:before="0" w:after="0"/>
        <w:rPr>
          <w:sz w:val="20"/>
        </w:rPr>
      </w:pPr>
      <w:r w:rsidRPr="000B0D98">
        <w:rPr>
          <w:sz w:val="20"/>
        </w:rPr>
        <w:t>Michael I. Cotterell</w:t>
      </w:r>
      <w:proofErr w:type="gramStart"/>
      <w:r w:rsidRPr="000B0D98">
        <w:rPr>
          <w:sz w:val="20"/>
        </w:rPr>
        <w:t>,</w:t>
      </w:r>
      <w:r w:rsidRPr="000B0D98">
        <w:rPr>
          <w:sz w:val="20"/>
          <w:vertAlign w:val="superscript"/>
        </w:rPr>
        <w:t>1,2</w:t>
      </w:r>
      <w:r w:rsidR="00842B4E">
        <w:rPr>
          <w:sz w:val="20"/>
          <w:vertAlign w:val="superscript"/>
        </w:rPr>
        <w:t>,3</w:t>
      </w:r>
      <w:proofErr w:type="gramEnd"/>
      <w:r w:rsidRPr="000B0D98">
        <w:rPr>
          <w:sz w:val="20"/>
        </w:rPr>
        <w:t xml:space="preserve">* </w:t>
      </w:r>
      <w:r>
        <w:rPr>
          <w:sz w:val="20"/>
        </w:rPr>
        <w:t>Kate Szpek</w:t>
      </w:r>
      <w:r w:rsidR="00D17527">
        <w:rPr>
          <w:sz w:val="20"/>
        </w:rPr>
        <w:t>,</w:t>
      </w:r>
      <w:r w:rsidRPr="000B0D98">
        <w:rPr>
          <w:sz w:val="20"/>
          <w:vertAlign w:val="superscript"/>
        </w:rPr>
        <w:t>2</w:t>
      </w:r>
      <w:r w:rsidRPr="000B0D98">
        <w:rPr>
          <w:sz w:val="20"/>
        </w:rPr>
        <w:t xml:space="preserve"> </w:t>
      </w:r>
      <w:r>
        <w:rPr>
          <w:sz w:val="20"/>
        </w:rPr>
        <w:t>Jim M. Haywood</w:t>
      </w:r>
      <w:r>
        <w:rPr>
          <w:sz w:val="20"/>
          <w:vertAlign w:val="superscript"/>
        </w:rPr>
        <w:t>1,2</w:t>
      </w:r>
      <w:r>
        <w:rPr>
          <w:sz w:val="20"/>
        </w:rPr>
        <w:t xml:space="preserve"> </w:t>
      </w:r>
      <w:r w:rsidRPr="000B0D98">
        <w:rPr>
          <w:sz w:val="20"/>
        </w:rPr>
        <w:t>and Justin M. Langridge</w:t>
      </w:r>
      <w:r w:rsidRPr="000B0D98">
        <w:rPr>
          <w:sz w:val="20"/>
          <w:vertAlign w:val="superscript"/>
        </w:rPr>
        <w:t>2</w:t>
      </w:r>
    </w:p>
    <w:p w14:paraId="7A5AC9EA" w14:textId="77777777" w:rsidR="004E44AB" w:rsidRPr="000B0D98" w:rsidRDefault="004E44AB" w:rsidP="00B736F9">
      <w:pPr>
        <w:pStyle w:val="BATitle"/>
        <w:spacing w:before="0" w:after="0"/>
        <w:jc w:val="left"/>
        <w:rPr>
          <w:sz w:val="20"/>
        </w:rPr>
      </w:pPr>
      <w:r w:rsidRPr="000B0D98">
        <w:rPr>
          <w:sz w:val="20"/>
          <w:vertAlign w:val="superscript"/>
        </w:rPr>
        <w:t>1</w:t>
      </w:r>
      <w:r w:rsidRPr="000B0D98">
        <w:rPr>
          <w:sz w:val="20"/>
        </w:rPr>
        <w:t>College for Engineering, Mathematics and Physical Sciences, University of Exeter, Exeter,</w:t>
      </w:r>
      <w:r>
        <w:rPr>
          <w:sz w:val="20"/>
        </w:rPr>
        <w:t xml:space="preserve"> UK, EX4 4QF</w:t>
      </w:r>
    </w:p>
    <w:p w14:paraId="080122A7" w14:textId="77777777" w:rsidR="004E44AB" w:rsidRDefault="004E44AB" w:rsidP="00B736F9">
      <w:pPr>
        <w:pStyle w:val="BATitle"/>
        <w:spacing w:before="0" w:after="0"/>
        <w:jc w:val="left"/>
        <w:rPr>
          <w:sz w:val="20"/>
        </w:rPr>
      </w:pPr>
      <w:r w:rsidRPr="000B0D98">
        <w:rPr>
          <w:sz w:val="20"/>
          <w:vertAlign w:val="superscript"/>
        </w:rPr>
        <w:t>2</w:t>
      </w:r>
      <w:r w:rsidRPr="000B0D98">
        <w:rPr>
          <w:sz w:val="20"/>
        </w:rPr>
        <w:t>Observation Base</w:t>
      </w:r>
      <w:r>
        <w:rPr>
          <w:sz w:val="20"/>
        </w:rPr>
        <w:t>d Research, Met Office, Exeter, UK, EX1 3PB</w:t>
      </w:r>
    </w:p>
    <w:p w14:paraId="7BFCDB38" w14:textId="77777777" w:rsidR="00B736F9" w:rsidRDefault="00842B4E" w:rsidP="00B736F9">
      <w:pPr>
        <w:spacing w:before="0" w:after="0" w:line="480" w:lineRule="auto"/>
        <w:rPr>
          <w:lang w:val="en-US"/>
        </w:rPr>
      </w:pPr>
      <w:r>
        <w:rPr>
          <w:vertAlign w:val="superscript"/>
          <w:lang w:val="en-US"/>
        </w:rPr>
        <w:t>3</w:t>
      </w:r>
      <w:r>
        <w:rPr>
          <w:lang w:val="en-US"/>
        </w:rPr>
        <w:t>Now at: School of Chemistry, University of Bristol, Bristol, UK, BS8 1TS</w:t>
      </w:r>
    </w:p>
    <w:p w14:paraId="335477F0" w14:textId="6EE650EF" w:rsidR="00C27BA5" w:rsidRDefault="004E44AB" w:rsidP="00B736F9">
      <w:pPr>
        <w:spacing w:before="0" w:after="0" w:line="480" w:lineRule="auto"/>
      </w:pPr>
      <w:r w:rsidRPr="000B0D98">
        <w:t xml:space="preserve">* Author for correspondence: </w:t>
      </w:r>
      <w:hyperlink r:id="rId8" w:history="1">
        <w:r w:rsidR="00715CF2" w:rsidRPr="00F20321">
          <w:rPr>
            <w:rStyle w:val="Hyperlink"/>
          </w:rPr>
          <w:t>m.cotterell@bristol.ac.uk</w:t>
        </w:r>
      </w:hyperlink>
    </w:p>
    <w:sdt>
      <w:sdtPr>
        <w:id w:val="-141348995"/>
        <w:docPartObj>
          <w:docPartGallery w:val="Table of Contents"/>
          <w:docPartUnique/>
        </w:docPartObj>
      </w:sdtPr>
      <w:sdtEndPr>
        <w:rPr>
          <w:rFonts w:eastAsiaTheme="minorHAnsi" w:cstheme="minorBidi"/>
          <w:bCs/>
          <w:noProof/>
          <w:color w:val="auto"/>
          <w:sz w:val="20"/>
          <w:szCs w:val="22"/>
          <w:lang w:val="en-GB"/>
        </w:rPr>
      </w:sdtEndPr>
      <w:sdtContent>
        <w:p w14:paraId="79FF6B09" w14:textId="6AFBA473" w:rsidR="00715CF2" w:rsidRDefault="00715CF2">
          <w:pPr>
            <w:pStyle w:val="TOCHeading"/>
          </w:pPr>
          <w:r>
            <w:t>Contents</w:t>
          </w:r>
        </w:p>
        <w:p w14:paraId="758697F4" w14:textId="77777777" w:rsidR="00715CF2" w:rsidRDefault="00715CF2" w:rsidP="00715CF2">
          <w:pPr>
            <w:pStyle w:val="TOC1"/>
            <w:tabs>
              <w:tab w:val="right" w:leader="dot" w:pos="9016"/>
            </w:tabs>
            <w:spacing w:after="240"/>
            <w:rPr>
              <w:noProof/>
            </w:rPr>
          </w:pPr>
          <w:r>
            <w:rPr>
              <w:b/>
              <w:bCs/>
              <w:noProof/>
            </w:rPr>
            <w:fldChar w:fldCharType="begin"/>
          </w:r>
          <w:r>
            <w:rPr>
              <w:b/>
              <w:bCs/>
              <w:noProof/>
            </w:rPr>
            <w:instrText xml:space="preserve"> TOC \o "1-3" \h \z \u </w:instrText>
          </w:r>
          <w:r>
            <w:rPr>
              <w:b/>
              <w:bCs/>
              <w:noProof/>
            </w:rPr>
            <w:fldChar w:fldCharType="separate"/>
          </w:r>
          <w:hyperlink w:anchor="_Toc33176019" w:history="1">
            <w:r w:rsidRPr="00304C9F">
              <w:rPr>
                <w:rStyle w:val="Hyperlink"/>
                <w:noProof/>
              </w:rPr>
              <w:t>S1. Cavity ring-down spectroscopy measurements</w:t>
            </w:r>
            <w:r>
              <w:rPr>
                <w:noProof/>
                <w:webHidden/>
              </w:rPr>
              <w:tab/>
            </w:r>
            <w:r>
              <w:rPr>
                <w:noProof/>
                <w:webHidden/>
              </w:rPr>
              <w:fldChar w:fldCharType="begin"/>
            </w:r>
            <w:r>
              <w:rPr>
                <w:noProof/>
                <w:webHidden/>
              </w:rPr>
              <w:instrText xml:space="preserve"> PAGEREF _Toc33176019 \h </w:instrText>
            </w:r>
            <w:r>
              <w:rPr>
                <w:noProof/>
                <w:webHidden/>
              </w:rPr>
            </w:r>
            <w:r>
              <w:rPr>
                <w:noProof/>
                <w:webHidden/>
              </w:rPr>
              <w:fldChar w:fldCharType="separate"/>
            </w:r>
            <w:r>
              <w:rPr>
                <w:noProof/>
                <w:webHidden/>
              </w:rPr>
              <w:t>2</w:t>
            </w:r>
            <w:r>
              <w:rPr>
                <w:noProof/>
                <w:webHidden/>
              </w:rPr>
              <w:fldChar w:fldCharType="end"/>
            </w:r>
          </w:hyperlink>
        </w:p>
        <w:p w14:paraId="4780598F" w14:textId="77777777" w:rsidR="00715CF2" w:rsidRDefault="00715CF2" w:rsidP="00715CF2">
          <w:pPr>
            <w:pStyle w:val="TOC1"/>
            <w:tabs>
              <w:tab w:val="right" w:leader="dot" w:pos="9016"/>
            </w:tabs>
            <w:spacing w:after="240"/>
            <w:rPr>
              <w:noProof/>
            </w:rPr>
          </w:pPr>
          <w:hyperlink w:anchor="_Toc33176020" w:history="1">
            <w:r w:rsidRPr="00304C9F">
              <w:rPr>
                <w:rStyle w:val="Hyperlink"/>
                <w:noProof/>
              </w:rPr>
              <w:t>S2. Photoacoustic spectroscopy measurements</w:t>
            </w:r>
            <w:r>
              <w:rPr>
                <w:noProof/>
                <w:webHidden/>
              </w:rPr>
              <w:tab/>
            </w:r>
            <w:r>
              <w:rPr>
                <w:noProof/>
                <w:webHidden/>
              </w:rPr>
              <w:fldChar w:fldCharType="begin"/>
            </w:r>
            <w:r>
              <w:rPr>
                <w:noProof/>
                <w:webHidden/>
              </w:rPr>
              <w:instrText xml:space="preserve"> PAGEREF _Toc33176020 \h </w:instrText>
            </w:r>
            <w:r>
              <w:rPr>
                <w:noProof/>
                <w:webHidden/>
              </w:rPr>
            </w:r>
            <w:r>
              <w:rPr>
                <w:noProof/>
                <w:webHidden/>
              </w:rPr>
              <w:fldChar w:fldCharType="separate"/>
            </w:r>
            <w:r>
              <w:rPr>
                <w:noProof/>
                <w:webHidden/>
              </w:rPr>
              <w:t>2</w:t>
            </w:r>
            <w:r>
              <w:rPr>
                <w:noProof/>
                <w:webHidden/>
              </w:rPr>
              <w:fldChar w:fldCharType="end"/>
            </w:r>
          </w:hyperlink>
        </w:p>
        <w:p w14:paraId="21F8AEC6" w14:textId="77777777" w:rsidR="00715CF2" w:rsidRDefault="00715CF2" w:rsidP="00715CF2">
          <w:pPr>
            <w:pStyle w:val="TOC1"/>
            <w:tabs>
              <w:tab w:val="right" w:leader="dot" w:pos="9016"/>
            </w:tabs>
            <w:spacing w:after="240"/>
            <w:rPr>
              <w:noProof/>
            </w:rPr>
          </w:pPr>
          <w:hyperlink w:anchor="_Toc33176021" w:history="1">
            <w:r w:rsidRPr="00304C9F">
              <w:rPr>
                <w:rStyle w:val="Hyperlink"/>
                <w:noProof/>
              </w:rPr>
              <w:t>S3. Calibrating CPC</w:t>
            </w:r>
            <w:r w:rsidRPr="00304C9F">
              <w:rPr>
                <w:rStyle w:val="Hyperlink"/>
                <w:noProof/>
                <w:vertAlign w:val="subscript"/>
              </w:rPr>
              <w:t>3010</w:t>
            </w:r>
            <w:r w:rsidRPr="00304C9F">
              <w:rPr>
                <w:rStyle w:val="Hyperlink"/>
                <w:noProof/>
              </w:rPr>
              <w:t xml:space="preserve"> measurements of number concentrations</w:t>
            </w:r>
            <w:r>
              <w:rPr>
                <w:noProof/>
                <w:webHidden/>
              </w:rPr>
              <w:tab/>
            </w:r>
            <w:r>
              <w:rPr>
                <w:noProof/>
                <w:webHidden/>
              </w:rPr>
              <w:fldChar w:fldCharType="begin"/>
            </w:r>
            <w:r>
              <w:rPr>
                <w:noProof/>
                <w:webHidden/>
              </w:rPr>
              <w:instrText xml:space="preserve"> PAGEREF _Toc33176021 \h </w:instrText>
            </w:r>
            <w:r>
              <w:rPr>
                <w:noProof/>
                <w:webHidden/>
              </w:rPr>
            </w:r>
            <w:r>
              <w:rPr>
                <w:noProof/>
                <w:webHidden/>
              </w:rPr>
              <w:fldChar w:fldCharType="separate"/>
            </w:r>
            <w:r>
              <w:rPr>
                <w:noProof/>
                <w:webHidden/>
              </w:rPr>
              <w:t>4</w:t>
            </w:r>
            <w:r>
              <w:rPr>
                <w:noProof/>
                <w:webHidden/>
              </w:rPr>
              <w:fldChar w:fldCharType="end"/>
            </w:r>
          </w:hyperlink>
        </w:p>
        <w:p w14:paraId="5C55A404" w14:textId="77777777" w:rsidR="00715CF2" w:rsidRDefault="00715CF2" w:rsidP="00715CF2">
          <w:pPr>
            <w:pStyle w:val="TOC1"/>
            <w:tabs>
              <w:tab w:val="right" w:leader="dot" w:pos="9016"/>
            </w:tabs>
            <w:spacing w:after="240"/>
            <w:rPr>
              <w:noProof/>
            </w:rPr>
          </w:pPr>
          <w:hyperlink w:anchor="_Toc33176022" w:history="1">
            <w:r w:rsidRPr="00304C9F">
              <w:rPr>
                <w:rStyle w:val="Hyperlink"/>
                <w:noProof/>
              </w:rPr>
              <w:t>S4. Aerosol transmission factors</w:t>
            </w:r>
            <w:r>
              <w:rPr>
                <w:noProof/>
                <w:webHidden/>
              </w:rPr>
              <w:tab/>
            </w:r>
            <w:r>
              <w:rPr>
                <w:noProof/>
                <w:webHidden/>
              </w:rPr>
              <w:fldChar w:fldCharType="begin"/>
            </w:r>
            <w:r>
              <w:rPr>
                <w:noProof/>
                <w:webHidden/>
              </w:rPr>
              <w:instrText xml:space="preserve"> PAGEREF _Toc33176022 \h </w:instrText>
            </w:r>
            <w:r>
              <w:rPr>
                <w:noProof/>
                <w:webHidden/>
              </w:rPr>
            </w:r>
            <w:r>
              <w:rPr>
                <w:noProof/>
                <w:webHidden/>
              </w:rPr>
              <w:fldChar w:fldCharType="separate"/>
            </w:r>
            <w:r>
              <w:rPr>
                <w:noProof/>
                <w:webHidden/>
              </w:rPr>
              <w:t>5</w:t>
            </w:r>
            <w:r>
              <w:rPr>
                <w:noProof/>
                <w:webHidden/>
              </w:rPr>
              <w:fldChar w:fldCharType="end"/>
            </w:r>
          </w:hyperlink>
        </w:p>
        <w:p w14:paraId="5C820F3C" w14:textId="77777777" w:rsidR="00715CF2" w:rsidRDefault="00715CF2" w:rsidP="00715CF2">
          <w:pPr>
            <w:pStyle w:val="TOC1"/>
            <w:tabs>
              <w:tab w:val="right" w:leader="dot" w:pos="9016"/>
            </w:tabs>
            <w:spacing w:after="240"/>
            <w:rPr>
              <w:noProof/>
            </w:rPr>
          </w:pPr>
          <w:hyperlink w:anchor="_Toc33176023" w:history="1">
            <w:r w:rsidRPr="00304C9F">
              <w:rPr>
                <w:rStyle w:val="Hyperlink"/>
                <w:noProof/>
              </w:rPr>
              <w:t>S5. Modelling the particle size distribution and fractional contribution to optical cross sections for particles transmitted through a differential mobility analyser</w:t>
            </w:r>
            <w:r>
              <w:rPr>
                <w:noProof/>
                <w:webHidden/>
              </w:rPr>
              <w:tab/>
            </w:r>
            <w:r>
              <w:rPr>
                <w:noProof/>
                <w:webHidden/>
              </w:rPr>
              <w:fldChar w:fldCharType="begin"/>
            </w:r>
            <w:r>
              <w:rPr>
                <w:noProof/>
                <w:webHidden/>
              </w:rPr>
              <w:instrText xml:space="preserve"> PAGEREF _Toc33176023 \h </w:instrText>
            </w:r>
            <w:r>
              <w:rPr>
                <w:noProof/>
                <w:webHidden/>
              </w:rPr>
            </w:r>
            <w:r>
              <w:rPr>
                <w:noProof/>
                <w:webHidden/>
              </w:rPr>
              <w:fldChar w:fldCharType="separate"/>
            </w:r>
            <w:r>
              <w:rPr>
                <w:noProof/>
                <w:webHidden/>
              </w:rPr>
              <w:t>7</w:t>
            </w:r>
            <w:r>
              <w:rPr>
                <w:noProof/>
                <w:webHidden/>
              </w:rPr>
              <w:fldChar w:fldCharType="end"/>
            </w:r>
          </w:hyperlink>
        </w:p>
        <w:p w14:paraId="048F4C37" w14:textId="77777777" w:rsidR="00715CF2" w:rsidRDefault="00715CF2" w:rsidP="00715CF2">
          <w:pPr>
            <w:pStyle w:val="TOC1"/>
            <w:tabs>
              <w:tab w:val="right" w:leader="dot" w:pos="9016"/>
            </w:tabs>
            <w:spacing w:after="240"/>
            <w:rPr>
              <w:noProof/>
            </w:rPr>
          </w:pPr>
          <w:hyperlink w:anchor="_Toc33176024" w:history="1">
            <w:r w:rsidRPr="00304C9F">
              <w:rPr>
                <w:rStyle w:val="Hyperlink"/>
                <w:noProof/>
              </w:rPr>
              <w:t>S6. Optimising the charge distribution for a soft x-ray neutraliser</w:t>
            </w:r>
            <w:r>
              <w:rPr>
                <w:noProof/>
                <w:webHidden/>
              </w:rPr>
              <w:tab/>
            </w:r>
            <w:r>
              <w:rPr>
                <w:noProof/>
                <w:webHidden/>
              </w:rPr>
              <w:fldChar w:fldCharType="begin"/>
            </w:r>
            <w:r>
              <w:rPr>
                <w:noProof/>
                <w:webHidden/>
              </w:rPr>
              <w:instrText xml:space="preserve"> PAGEREF _Toc33176024 \h </w:instrText>
            </w:r>
            <w:r>
              <w:rPr>
                <w:noProof/>
                <w:webHidden/>
              </w:rPr>
            </w:r>
            <w:r>
              <w:rPr>
                <w:noProof/>
                <w:webHidden/>
              </w:rPr>
              <w:fldChar w:fldCharType="separate"/>
            </w:r>
            <w:r>
              <w:rPr>
                <w:noProof/>
                <w:webHidden/>
              </w:rPr>
              <w:t>8</w:t>
            </w:r>
            <w:r>
              <w:rPr>
                <w:noProof/>
                <w:webHidden/>
              </w:rPr>
              <w:fldChar w:fldCharType="end"/>
            </w:r>
          </w:hyperlink>
        </w:p>
        <w:p w14:paraId="086B7E2D" w14:textId="77777777" w:rsidR="00715CF2" w:rsidRDefault="00715CF2" w:rsidP="00715CF2">
          <w:pPr>
            <w:pStyle w:val="TOC1"/>
            <w:tabs>
              <w:tab w:val="right" w:leader="dot" w:pos="9016"/>
            </w:tabs>
            <w:spacing w:after="240"/>
            <w:rPr>
              <w:noProof/>
            </w:rPr>
          </w:pPr>
          <w:hyperlink w:anchor="_Toc33176025" w:history="1">
            <w:r w:rsidRPr="00304C9F">
              <w:rPr>
                <w:rStyle w:val="Hyperlink"/>
                <w:noProof/>
              </w:rPr>
              <w:t>S7. Sensitivity in PAS-measured absorption coefficients</w:t>
            </w:r>
            <w:r>
              <w:rPr>
                <w:noProof/>
                <w:webHidden/>
              </w:rPr>
              <w:tab/>
            </w:r>
            <w:r>
              <w:rPr>
                <w:noProof/>
                <w:webHidden/>
              </w:rPr>
              <w:fldChar w:fldCharType="begin"/>
            </w:r>
            <w:r>
              <w:rPr>
                <w:noProof/>
                <w:webHidden/>
              </w:rPr>
              <w:instrText xml:space="preserve"> PAGEREF _Toc33176025 \h </w:instrText>
            </w:r>
            <w:r>
              <w:rPr>
                <w:noProof/>
                <w:webHidden/>
              </w:rPr>
            </w:r>
            <w:r>
              <w:rPr>
                <w:noProof/>
                <w:webHidden/>
              </w:rPr>
              <w:fldChar w:fldCharType="separate"/>
            </w:r>
            <w:r>
              <w:rPr>
                <w:noProof/>
                <w:webHidden/>
              </w:rPr>
              <w:t>11</w:t>
            </w:r>
            <w:r>
              <w:rPr>
                <w:noProof/>
                <w:webHidden/>
              </w:rPr>
              <w:fldChar w:fldCharType="end"/>
            </w:r>
          </w:hyperlink>
        </w:p>
        <w:p w14:paraId="1ED42D90" w14:textId="77777777" w:rsidR="00715CF2" w:rsidRDefault="00715CF2" w:rsidP="00715CF2">
          <w:pPr>
            <w:pStyle w:val="TOC1"/>
            <w:tabs>
              <w:tab w:val="right" w:leader="dot" w:pos="9016"/>
            </w:tabs>
            <w:spacing w:after="240"/>
            <w:rPr>
              <w:noProof/>
            </w:rPr>
          </w:pPr>
          <w:hyperlink w:anchor="_Toc33176026" w:history="1">
            <w:r w:rsidRPr="00304C9F">
              <w:rPr>
                <w:rStyle w:val="Hyperlink"/>
                <w:noProof/>
              </w:rPr>
              <w:t>S8. Figure of merits for example refractive index retrievals</w:t>
            </w:r>
            <w:r>
              <w:rPr>
                <w:noProof/>
                <w:webHidden/>
              </w:rPr>
              <w:tab/>
            </w:r>
            <w:r>
              <w:rPr>
                <w:noProof/>
                <w:webHidden/>
              </w:rPr>
              <w:fldChar w:fldCharType="begin"/>
            </w:r>
            <w:r>
              <w:rPr>
                <w:noProof/>
                <w:webHidden/>
              </w:rPr>
              <w:instrText xml:space="preserve"> PAGEREF _Toc33176026 \h </w:instrText>
            </w:r>
            <w:r>
              <w:rPr>
                <w:noProof/>
                <w:webHidden/>
              </w:rPr>
            </w:r>
            <w:r>
              <w:rPr>
                <w:noProof/>
                <w:webHidden/>
              </w:rPr>
              <w:fldChar w:fldCharType="separate"/>
            </w:r>
            <w:r>
              <w:rPr>
                <w:noProof/>
                <w:webHidden/>
              </w:rPr>
              <w:t>12</w:t>
            </w:r>
            <w:r>
              <w:rPr>
                <w:noProof/>
                <w:webHidden/>
              </w:rPr>
              <w:fldChar w:fldCharType="end"/>
            </w:r>
          </w:hyperlink>
        </w:p>
        <w:p w14:paraId="4CE49D0B" w14:textId="77777777" w:rsidR="00715CF2" w:rsidRDefault="00715CF2" w:rsidP="00715CF2">
          <w:pPr>
            <w:pStyle w:val="TOC1"/>
            <w:tabs>
              <w:tab w:val="right" w:leader="dot" w:pos="9016"/>
            </w:tabs>
            <w:spacing w:after="240"/>
            <w:rPr>
              <w:noProof/>
            </w:rPr>
          </w:pPr>
          <w:hyperlink w:anchor="_Toc33176027" w:history="1">
            <w:r w:rsidRPr="00304C9F">
              <w:rPr>
                <w:rStyle w:val="Hyperlink"/>
                <w:noProof/>
              </w:rPr>
              <w:t>S9. Effective density for AS-nigrosin mixtures</w:t>
            </w:r>
            <w:r>
              <w:rPr>
                <w:noProof/>
                <w:webHidden/>
              </w:rPr>
              <w:tab/>
            </w:r>
            <w:r>
              <w:rPr>
                <w:noProof/>
                <w:webHidden/>
              </w:rPr>
              <w:fldChar w:fldCharType="begin"/>
            </w:r>
            <w:r>
              <w:rPr>
                <w:noProof/>
                <w:webHidden/>
              </w:rPr>
              <w:instrText xml:space="preserve"> PAGEREF _Toc33176027 \h </w:instrText>
            </w:r>
            <w:r>
              <w:rPr>
                <w:noProof/>
                <w:webHidden/>
              </w:rPr>
            </w:r>
            <w:r>
              <w:rPr>
                <w:noProof/>
                <w:webHidden/>
              </w:rPr>
              <w:fldChar w:fldCharType="separate"/>
            </w:r>
            <w:r>
              <w:rPr>
                <w:noProof/>
                <w:webHidden/>
              </w:rPr>
              <w:t>14</w:t>
            </w:r>
            <w:r>
              <w:rPr>
                <w:noProof/>
                <w:webHidden/>
              </w:rPr>
              <w:fldChar w:fldCharType="end"/>
            </w:r>
          </w:hyperlink>
        </w:p>
        <w:p w14:paraId="79697D85" w14:textId="77777777" w:rsidR="00715CF2" w:rsidRDefault="00715CF2" w:rsidP="00715CF2">
          <w:pPr>
            <w:pStyle w:val="TOC1"/>
            <w:tabs>
              <w:tab w:val="right" w:leader="dot" w:pos="9016"/>
            </w:tabs>
            <w:spacing w:after="240"/>
            <w:rPr>
              <w:noProof/>
            </w:rPr>
          </w:pPr>
          <w:hyperlink w:anchor="_Toc33176028" w:history="1">
            <w:r w:rsidRPr="00304C9F">
              <w:rPr>
                <w:rStyle w:val="Hyperlink"/>
                <w:noProof/>
              </w:rPr>
              <w:t xml:space="preserve">S10. Parameterised variation in </w:t>
            </w:r>
            <w:r w:rsidRPr="00304C9F">
              <w:rPr>
                <w:rStyle w:val="Hyperlink"/>
                <w:i/>
                <w:noProof/>
              </w:rPr>
              <w:t>n</w:t>
            </w:r>
            <w:r w:rsidRPr="00304C9F">
              <w:rPr>
                <w:rStyle w:val="Hyperlink"/>
                <w:noProof/>
              </w:rPr>
              <w:t xml:space="preserve"> and </w:t>
            </w:r>
            <w:r w:rsidRPr="00304C9F">
              <w:rPr>
                <w:rStyle w:val="Hyperlink"/>
                <w:i/>
                <w:noProof/>
              </w:rPr>
              <w:t>k</w:t>
            </w:r>
            <w:r w:rsidRPr="00304C9F">
              <w:rPr>
                <w:rStyle w:val="Hyperlink"/>
                <w:noProof/>
              </w:rPr>
              <w:t xml:space="preserve"> with both wavelength and composition for internally-mixed AS</w:t>
            </w:r>
            <w:r w:rsidRPr="00304C9F">
              <w:rPr>
                <w:rStyle w:val="Hyperlink"/>
                <w:noProof/>
              </w:rPr>
              <w:noBreakHyphen/>
              <w:t>nigrosin mixtures</w:t>
            </w:r>
            <w:r>
              <w:rPr>
                <w:noProof/>
                <w:webHidden/>
              </w:rPr>
              <w:tab/>
            </w:r>
            <w:r>
              <w:rPr>
                <w:noProof/>
                <w:webHidden/>
              </w:rPr>
              <w:fldChar w:fldCharType="begin"/>
            </w:r>
            <w:r>
              <w:rPr>
                <w:noProof/>
                <w:webHidden/>
              </w:rPr>
              <w:instrText xml:space="preserve"> PAGEREF _Toc33176028 \h </w:instrText>
            </w:r>
            <w:r>
              <w:rPr>
                <w:noProof/>
                <w:webHidden/>
              </w:rPr>
            </w:r>
            <w:r>
              <w:rPr>
                <w:noProof/>
                <w:webHidden/>
              </w:rPr>
              <w:fldChar w:fldCharType="separate"/>
            </w:r>
            <w:r>
              <w:rPr>
                <w:noProof/>
                <w:webHidden/>
              </w:rPr>
              <w:t>15</w:t>
            </w:r>
            <w:r>
              <w:rPr>
                <w:noProof/>
                <w:webHidden/>
              </w:rPr>
              <w:fldChar w:fldCharType="end"/>
            </w:r>
          </w:hyperlink>
        </w:p>
        <w:p w14:paraId="5F013EF1" w14:textId="77777777" w:rsidR="00715CF2" w:rsidRDefault="00715CF2" w:rsidP="00715CF2">
          <w:pPr>
            <w:pStyle w:val="TOC1"/>
            <w:tabs>
              <w:tab w:val="right" w:leader="dot" w:pos="9016"/>
            </w:tabs>
            <w:spacing w:after="240"/>
            <w:rPr>
              <w:noProof/>
            </w:rPr>
          </w:pPr>
          <w:hyperlink w:anchor="_Toc33176029" w:history="1">
            <w:r w:rsidRPr="00304C9F">
              <w:rPr>
                <w:rStyle w:val="Hyperlink"/>
                <w:noProof/>
              </w:rPr>
              <w:t>S11. Bias magnitudes used to assess uncertainties in refractive index retrievals</w:t>
            </w:r>
            <w:r>
              <w:rPr>
                <w:noProof/>
                <w:webHidden/>
              </w:rPr>
              <w:tab/>
            </w:r>
            <w:r>
              <w:rPr>
                <w:noProof/>
                <w:webHidden/>
              </w:rPr>
              <w:fldChar w:fldCharType="begin"/>
            </w:r>
            <w:r>
              <w:rPr>
                <w:noProof/>
                <w:webHidden/>
              </w:rPr>
              <w:instrText xml:space="preserve"> PAGEREF _Toc33176029 \h </w:instrText>
            </w:r>
            <w:r>
              <w:rPr>
                <w:noProof/>
                <w:webHidden/>
              </w:rPr>
            </w:r>
            <w:r>
              <w:rPr>
                <w:noProof/>
                <w:webHidden/>
              </w:rPr>
              <w:fldChar w:fldCharType="separate"/>
            </w:r>
            <w:r>
              <w:rPr>
                <w:noProof/>
                <w:webHidden/>
              </w:rPr>
              <w:t>16</w:t>
            </w:r>
            <w:r>
              <w:rPr>
                <w:noProof/>
                <w:webHidden/>
              </w:rPr>
              <w:fldChar w:fldCharType="end"/>
            </w:r>
          </w:hyperlink>
        </w:p>
        <w:p w14:paraId="4DD8857B" w14:textId="77777777" w:rsidR="00715CF2" w:rsidRDefault="00715CF2" w:rsidP="00715CF2">
          <w:pPr>
            <w:pStyle w:val="TOC1"/>
            <w:tabs>
              <w:tab w:val="right" w:leader="dot" w:pos="9016"/>
            </w:tabs>
            <w:spacing w:after="240"/>
            <w:rPr>
              <w:noProof/>
            </w:rPr>
          </w:pPr>
          <w:hyperlink w:anchor="_Toc33176030" w:history="1">
            <w:r w:rsidRPr="00304C9F">
              <w:rPr>
                <w:rStyle w:val="Hyperlink"/>
                <w:noProof/>
              </w:rPr>
              <w:t>S12. Results from a Monte Carlo analysis of RI retrieval uncertainties</w:t>
            </w:r>
            <w:r>
              <w:rPr>
                <w:noProof/>
                <w:webHidden/>
              </w:rPr>
              <w:tab/>
            </w:r>
            <w:r>
              <w:rPr>
                <w:noProof/>
                <w:webHidden/>
              </w:rPr>
              <w:fldChar w:fldCharType="begin"/>
            </w:r>
            <w:r>
              <w:rPr>
                <w:noProof/>
                <w:webHidden/>
              </w:rPr>
              <w:instrText xml:space="preserve"> PAGEREF _Toc33176030 \h </w:instrText>
            </w:r>
            <w:r>
              <w:rPr>
                <w:noProof/>
                <w:webHidden/>
              </w:rPr>
            </w:r>
            <w:r>
              <w:rPr>
                <w:noProof/>
                <w:webHidden/>
              </w:rPr>
              <w:fldChar w:fldCharType="separate"/>
            </w:r>
            <w:r>
              <w:rPr>
                <w:noProof/>
                <w:webHidden/>
              </w:rPr>
              <w:t>18</w:t>
            </w:r>
            <w:r>
              <w:rPr>
                <w:noProof/>
                <w:webHidden/>
              </w:rPr>
              <w:fldChar w:fldCharType="end"/>
            </w:r>
          </w:hyperlink>
        </w:p>
        <w:p w14:paraId="0685A909" w14:textId="77777777" w:rsidR="00715CF2" w:rsidRDefault="00715CF2" w:rsidP="00715CF2">
          <w:pPr>
            <w:pStyle w:val="TOC1"/>
            <w:tabs>
              <w:tab w:val="right" w:leader="dot" w:pos="9016"/>
            </w:tabs>
            <w:spacing w:after="240"/>
            <w:rPr>
              <w:noProof/>
            </w:rPr>
          </w:pPr>
          <w:hyperlink w:anchor="_Toc33176031" w:history="1">
            <w:r w:rsidRPr="00304C9F">
              <w:rPr>
                <w:rStyle w:val="Hyperlink"/>
                <w:noProof/>
              </w:rPr>
              <w:t>References</w:t>
            </w:r>
            <w:r>
              <w:rPr>
                <w:noProof/>
                <w:webHidden/>
              </w:rPr>
              <w:tab/>
            </w:r>
            <w:r>
              <w:rPr>
                <w:noProof/>
                <w:webHidden/>
              </w:rPr>
              <w:fldChar w:fldCharType="begin"/>
            </w:r>
            <w:r>
              <w:rPr>
                <w:noProof/>
                <w:webHidden/>
              </w:rPr>
              <w:instrText xml:space="preserve"> PAGEREF _Toc33176031 \h </w:instrText>
            </w:r>
            <w:r>
              <w:rPr>
                <w:noProof/>
                <w:webHidden/>
              </w:rPr>
            </w:r>
            <w:r>
              <w:rPr>
                <w:noProof/>
                <w:webHidden/>
              </w:rPr>
              <w:fldChar w:fldCharType="separate"/>
            </w:r>
            <w:r>
              <w:rPr>
                <w:noProof/>
                <w:webHidden/>
              </w:rPr>
              <w:t>22</w:t>
            </w:r>
            <w:r>
              <w:rPr>
                <w:noProof/>
                <w:webHidden/>
              </w:rPr>
              <w:fldChar w:fldCharType="end"/>
            </w:r>
          </w:hyperlink>
        </w:p>
        <w:p w14:paraId="77498F35" w14:textId="77777777" w:rsidR="00715CF2" w:rsidRDefault="00715CF2" w:rsidP="00715CF2">
          <w:pPr>
            <w:spacing w:after="240"/>
            <w:rPr>
              <w:b/>
              <w:bCs/>
              <w:noProof/>
            </w:rPr>
          </w:pPr>
          <w:r>
            <w:rPr>
              <w:b/>
              <w:bCs/>
              <w:noProof/>
            </w:rPr>
            <w:fldChar w:fldCharType="end"/>
          </w:r>
        </w:p>
      </w:sdtContent>
    </w:sdt>
    <w:p w14:paraId="6F0B7F5D" w14:textId="5C07D8D7" w:rsidR="00003FDC" w:rsidRPr="00715CF2" w:rsidRDefault="00003FDC" w:rsidP="00715CF2">
      <w:pPr>
        <w:spacing w:after="240"/>
        <w:sectPr w:rsidR="00003FDC" w:rsidRPr="00715CF2" w:rsidSect="00731005">
          <w:footerReference w:type="default" r:id="rId9"/>
          <w:pgSz w:w="11906" w:h="16838"/>
          <w:pgMar w:top="1440" w:right="1440" w:bottom="1440" w:left="1440" w:header="708" w:footer="215" w:gutter="0"/>
          <w:cols w:space="567"/>
          <w:docGrid w:linePitch="360"/>
        </w:sectPr>
      </w:pPr>
    </w:p>
    <w:p w14:paraId="29C4BF73" w14:textId="657A245A" w:rsidR="000D5AA0" w:rsidRPr="000647C2" w:rsidRDefault="000D5AA0" w:rsidP="000D5AA0">
      <w:pPr>
        <w:pStyle w:val="Heading1"/>
      </w:pPr>
      <w:bookmarkStart w:id="1" w:name="_Ref22906473"/>
      <w:bookmarkStart w:id="2" w:name="_Toc33176019"/>
      <w:r>
        <w:lastRenderedPageBreak/>
        <w:t>S</w:t>
      </w:r>
      <w:r w:rsidRPr="000647C2">
        <w:t xml:space="preserve">1. </w:t>
      </w:r>
      <w:r>
        <w:t>Cavity ring-down spectro</w:t>
      </w:r>
      <w:bookmarkEnd w:id="2"/>
      <w:r w:rsidR="00753C18">
        <w:t>scopy instrument description</w:t>
      </w:r>
    </w:p>
    <w:bookmarkEnd w:id="1"/>
    <w:p w14:paraId="212747E8" w14:textId="668BA020" w:rsidR="000D5AA0" w:rsidRPr="00A659D3" w:rsidRDefault="000D5AA0" w:rsidP="000D5AA0">
      <w:r>
        <w:t>We used two CRDS instruments with similar configurations. The output from a continuous wave diode laser (</w:t>
      </w:r>
      <w:proofErr w:type="spellStart"/>
      <w:r>
        <w:t>Toptica</w:t>
      </w:r>
      <w:proofErr w:type="spellEnd"/>
      <w:r>
        <w:t xml:space="preserve"> Photonics, </w:t>
      </w:r>
      <w:proofErr w:type="spellStart"/>
      <w:r>
        <w:t>iBeam</w:t>
      </w:r>
      <w:proofErr w:type="spellEnd"/>
      <w:r>
        <w:t xml:space="preserve"> Smart) was injected into a high finesse optical cavity consisting of two highly reflective mirrors (</w:t>
      </w:r>
      <w:proofErr w:type="spellStart"/>
      <w:r>
        <w:t>reflectivities</w:t>
      </w:r>
      <w:proofErr w:type="spellEnd"/>
      <w:r>
        <w:t xml:space="preserve"> of &gt;99.999%) separated by a distance of 40 cm. The laser diode current was modulated with a 50:50 duty cycle square wave signal to pulse the laser power between </w:t>
      </w:r>
      <w:proofErr w:type="gramStart"/>
      <w:r>
        <w:t>0</w:t>
      </w:r>
      <w:proofErr w:type="gramEnd"/>
      <w:r>
        <w:t xml:space="preserve"> </w:t>
      </w:r>
      <w:proofErr w:type="spellStart"/>
      <w:r>
        <w:t>mW</w:t>
      </w:r>
      <w:proofErr w:type="spellEnd"/>
      <w:r>
        <w:t xml:space="preserve"> and maximum power (~300 </w:t>
      </w:r>
      <w:proofErr w:type="spellStart"/>
      <w:r>
        <w:t>mW</w:t>
      </w:r>
      <w:proofErr w:type="spellEnd"/>
      <w:r>
        <w:t xml:space="preserve"> for the 405-nm laser and </w:t>
      </w:r>
      <w:r>
        <w:sym w:font="Symbol" w:char="F07E"/>
      </w:r>
      <w:r>
        <w:t xml:space="preserve">100 </w:t>
      </w:r>
      <w:proofErr w:type="spellStart"/>
      <w:r>
        <w:t>mW</w:t>
      </w:r>
      <w:proofErr w:type="spellEnd"/>
      <w:r>
        <w:t xml:space="preserve"> for the 658-nm laser) at a frequency of 2000 Hz. </w:t>
      </w:r>
      <w:r w:rsidR="00B52917">
        <w:t xml:space="preserve">The manufacturer quotes the rise and fall time in the laser power as &lt; 1.5 nanoseconds. </w:t>
      </w:r>
      <w:r>
        <w:t xml:space="preserve">The laser coupled passively into the optical cavity (with the ~100 GHz spectral width of the lasers much larger than the ~375 MHz free spectral range of the CRDS optical cavity) and excited numerous longitudinal cavity modes. For each pulse injected into the optical cavity, a fraction of light leaking from the rear mirror was detected with a photomultiplier tube, the voltage from which was recorded by a 2.5 mega-samples per second (MS/s) data acquisition card. The time trace in this voltage </w:t>
      </w:r>
      <w:proofErr w:type="gramStart"/>
      <w:r>
        <w:t>is referred</w:t>
      </w:r>
      <w:proofErr w:type="gramEnd"/>
      <w:r>
        <w:t xml:space="preserve"> to as the ring-down trace. The time dependence in the cavity output intensity obeys a single exponential decay, with the characteristic 1/</w:t>
      </w:r>
      <w:r>
        <w:rPr>
          <w:i/>
        </w:rPr>
        <w:t>e</w:t>
      </w:r>
      <w:r>
        <w:t xml:space="preserve"> folding time for this decay referred to as the ring-down time (</w:t>
      </w:r>
      <w:r w:rsidRPr="007A325B">
        <w:rPr>
          <w:i/>
        </w:rPr>
        <w:sym w:font="Symbol" w:char="F074"/>
      </w:r>
      <w:r>
        <w:t xml:space="preserve">). Therefore, the ring-down trace was fit to a single exponential for the determination </w:t>
      </w:r>
      <w:proofErr w:type="gramStart"/>
      <w:r>
        <w:t xml:space="preserve">of </w:t>
      </w:r>
      <w:proofErr w:type="gramEnd"/>
      <w:r w:rsidRPr="00A659D3">
        <w:rPr>
          <w:i/>
        </w:rPr>
        <w:sym w:font="Symbol" w:char="F074"/>
      </w:r>
      <w:r>
        <w:t xml:space="preserve">. For the 2000 Hz laser power modulation, each ring-down trace was fit individually to a single exponential and the 2000 values of </w:t>
      </w:r>
      <w:r w:rsidRPr="00A659D3">
        <w:rPr>
          <w:i/>
        </w:rPr>
        <w:sym w:font="Symbol" w:char="F074"/>
      </w:r>
      <w:r>
        <w:t xml:space="preserve"> were averaged over one second for recording to an output data file. The cavity mirrors </w:t>
      </w:r>
      <w:proofErr w:type="gramStart"/>
      <w:r>
        <w:t>were mounted</w:t>
      </w:r>
      <w:proofErr w:type="gramEnd"/>
      <w:r>
        <w:t xml:space="preserve"> on kinematic mirror mounts (Newport). The alignment of each cavity mirror </w:t>
      </w:r>
      <w:proofErr w:type="gramStart"/>
      <w:r>
        <w:t>was optimised</w:t>
      </w:r>
      <w:proofErr w:type="gramEnd"/>
      <w:r>
        <w:t xml:space="preserve"> to maximise both </w:t>
      </w:r>
      <w:r w:rsidRPr="00A659D3">
        <w:rPr>
          <w:i/>
        </w:rPr>
        <w:sym w:font="Symbol" w:char="F074"/>
      </w:r>
      <w:r>
        <w:t xml:space="preserve"> and the maximum voltage of the ring-down trace, thereby maximising the sensitivity of each CRDS channel. Sample inlet and outlet ports were located at opposite ends of the cavity and 3 cm away from the CRDS mirrors. To prevent contaminants depositing on the highly reflective mirror surfaces, a 0.05 L min</w:t>
      </w:r>
      <w:r>
        <w:rPr>
          <w:vertAlign w:val="superscript"/>
        </w:rPr>
        <w:t>-1</w:t>
      </w:r>
      <w:r>
        <w:t xml:space="preserve"> flow of high purity (&gt;99.999 %) zero air was passed over the mirror surfaces. Before and after measurements of mobility selected aerosol, filtered sample was passed through the CRDS and the mean background ring-down time (</w:t>
      </w:r>
      <m:oMath>
        <m:sSub>
          <m:sSubPr>
            <m:ctrlPr>
              <w:rPr>
                <w:rFonts w:ascii="Cambria Math" w:hAnsi="Cambria Math"/>
                <w:i/>
                <w:szCs w:val="20"/>
                <w:lang w:eastAsia="en-GB"/>
              </w:rPr>
            </m:ctrlPr>
          </m:sSubPr>
          <m:e>
            <m:r>
              <w:rPr>
                <w:rFonts w:ascii="Cambria Math" w:hAnsi="Cambria Math"/>
              </w:rPr>
              <m:t>τ</m:t>
            </m:r>
          </m:e>
          <m:sub>
            <m:r>
              <w:rPr>
                <w:rFonts w:ascii="Cambria Math" w:hAnsi="Cambria Math"/>
              </w:rPr>
              <m:t>0</m:t>
            </m:r>
          </m:sub>
        </m:sSub>
      </m:oMath>
      <w:r>
        <w:t xml:space="preserve">) </w:t>
      </w:r>
      <w:r w:rsidR="0094330F">
        <w:t xml:space="preserve">was characterised over a </w:t>
      </w:r>
      <w:r w:rsidR="0094330F" w:rsidRPr="0094330F">
        <w:t>60</w:t>
      </w:r>
      <w:r w:rsidR="0094330F">
        <w:t> </w:t>
      </w:r>
      <w:r w:rsidRPr="0094330F">
        <w:t>s</w:t>
      </w:r>
      <w:r>
        <w:t xml:space="preserve"> period. From knowledge of the ring-down time in the presence (</w:t>
      </w:r>
      <m:oMath>
        <m:r>
          <w:rPr>
            <w:rFonts w:ascii="Cambria Math" w:hAnsi="Cambria Math"/>
          </w:rPr>
          <m:t>τ</m:t>
        </m:r>
      </m:oMath>
      <w:r>
        <w:t>) and absence (</w:t>
      </w:r>
      <m:oMath>
        <m:sSub>
          <m:sSubPr>
            <m:ctrlPr>
              <w:rPr>
                <w:rFonts w:ascii="Cambria Math" w:hAnsi="Cambria Math"/>
                <w:i/>
                <w:szCs w:val="20"/>
                <w:lang w:eastAsia="en-GB"/>
              </w:rPr>
            </m:ctrlPr>
          </m:sSubPr>
          <m:e>
            <m:r>
              <w:rPr>
                <w:rFonts w:ascii="Cambria Math" w:hAnsi="Cambria Math"/>
              </w:rPr>
              <m:t>τ</m:t>
            </m:r>
          </m:e>
          <m:sub>
            <m:r>
              <w:rPr>
                <w:rFonts w:ascii="Cambria Math" w:hAnsi="Cambria Math"/>
              </w:rPr>
              <m:t>0</m:t>
            </m:r>
          </m:sub>
        </m:sSub>
      </m:oMath>
      <w:r>
        <w:t xml:space="preserve">) of the sample, the extinction coefficient </w:t>
      </w:r>
      <m:oMath>
        <m:sSub>
          <m:sSubPr>
            <m:ctrlPr>
              <w:rPr>
                <w:rFonts w:ascii="Cambria Math" w:hAnsi="Cambria Math"/>
                <w:i/>
                <w:szCs w:val="20"/>
                <w:lang w:eastAsia="en-GB"/>
              </w:rPr>
            </m:ctrlPr>
          </m:sSubPr>
          <m:e>
            <m:r>
              <w:rPr>
                <w:rFonts w:ascii="Cambria Math" w:hAnsi="Cambria Math"/>
              </w:rPr>
              <m:t>α</m:t>
            </m:r>
          </m:e>
          <m:sub>
            <m:r>
              <m:rPr>
                <m:sty m:val="p"/>
              </m:rPr>
              <w:rPr>
                <w:rFonts w:ascii="Cambria Math" w:hAnsi="Cambria Math"/>
              </w:rPr>
              <m:t>ext</m:t>
            </m:r>
          </m:sub>
        </m:sSub>
      </m:oMath>
      <w:r>
        <w:rPr>
          <w:szCs w:val="20"/>
          <w:lang w:eastAsia="en-GB"/>
        </w:rPr>
        <w:t xml:space="preserve"> </w:t>
      </w:r>
      <w:proofErr w:type="gramStart"/>
      <w:r>
        <w:t>is calculated</w:t>
      </w:r>
      <w:proofErr w:type="gramEnd"/>
      <w:r>
        <w:t xml:space="preserve">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6535"/>
        <w:gridCol w:w="1371"/>
      </w:tblGrid>
      <w:tr w:rsidR="000D5AA0" w14:paraId="79115819" w14:textId="77777777" w:rsidTr="000D5AA0">
        <w:trPr>
          <w:trHeight w:val="746"/>
        </w:trPr>
        <w:tc>
          <w:tcPr>
            <w:tcW w:w="1120" w:type="dxa"/>
            <w:vAlign w:val="center"/>
          </w:tcPr>
          <w:p w14:paraId="7AFE5410" w14:textId="77777777" w:rsidR="000D5AA0" w:rsidRDefault="000D5AA0" w:rsidP="00715CF2">
            <w:pPr>
              <w:spacing w:line="240" w:lineRule="auto"/>
              <w:jc w:val="center"/>
            </w:pPr>
          </w:p>
        </w:tc>
        <w:tc>
          <w:tcPr>
            <w:tcW w:w="6535" w:type="dxa"/>
            <w:vAlign w:val="center"/>
          </w:tcPr>
          <w:p w14:paraId="09EBE047" w14:textId="12331CA9" w:rsidR="000D5AA0" w:rsidRPr="000D5AA0" w:rsidRDefault="00715CF2" w:rsidP="000D5AA0">
            <w:pPr>
              <w:keepNext/>
              <w:spacing w:line="240" w:lineRule="auto"/>
              <w:jc w:val="center"/>
            </w:pPr>
            <m:oMathPara>
              <m:oMath>
                <m:sSub>
                  <m:sSubPr>
                    <m:ctrlPr>
                      <w:rPr>
                        <w:rFonts w:ascii="Cambria Math" w:hAnsi="Cambria Math"/>
                        <w:i/>
                      </w:rPr>
                    </m:ctrlPr>
                  </m:sSubPr>
                  <m:e>
                    <m:r>
                      <w:rPr>
                        <w:rFonts w:ascii="Cambria Math" w:hAnsi="Cambria Math"/>
                      </w:rPr>
                      <m:t>α</m:t>
                    </m:r>
                  </m:e>
                  <m:sub>
                    <m:r>
                      <m:rPr>
                        <m:sty m:val="p"/>
                      </m:rPr>
                      <w:rPr>
                        <w:rFonts w:ascii="Cambria Math" w:hAnsi="Cambria Math"/>
                      </w:rPr>
                      <m:t>ext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r>
                      <w:rPr>
                        <w:rFonts w:ascii="Cambria Math" w:hAnsi="Cambria Math"/>
                      </w:rPr>
                      <m:t>c</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τ</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0</m:t>
                            </m:r>
                          </m:sub>
                        </m:sSub>
                      </m:den>
                    </m:f>
                  </m:e>
                </m:d>
              </m:oMath>
            </m:oMathPara>
          </w:p>
        </w:tc>
        <w:tc>
          <w:tcPr>
            <w:tcW w:w="1371" w:type="dxa"/>
            <w:vAlign w:val="center"/>
          </w:tcPr>
          <w:p w14:paraId="3907BE03" w14:textId="5375926F" w:rsidR="000D5AA0" w:rsidRDefault="000D5AA0" w:rsidP="00715CF2">
            <w:pPr>
              <w:spacing w:line="240" w:lineRule="auto"/>
              <w:jc w:val="right"/>
            </w:pPr>
            <w:r>
              <w:t xml:space="preserve">Equation S </w:t>
            </w:r>
            <w:r w:rsidR="009D7CC4">
              <w:rPr>
                <w:noProof/>
              </w:rPr>
              <w:fldChar w:fldCharType="begin"/>
            </w:r>
            <w:r w:rsidR="009D7CC4">
              <w:rPr>
                <w:noProof/>
              </w:rPr>
              <w:instrText xml:space="preserve"> SEQ Equation_S \* ARABIC </w:instrText>
            </w:r>
            <w:r w:rsidR="009D7CC4">
              <w:rPr>
                <w:noProof/>
              </w:rPr>
              <w:fldChar w:fldCharType="separate"/>
            </w:r>
            <w:r w:rsidR="00715CF2">
              <w:rPr>
                <w:noProof/>
              </w:rPr>
              <w:t>1</w:t>
            </w:r>
            <w:r w:rsidR="009D7CC4">
              <w:rPr>
                <w:noProof/>
              </w:rPr>
              <w:fldChar w:fldCharType="end"/>
            </w:r>
          </w:p>
        </w:tc>
      </w:tr>
    </w:tbl>
    <w:p w14:paraId="296D9D36" w14:textId="77777777" w:rsidR="000D5AA0" w:rsidRDefault="000D5AA0" w:rsidP="000D5AA0">
      <w:pPr>
        <w:rPr>
          <w:szCs w:val="20"/>
          <w:lang w:eastAsia="en-GB"/>
        </w:rPr>
      </w:pPr>
      <w:proofErr w:type="gramStart"/>
      <w:r>
        <w:t>in</w:t>
      </w:r>
      <w:proofErr w:type="gramEnd"/>
      <w:r>
        <w:t xml:space="preserve"> which </w:t>
      </w:r>
      <w:r>
        <w:rPr>
          <w:i/>
        </w:rPr>
        <w:t>c</w:t>
      </w:r>
      <w:r>
        <w:t xml:space="preserve"> is the speed of light and </w:t>
      </w:r>
      <w:r>
        <w:rPr>
          <w:i/>
        </w:rPr>
        <w:t>R</w:t>
      </w:r>
      <w:r>
        <w:rPr>
          <w:i/>
          <w:vertAlign w:val="subscript"/>
        </w:rPr>
        <w:t>L</w:t>
      </w:r>
      <w:r>
        <w:t xml:space="preserve"> is the ratio of the cavity mirror separation (40 cm) to the length over which the sample occupies the cavity. We take this latter length to be the distance between the sample inlet and outlet ports (34 cm) and </w:t>
      </w:r>
      <w:r>
        <w:rPr>
          <w:i/>
        </w:rPr>
        <w:t>R</w:t>
      </w:r>
      <w:r>
        <w:rPr>
          <w:i/>
          <w:vertAlign w:val="subscript"/>
        </w:rPr>
        <w:t>L</w:t>
      </w:r>
      <w:r>
        <w:t xml:space="preserve"> is thus 1.1765 for both CRDS channels. </w:t>
      </w:r>
      <w:r>
        <w:rPr>
          <w:szCs w:val="20"/>
          <w:lang w:eastAsia="en-GB"/>
        </w:rPr>
        <w:t xml:space="preserve">Typical values of the recorded (one second average) </w:t>
      </w:r>
      <m:oMath>
        <m:sSub>
          <m:sSubPr>
            <m:ctrlPr>
              <w:rPr>
                <w:rFonts w:ascii="Cambria Math" w:hAnsi="Cambria Math"/>
                <w:i/>
                <w:szCs w:val="20"/>
                <w:lang w:eastAsia="en-GB"/>
              </w:rPr>
            </m:ctrlPr>
          </m:sSubPr>
          <m:e>
            <m:r>
              <w:rPr>
                <w:rFonts w:ascii="Cambria Math" w:hAnsi="Cambria Math"/>
              </w:rPr>
              <m:t>τ</m:t>
            </m:r>
          </m:e>
          <m:sub>
            <m:r>
              <w:rPr>
                <w:rFonts w:ascii="Cambria Math" w:hAnsi="Cambria Math"/>
              </w:rPr>
              <m:t>0</m:t>
            </m:r>
          </m:sub>
        </m:sSub>
      </m:oMath>
      <w:r>
        <w:rPr>
          <w:szCs w:val="20"/>
          <w:lang w:eastAsia="en-GB"/>
        </w:rPr>
        <w:t xml:space="preserve"> are 24 </w:t>
      </w:r>
      <w:r>
        <w:rPr>
          <w:szCs w:val="20"/>
          <w:lang w:eastAsia="en-GB"/>
        </w:rPr>
        <w:sym w:font="Symbol" w:char="F0B1"/>
      </w:r>
      <w:r>
        <w:rPr>
          <w:szCs w:val="20"/>
          <w:lang w:eastAsia="en-GB"/>
        </w:rPr>
        <w:t xml:space="preserve"> 0.004 and 34 </w:t>
      </w:r>
      <w:r>
        <w:rPr>
          <w:szCs w:val="20"/>
          <w:lang w:eastAsia="en-GB"/>
        </w:rPr>
        <w:sym w:font="Symbol" w:char="F0B1"/>
      </w:r>
      <w:r>
        <w:rPr>
          <w:szCs w:val="20"/>
          <w:lang w:eastAsia="en-GB"/>
        </w:rPr>
        <w:t xml:space="preserve"> 0.04 µs for the 405-nm and 658-nm CRDS channels, with the uncertainties representing one standard deviation over 60 seconds.</w:t>
      </w:r>
    </w:p>
    <w:p w14:paraId="6D34EA45" w14:textId="77777777" w:rsidR="000D5AA0" w:rsidRDefault="000D5AA0" w:rsidP="000D5AA0"/>
    <w:p w14:paraId="220C481D" w14:textId="71ECAD16" w:rsidR="000D5AA0" w:rsidRDefault="000D5AA0" w:rsidP="000D5AA0">
      <w:pPr>
        <w:pStyle w:val="Heading1"/>
      </w:pPr>
      <w:bookmarkStart w:id="3" w:name="_Toc33176020"/>
      <w:r>
        <w:t>S2</w:t>
      </w:r>
      <w:r w:rsidRPr="000647C2">
        <w:t xml:space="preserve">. </w:t>
      </w:r>
      <w:r>
        <w:t>Photoacoustic spectroscopy</w:t>
      </w:r>
      <w:bookmarkEnd w:id="3"/>
      <w:r w:rsidR="00753C18">
        <w:t xml:space="preserve"> instrument description</w:t>
      </w:r>
    </w:p>
    <w:p w14:paraId="4C373B81" w14:textId="19032E6D" w:rsidR="000D5AA0" w:rsidRDefault="000D5AA0" w:rsidP="000D5AA0">
      <w:pPr>
        <w:rPr>
          <w:rFonts w:eastAsiaTheme="minorEastAsia"/>
          <w:szCs w:val="20"/>
        </w:rPr>
      </w:pPr>
      <w:r>
        <w:rPr>
          <w:rFonts w:eastAsiaTheme="minorEastAsia"/>
          <w:szCs w:val="20"/>
        </w:rPr>
        <w:t>We used two photoacoustic spectrometers operating at optical wavelengths of 405 and 658 nm. The output from a continuous wave diode laser (</w:t>
      </w:r>
      <w:proofErr w:type="spellStart"/>
      <w:r>
        <w:rPr>
          <w:rFonts w:eastAsiaTheme="minorEastAsia"/>
          <w:szCs w:val="20"/>
        </w:rPr>
        <w:t>Toptica</w:t>
      </w:r>
      <w:proofErr w:type="spellEnd"/>
      <w:r>
        <w:rPr>
          <w:rFonts w:eastAsiaTheme="minorEastAsia"/>
          <w:szCs w:val="20"/>
        </w:rPr>
        <w:t xml:space="preserve"> Photonics, </w:t>
      </w:r>
      <w:proofErr w:type="spellStart"/>
      <w:r>
        <w:rPr>
          <w:rFonts w:eastAsiaTheme="minorEastAsia"/>
          <w:szCs w:val="20"/>
        </w:rPr>
        <w:t>iBeam</w:t>
      </w:r>
      <w:proofErr w:type="spellEnd"/>
      <w:r>
        <w:rPr>
          <w:rFonts w:eastAsiaTheme="minorEastAsia"/>
          <w:szCs w:val="20"/>
        </w:rPr>
        <w:t xml:space="preserve"> Smart) </w:t>
      </w:r>
      <w:proofErr w:type="gramStart"/>
      <w:r>
        <w:rPr>
          <w:rFonts w:eastAsiaTheme="minorEastAsia"/>
          <w:szCs w:val="20"/>
        </w:rPr>
        <w:t>was directed</w:t>
      </w:r>
      <w:proofErr w:type="gramEnd"/>
      <w:r>
        <w:rPr>
          <w:rFonts w:eastAsiaTheme="minorEastAsia"/>
          <w:szCs w:val="20"/>
        </w:rPr>
        <w:t xml:space="preserve"> into an astigmatic multi-pass optical cavity that provided multiple reflections (~50) of the laser beam through a photoacoustic cell (PAS cell). The intensity of the laser beam </w:t>
      </w:r>
      <w:proofErr w:type="gramStart"/>
      <w:r>
        <w:rPr>
          <w:rFonts w:eastAsiaTheme="minorEastAsia"/>
          <w:szCs w:val="20"/>
        </w:rPr>
        <w:t>was modulated</w:t>
      </w:r>
      <w:proofErr w:type="gramEnd"/>
      <w:r>
        <w:rPr>
          <w:rFonts w:eastAsiaTheme="minorEastAsia"/>
          <w:szCs w:val="20"/>
        </w:rPr>
        <w:t xml:space="preserve"> periodically with a frequency that matched the resonance frequency of the PAS cell (see below). A photodiode behind the rear cavity mirror monitored the RMS laser power, </w:t>
      </w:r>
      <w:r>
        <w:rPr>
          <w:rFonts w:eastAsiaTheme="minorEastAsia"/>
          <w:i/>
          <w:szCs w:val="20"/>
        </w:rPr>
        <w:t>W</w:t>
      </w:r>
      <w:r>
        <w:rPr>
          <w:rFonts w:eastAsiaTheme="minorEastAsia"/>
          <w:i/>
          <w:szCs w:val="20"/>
          <w:vertAlign w:val="subscript"/>
        </w:rPr>
        <w:t>RMS</w:t>
      </w:r>
      <w:r>
        <w:rPr>
          <w:rFonts w:eastAsiaTheme="minorEastAsia"/>
          <w:szCs w:val="20"/>
        </w:rPr>
        <w:t xml:space="preserve">. The </w:t>
      </w:r>
      <w:r>
        <w:rPr>
          <w:rFonts w:eastAsiaTheme="minorEastAsia"/>
          <w:szCs w:val="20"/>
        </w:rPr>
        <w:lastRenderedPageBreak/>
        <w:t xml:space="preserve">PAS cell amplified acoustic sources (see below) and the geometry of the cell is critical to optimal detection. Here, we used two cell geometry designs; the 658-nm PAS used the same cell design first reported by Lack </w:t>
      </w:r>
      <w:r>
        <w:rPr>
          <w:rFonts w:eastAsiaTheme="minorEastAsia"/>
          <w:i/>
          <w:szCs w:val="20"/>
        </w:rPr>
        <w:t>et al</w:t>
      </w:r>
      <w:r>
        <w:rPr>
          <w:rFonts w:eastAsiaTheme="minorEastAsia"/>
          <w:szCs w:val="20"/>
        </w:rPr>
        <w:t>.</w:t>
      </w:r>
      <w:r>
        <w:rPr>
          <w:rFonts w:eastAsiaTheme="minorEastAsia"/>
          <w:szCs w:val="20"/>
        </w:rPr>
        <w:fldChar w:fldCharType="begin" w:fldLock="1"/>
      </w:r>
      <w:r>
        <w:rPr>
          <w:rFonts w:eastAsiaTheme="minorEastAsia"/>
          <w:szCs w:val="20"/>
        </w:rPr>
        <w:instrText>ADDIN CSL_CITATION {"citationItems":[{"id":"ITEM-1","itemData":{"DOI":"10.1080/02786820600803917","ISBN":"0278-6826","ISSN":"0278-6826","PMID":"238418800006","abstract":"Light absorption by aerosols is one of the most uncertain parameters associated with the direct and indirect aerosol effects on climate and is one of the most difficult quantities to measure. This article describes the development of a sensitive method of measuring aerosol absorption at 532 nm with excellent time response (detection limit: 0.08 Mm(-1), 60 second average) using photoacoustic absorption spectroscopy. An accurate calibration method (accuracy of 1-2%) at atmospherically relevant absorption levels and independent validation of the photoacoustic technique is presented. An upper limit to the instrument precision for aerosol absorption measurement is approximate to 6% (2 sigma, 30 sec) while instrument accuracy is calculated to be approximate to 5%. A standard for aerosol absorption measurement techniques using well characterized absorbing aerosol is also proposed.","author":[{"dropping-particle":"","family":"Lack","given":"Daniel A.","non-dropping-particle":"","parse-names":false,"suffix":""},{"dropping-particle":"","family":"Lovejoy","given":"Edward R.","non-dropping-particle":"","parse-names":false,"suffix":""},{"dropping-particle":"","family":"Baynard","given":"Tahllee","non-dropping-particle":"","parse-names":false,"suffix":""},{"dropping-particle":"","family":"Pettersson","given":"Anders","non-dropping-particle":"","parse-names":false,"suffix":""},{"dropping-particle":"","family":"Ravishankara","given":"A. R.","non-dropping-particle":"","parse-names":false,"suffix":""}],"container-title":"Aerosol Science and Technology","id":"ITEM-1","issue":"9","issued":{"date-parts":[["2006","8"]]},"page":"697-708","title":"Aerosol Absorption Measurement using Photoacoustic Spectroscopy: Sensitivity, Calibration, and Uncertainty Developments","type":"article-journal","volume":"40"},"uris":["http://www.mendeley.com/documents/?uuid=3e7d2010-8cab-40bc-8d9d-6f88bfd740c2"]}],"mendeley":{"formattedCitation":"&lt;sup&gt;1&lt;/sup&gt;","plainTextFormattedCitation":"1","previouslyFormattedCitation":"&lt;sup&gt;1&lt;/sup&gt;"},"properties":{"noteIndex":0},"schema":"https://github.com/citation-style-language/schema/raw/master/csl-citation.json"}</w:instrText>
      </w:r>
      <w:r>
        <w:rPr>
          <w:rFonts w:eastAsiaTheme="minorEastAsia"/>
          <w:szCs w:val="20"/>
        </w:rPr>
        <w:fldChar w:fldCharType="separate"/>
      </w:r>
      <w:r w:rsidRPr="000D5AA0">
        <w:rPr>
          <w:rFonts w:eastAsiaTheme="minorEastAsia"/>
          <w:noProof/>
          <w:szCs w:val="20"/>
          <w:vertAlign w:val="superscript"/>
        </w:rPr>
        <w:t>1</w:t>
      </w:r>
      <w:r>
        <w:rPr>
          <w:rFonts w:eastAsiaTheme="minorEastAsia"/>
          <w:szCs w:val="20"/>
        </w:rPr>
        <w:fldChar w:fldCharType="end"/>
      </w:r>
      <w:r>
        <w:rPr>
          <w:rFonts w:eastAsiaTheme="minorEastAsia"/>
          <w:szCs w:val="20"/>
        </w:rPr>
        <w:t xml:space="preserve"> and that has since been used by multiple research groups,</w:t>
      </w:r>
      <w:r>
        <w:rPr>
          <w:rFonts w:eastAsiaTheme="minorEastAsia"/>
          <w:szCs w:val="20"/>
        </w:rPr>
        <w:fldChar w:fldCharType="begin" w:fldLock="1"/>
      </w:r>
      <w:r>
        <w:rPr>
          <w:rFonts w:eastAsiaTheme="minorEastAsia"/>
          <w:szCs w:val="20"/>
        </w:rPr>
        <w:instrText>ADDIN CSL_CITATION {"citationItems":[{"id":"ITEM-1","itemData":{"DOI":"10.5194/amt-11-2313-2018","ISSN":"1867-8548","abstract":"In recent years, photoacoustic spectroscopy has emerged as an invaluable tool for the accurate measurement of light absorption by atmospheric aerosol. Photoacoustic instruments require calibration, which can be achieved by measuring the photoacoustic signal generated by known quantities of gaseous ozone. Recent work has questioned the validity of this approach at short visible wavelengths (404 nm), indicating systematic calibration errors of the order of a factor of 2. We revisit this result and test the validity of the ozone calibration method using a suite of multipass photoacoustic cells operating at wavelengths 405, 514 and 658 nm. Using aerosolised nigrosin with mobility-selected diameters in the range 250–425 nm, we demonstrate excellent agreement between measured and modelled ensemble absorption cross sections at all wavelengths, thus demonstrating the validity of the ozone-based calibration method for aerosol photoacoustic spectroscopy at visible wavelengths.","author":[{"dropping-particle":"","family":"Davies","given":"Nicholas W.","non-dropping-particle":"","parse-names":false,"suffix":""},{"dropping-particle":"","family":"Cotterell","given":"Michael I.","non-dropping-particle":"","parse-names":false,"suffix":""},{"dropping-particle":"","family":"Fox","given":"Cathryn","non-dropping-particle":"","parse-names":false,"suffix":""},{"dropping-particle":"","family":"Szpek","given":"Kate","non-dropping-particle":"","parse-names":false,"suffix":""},{"dropping-particle":"","family":"Haywood","given":"Jim M.","non-dropping-particle":"","parse-names":false,"suffix":""},{"dropping-particle":"","family":"Langridge","given":"Justin M.","non-dropping-particle":"","parse-names":false,"suffix":""}],"container-title":"Atmospheric Measurement Techniques","id":"ITEM-1","issue":"4","issued":{"date-parts":[["2018","4","24"]]},"page":"2313-2324","title":"On the accuracy of aerosol photoacoustic spectrometer calibrations using absorption by ozone","type":"article-journal","volume":"11"},"uris":["http://www.mendeley.com/documents/?uuid=9205ef3c-bb20-42dd-9d9c-b69e18518168"]},{"id":"ITEM-2","itemData":{"DOI":"10.5194/amt-12-3351-2019","ISSN":"1867-8548","author":[{"dropping-particle":"","family":"Foster","given":"Katie","non-dropping-particle":"","parse-names":false,"suffix":""},{"dropping-particle":"","family":"Pokhrel","given":"Rudra","non-dropping-particle":"","parse-names":false,"suffix":""},{"dropping-particle":"","family":"Burkhart","given":"Matthew","non-dropping-particle":"","parse-names":false,"suffix":""},{"dropping-particle":"","family":"Murphy","given":"Shane","non-dropping-particle":"","parse-names":false,"suffix":""}],"container-title":"Atmospheric Measurement Techniques","id":"ITEM-2","issue":"6","issued":{"date-parts":[["2019","6","26"]]},"page":"3351-3363","title":"A novel approach to calibrating a photoacoustic absorption spectrometer using polydisperse absorbing aerosol","type":"article-journal","volume":"12"},"uris":["http://www.mendeley.com/documents/?uuid=58554ec3-968f-4b7d-a6f2-86893a927e0e"]},{"id":"ITEM-3","itemData":{"DOI":"10.5194/amt-10-1203-2017","ISSN":"1867-8548","abstract":"The multi-pass photoacoustic spectrometer (PAS) is an important tool for the direct measurement of light absorption by atmospheric aerosol. Accurate PAS measurements heavily rely on accurate calibration of their signal. Ozone is often used for calibrating PAS instruments by relating the photoacoustic signal to the absorption coefficient measured by an independent method such as cavity ring down spectroscopy (CRD-S), cavity-enhanced spectroscopy (CES) or an ozone monitor. We report here a calibration method that uses measured absorption coefficients of aerosolized, light-absorbing organic materials and offer an alternative approach to calibrate photoacoustic aerosol spectrometers at 404 nm. To implement this method, we first determined the complex refractive index of nigrosin, an organic dye, using spectroscopic ellipsometry and then used this well-characterized material as a standard material for PAS calibration.","author":[{"dropping-particle":"","family":"Bluvshtein","given":"Nir","non-dropping-particle":"","parse-names":false,"suffix":""},{"dropping-particle":"","family":"Flores","given":"J. Michel","non-dropping-particle":"","parse-names":false,"suffix":""},{"dropping-particle":"","family":"He","given":"Quanfu","non-dropping-particle":"","parse-names":false,"suffix":""},{"dropping-particle":"","family":"Segre","given":"Enrico","non-dropping-particle":"","parse-names":false,"suffix":""},{"dropping-particle":"","family":"Segev","given":"Lior","non-dropping-particle":"","parse-names":false,"suffix":""},{"dropping-particle":"","family":"Hong","given":"Nina","non-dropping-particle":"","parse-names":false,"suffix":""},{"dropping-particle":"","family":"Donohue","given":"Andrea","non-dropping-particle":"","parse-names":false,"suffix":""},{"dropping-particle":"","family":"Hilfiker","given":"James N.","non-dropping-particle":"","parse-names":false,"suffix":""},{"dropping-particle":"","family":"Rudich","given":"Yinon","non-dropping-particle":"","parse-names":false,"suffix":""}],"container-title":"Atmospheric Measurement Techniques","id":"ITEM-3","issue":"3","issued":{"date-parts":[["2017","3","29"]]},"page":"1203-1213","title":"Calibration of a multi-pass photoacoustic spectrometer cell using light-absorbing aerosols","type":"article-journal","volume":"10"},"uris":["http://www.mendeley.com/documents/?uuid=8ea431bb-6852-4675-9899-b7677214b16e"]},{"id":"ITEM-4","itemData":{"DOI":"10.1080/02786826.2017.1413231","ISSN":"0278-6826","author":[{"dropping-particle":"","family":"Fischer","given":"Donald","non-dropping-particle":"","parse-names":false,"suffix":""},{"dropping-particle":"","family":"Smith","given":"Geoffrey D","non-dropping-particle":"","parse-names":false,"suffix":""}],"container-title":"Aerosol Science and Technology","id":"ITEM-4","issue":"4","issued":{"date-parts":[["2018","4","3"]]},"page":"393-406","title":"A portable, four-wavelength, single-cell photoacoustic spectrometer for ambient aerosol absorption","type":"article-journal","volume":"52"},"uris":["http://www.mendeley.com/documents/?uuid=ddedb68c-a4a6-47a3-ac2e-2a490b6ac8c7"]}],"mendeley":{"formattedCitation":"&lt;sup&gt;2–5&lt;/sup&gt;","plainTextFormattedCitation":"2–5","previouslyFormattedCitation":"&lt;sup&gt;2–5&lt;/sup&gt;"},"properties":{"noteIndex":0},"schema":"https://github.com/citation-style-language/schema/raw/master/csl-citation.json"}</w:instrText>
      </w:r>
      <w:r>
        <w:rPr>
          <w:rFonts w:eastAsiaTheme="minorEastAsia"/>
          <w:szCs w:val="20"/>
        </w:rPr>
        <w:fldChar w:fldCharType="separate"/>
      </w:r>
      <w:r w:rsidRPr="000D5AA0">
        <w:rPr>
          <w:rFonts w:eastAsiaTheme="minorEastAsia"/>
          <w:noProof/>
          <w:szCs w:val="20"/>
          <w:vertAlign w:val="superscript"/>
        </w:rPr>
        <w:t>2–5</w:t>
      </w:r>
      <w:r>
        <w:rPr>
          <w:rFonts w:eastAsiaTheme="minorEastAsia"/>
          <w:szCs w:val="20"/>
        </w:rPr>
        <w:fldChar w:fldCharType="end"/>
      </w:r>
      <w:r>
        <w:rPr>
          <w:rFonts w:eastAsiaTheme="minorEastAsia"/>
          <w:szCs w:val="20"/>
        </w:rPr>
        <w:t xml:space="preserve"> while the 405-nm PAS used an optimised cell geometry that we reported recently.</w:t>
      </w:r>
      <w:r>
        <w:rPr>
          <w:rFonts w:eastAsiaTheme="minorEastAsia"/>
          <w:szCs w:val="20"/>
        </w:rPr>
        <w:fldChar w:fldCharType="begin" w:fldLock="1"/>
      </w:r>
      <w:r>
        <w:rPr>
          <w:rFonts w:eastAsiaTheme="minorEastAsia"/>
          <w:szCs w:val="20"/>
        </w:rPr>
        <w:instrText>ADDIN CSL_CITATION {"citationItems":[{"id":"ITEM-1","itemData":{"DOI":"10.1080/02786826.2019.1650161","ISSN":"0278-6826","author":[{"dropping-particle":"","family":"Cotterell","given":"Michael I.","non-dropping-particle":"","parse-names":false,"suffix":""},{"dropping-particle":"","family":"Ward","given":"Gareth P.","non-dropping-particle":"","parse-names":false,"suffix":""},{"dropping-particle":"","family":"Hibbins","given":"Alastair P.","non-dropping-particle":"","parse-names":false,"suffix":""},{"dropping-particle":"","family":"Haywood","given":"Jim M.","non-dropping-particle":"","parse-names":false,"suffix":""},{"dropping-particle":"","family":"Wilson","given":"Andy","non-dropping-particle":"","parse-names":false,"suffix":""},{"dropping-particle":"","family":"Langridge","given":"Justin M.","non-dropping-particle":"","parse-names":false,"suffix":""}],"container-title":"Aerosol Science and Technology","id":"ITEM-1","issue":"10","issued":{"date-parts":[["2019","10","3"]]},"page":"1107-1127","title":"Optimizing the performance of aerosol photoacoustic cells using a finite element model. Part 1: Method validation and application to single-resonator multipass cells","type":"article-journal","volume":"53"},"uris":["http://www.mendeley.com/documents/?uuid=7f3f0046-fd6c-420b-89ed-0902b74023a8"]}],"mendeley":{"formattedCitation":"&lt;sup&gt;6&lt;/sup&gt;","plainTextFormattedCitation":"6","previouslyFormattedCitation":"&lt;sup&gt;6&lt;/sup&gt;"},"properties":{"noteIndex":0},"schema":"https://github.com/citation-style-language/schema/raw/master/csl-citation.json"}</w:instrText>
      </w:r>
      <w:r>
        <w:rPr>
          <w:rFonts w:eastAsiaTheme="minorEastAsia"/>
          <w:szCs w:val="20"/>
        </w:rPr>
        <w:fldChar w:fldCharType="separate"/>
      </w:r>
      <w:r w:rsidRPr="000D5AA0">
        <w:rPr>
          <w:rFonts w:eastAsiaTheme="minorEastAsia"/>
          <w:noProof/>
          <w:szCs w:val="20"/>
          <w:vertAlign w:val="superscript"/>
        </w:rPr>
        <w:t>6</w:t>
      </w:r>
      <w:r>
        <w:rPr>
          <w:rFonts w:eastAsiaTheme="minorEastAsia"/>
          <w:szCs w:val="20"/>
        </w:rPr>
        <w:fldChar w:fldCharType="end"/>
      </w:r>
      <w:r>
        <w:rPr>
          <w:rFonts w:eastAsiaTheme="minorEastAsia"/>
          <w:szCs w:val="20"/>
        </w:rPr>
        <w:t xml:space="preserve"> Nonetheless, both cell designs consisted of two acoustic resonator pipes capped by acoustic buffer volumes. We used Brewster-angled windows to minimise the detection of laser interactions with the PAS cell windows and improve the sensitivity to aerosol absorption. The laser beam was multi-passed through the lower acoustic resonator only. Sample inlet and outlet ports were located in opposite acoustic buffer volumes and the sample flow </w:t>
      </w:r>
      <w:proofErr w:type="gramStart"/>
      <w:r>
        <w:rPr>
          <w:rFonts w:eastAsiaTheme="minorEastAsia"/>
          <w:szCs w:val="20"/>
        </w:rPr>
        <w:t>was drawn</w:t>
      </w:r>
      <w:proofErr w:type="gramEnd"/>
      <w:r>
        <w:rPr>
          <w:rFonts w:eastAsiaTheme="minorEastAsia"/>
          <w:szCs w:val="20"/>
        </w:rPr>
        <w:t xml:space="preserve"> through the PAS cell. Light absorbing sample passing through the laser beam </w:t>
      </w:r>
      <w:proofErr w:type="gramStart"/>
      <w:r>
        <w:rPr>
          <w:rFonts w:eastAsiaTheme="minorEastAsia"/>
          <w:szCs w:val="20"/>
        </w:rPr>
        <w:t>was heated</w:t>
      </w:r>
      <w:proofErr w:type="gramEnd"/>
      <w:r>
        <w:rPr>
          <w:rFonts w:eastAsiaTheme="minorEastAsia"/>
          <w:szCs w:val="20"/>
        </w:rPr>
        <w:t xml:space="preserve"> and the heat energy transferred to the bath gas (air) through collisional energy transfer. The heat in the bath gas generated a pressure (acoustic) wave through adiabatic expansion. These pressure waves coupled into a standing wave pressure eigenmode of the PAS cell, with the amplitude of the excited eigenmode detected by sensitive microphones located in each resonator. The voltage from each microphone </w:t>
      </w:r>
      <w:proofErr w:type="gramStart"/>
      <w:r>
        <w:rPr>
          <w:rFonts w:eastAsiaTheme="minorEastAsia"/>
          <w:szCs w:val="20"/>
        </w:rPr>
        <w:t>was passed</w:t>
      </w:r>
      <w:proofErr w:type="gramEnd"/>
      <w:r>
        <w:rPr>
          <w:rFonts w:eastAsiaTheme="minorEastAsia"/>
          <w:szCs w:val="20"/>
        </w:rPr>
        <w:t xml:space="preserve"> through a differential amplifier and the amplified output sent to a DAQ card that recorded the microphone waveform with a time resolution of 8 MS/s over a one-second interval. A speaker was located close to the microphone in the lower resonator and </w:t>
      </w:r>
      <w:proofErr w:type="gramStart"/>
      <w:r>
        <w:rPr>
          <w:rFonts w:eastAsiaTheme="minorEastAsia"/>
          <w:szCs w:val="20"/>
        </w:rPr>
        <w:t>was driven</w:t>
      </w:r>
      <w:proofErr w:type="gramEnd"/>
      <w:r>
        <w:rPr>
          <w:rFonts w:eastAsiaTheme="minorEastAsia"/>
          <w:szCs w:val="20"/>
        </w:rPr>
        <w:t xml:space="preserve"> by a voltage waveform that, in the frequency domain, was a top hat distribution over the frequency range 1250 – 1650 Hz. At multiple intervals, the speaker </w:t>
      </w:r>
      <w:proofErr w:type="gramStart"/>
      <w:r>
        <w:rPr>
          <w:rFonts w:eastAsiaTheme="minorEastAsia"/>
          <w:szCs w:val="20"/>
        </w:rPr>
        <w:t>was used</w:t>
      </w:r>
      <w:proofErr w:type="gramEnd"/>
      <w:r>
        <w:rPr>
          <w:rFonts w:eastAsiaTheme="minorEastAsia"/>
          <w:szCs w:val="20"/>
        </w:rPr>
        <w:t xml:space="preserve"> to excite the standing wave eigenmode of the PAS cell. The one-second microphone time trace </w:t>
      </w:r>
      <w:proofErr w:type="gramStart"/>
      <w:r>
        <w:rPr>
          <w:rFonts w:eastAsiaTheme="minorEastAsia"/>
          <w:szCs w:val="20"/>
        </w:rPr>
        <w:t>was recorded and processed through a Fast Fourier Transform that gave an acoustic spectrum with a Lorentzian distribution</w:t>
      </w:r>
      <w:proofErr w:type="gramEnd"/>
      <w:r>
        <w:rPr>
          <w:rFonts w:eastAsiaTheme="minorEastAsia"/>
          <w:szCs w:val="20"/>
        </w:rPr>
        <w:t xml:space="preserve">. By fitting this measured distribution to a Lorentzian function, the </w:t>
      </w:r>
      <w:proofErr w:type="gramStart"/>
      <w:r>
        <w:rPr>
          <w:rFonts w:eastAsiaTheme="minorEastAsia"/>
          <w:szCs w:val="20"/>
        </w:rPr>
        <w:t xml:space="preserve">cell resonance frequency </w:t>
      </w:r>
      <w:proofErr w:type="spellStart"/>
      <w:r>
        <w:rPr>
          <w:rFonts w:eastAsiaTheme="minorEastAsia"/>
          <w:i/>
          <w:szCs w:val="20"/>
        </w:rPr>
        <w:t>f</w:t>
      </w:r>
      <w:r w:rsidRPr="001B51EB">
        <w:rPr>
          <w:rFonts w:eastAsiaTheme="minorEastAsia"/>
          <w:szCs w:val="20"/>
          <w:vertAlign w:val="subscript"/>
        </w:rPr>
        <w:t>res</w:t>
      </w:r>
      <w:proofErr w:type="spellEnd"/>
      <w:proofErr w:type="gramEnd"/>
      <w:r>
        <w:rPr>
          <w:rFonts w:eastAsiaTheme="minorEastAsia"/>
          <w:szCs w:val="20"/>
        </w:rPr>
        <w:t xml:space="preserve"> and quality factor </w:t>
      </w:r>
      <w:r>
        <w:rPr>
          <w:rFonts w:eastAsiaTheme="minorEastAsia"/>
          <w:i/>
          <w:szCs w:val="20"/>
        </w:rPr>
        <w:t>Q</w:t>
      </w:r>
      <w:r>
        <w:rPr>
          <w:rFonts w:eastAsiaTheme="minorEastAsia"/>
          <w:szCs w:val="20"/>
        </w:rPr>
        <w:t xml:space="preserve"> were measured. </w:t>
      </w:r>
      <w:r w:rsidRPr="00B2530B">
        <w:rPr>
          <w:rFonts w:eastAsiaTheme="minorEastAsia"/>
          <w:szCs w:val="20"/>
        </w:rPr>
        <w:t>Importantly</w:t>
      </w:r>
      <w:r>
        <w:rPr>
          <w:rFonts w:eastAsiaTheme="minorEastAsia"/>
          <w:szCs w:val="20"/>
        </w:rPr>
        <w:t xml:space="preserve">, the measured </w:t>
      </w:r>
      <w:proofErr w:type="spellStart"/>
      <w:r>
        <w:rPr>
          <w:rFonts w:eastAsiaTheme="minorEastAsia"/>
          <w:i/>
          <w:szCs w:val="20"/>
        </w:rPr>
        <w:t>f</w:t>
      </w:r>
      <w:r w:rsidRPr="001B51EB">
        <w:rPr>
          <w:rFonts w:eastAsiaTheme="minorEastAsia"/>
          <w:szCs w:val="20"/>
          <w:vertAlign w:val="subscript"/>
        </w:rPr>
        <w:t>res</w:t>
      </w:r>
      <w:proofErr w:type="spellEnd"/>
      <w:r>
        <w:rPr>
          <w:rFonts w:eastAsiaTheme="minorEastAsia"/>
          <w:szCs w:val="20"/>
        </w:rPr>
        <w:t xml:space="preserve"> </w:t>
      </w:r>
      <w:proofErr w:type="gramStart"/>
      <w:r>
        <w:rPr>
          <w:rFonts w:eastAsiaTheme="minorEastAsia"/>
          <w:szCs w:val="20"/>
        </w:rPr>
        <w:t>was used</w:t>
      </w:r>
      <w:proofErr w:type="gramEnd"/>
      <w:r>
        <w:rPr>
          <w:rFonts w:eastAsiaTheme="minorEastAsia"/>
          <w:szCs w:val="20"/>
        </w:rPr>
        <w:t xml:space="preserve"> to set the modulation frequency of the laser to ensure this frequency matched the PAS cell resonance frequency at all times.</w:t>
      </w:r>
    </w:p>
    <w:p w14:paraId="7DF29BD3" w14:textId="77777777" w:rsidR="000D5AA0" w:rsidRDefault="000D5AA0" w:rsidP="000D5AA0">
      <w:pPr>
        <w:rPr>
          <w:rFonts w:eastAsiaTheme="minorEastAsia"/>
          <w:szCs w:val="20"/>
        </w:rPr>
      </w:pPr>
    </w:p>
    <w:p w14:paraId="5F50F74B" w14:textId="33AD2D0E" w:rsidR="000D5AA0" w:rsidRDefault="000D5AA0" w:rsidP="000D5AA0">
      <w:pPr>
        <w:rPr>
          <w:rFonts w:eastAsiaTheme="minorEastAsia"/>
          <w:szCs w:val="20"/>
        </w:rPr>
      </w:pPr>
      <w:r>
        <w:rPr>
          <w:rFonts w:eastAsiaTheme="minorEastAsia"/>
          <w:szCs w:val="20"/>
        </w:rPr>
        <w:t xml:space="preserve">To measure the PAS response from aerosol absorption, one-second differential-amplified microphone waveforms </w:t>
      </w:r>
      <w:proofErr w:type="gramStart"/>
      <w:r>
        <w:rPr>
          <w:rFonts w:eastAsiaTheme="minorEastAsia"/>
          <w:szCs w:val="20"/>
        </w:rPr>
        <w:t>were processed</w:t>
      </w:r>
      <w:proofErr w:type="gramEnd"/>
      <w:r>
        <w:rPr>
          <w:rFonts w:eastAsiaTheme="minorEastAsia"/>
          <w:szCs w:val="20"/>
        </w:rPr>
        <w:t xml:space="preserve"> through a Fourier transform and the amplitude of the frequency component corresponding to </w:t>
      </w:r>
      <w:proofErr w:type="spellStart"/>
      <w:r>
        <w:rPr>
          <w:rFonts w:eastAsiaTheme="minorEastAsia"/>
          <w:i/>
          <w:szCs w:val="20"/>
        </w:rPr>
        <w:t>f</w:t>
      </w:r>
      <w:r w:rsidRPr="001B51EB">
        <w:rPr>
          <w:rFonts w:eastAsiaTheme="minorEastAsia"/>
          <w:szCs w:val="20"/>
          <w:vertAlign w:val="subscript"/>
        </w:rPr>
        <w:t>res</w:t>
      </w:r>
      <w:proofErr w:type="spellEnd"/>
      <w:r>
        <w:rPr>
          <w:rFonts w:eastAsiaTheme="minorEastAsia"/>
          <w:szCs w:val="20"/>
        </w:rPr>
        <w:t xml:space="preserve"> was recorded. This amplitude is denoted </w:t>
      </w:r>
      <w:proofErr w:type="spellStart"/>
      <w:r>
        <w:rPr>
          <w:rFonts w:eastAsiaTheme="minorEastAsia"/>
          <w:i/>
          <w:szCs w:val="20"/>
        </w:rPr>
        <w:t>S</w:t>
      </w:r>
      <w:r w:rsidRPr="001B51EB">
        <w:rPr>
          <w:rFonts w:eastAsiaTheme="minorEastAsia"/>
          <w:szCs w:val="20"/>
          <w:vertAlign w:val="subscript"/>
        </w:rPr>
        <w:t>raw</w:t>
      </w:r>
      <w:proofErr w:type="spellEnd"/>
      <w:r>
        <w:rPr>
          <w:rFonts w:eastAsiaTheme="minorEastAsia"/>
          <w:szCs w:val="20"/>
        </w:rPr>
        <w:t>. As described in previous publications,</w:t>
      </w:r>
      <w:r>
        <w:rPr>
          <w:rFonts w:eastAsiaTheme="minorEastAsia"/>
          <w:szCs w:val="20"/>
        </w:rPr>
        <w:fldChar w:fldCharType="begin" w:fldLock="1"/>
      </w:r>
      <w:r>
        <w:rPr>
          <w:rFonts w:eastAsiaTheme="minorEastAsia"/>
          <w:szCs w:val="20"/>
        </w:rPr>
        <w:instrText>ADDIN CSL_CITATION {"citationItems":[{"id":"ITEM-1","itemData":{"DOI":"10.1080/02786820600803917","ISBN":"0278-6826","ISSN":"0278-6826","PMID":"238418800006","abstract":"Light absorption by aerosols is one of the most uncertain parameters associated with the direct and indirect aerosol effects on climate and is one of the most difficult quantities to measure. This article describes the development of a sensitive method of measuring aerosol absorption at 532 nm with excellent time response (detection limit: 0.08 Mm(-1), 60 second average) using photoacoustic absorption spectroscopy. An accurate calibration method (accuracy of 1-2%) at atmospherically relevant absorption levels and independent validation of the photoacoustic technique is presented. An upper limit to the instrument precision for aerosol absorption measurement is approximate to 6% (2 sigma, 30 sec) while instrument accuracy is calculated to be approximate to 5%. A standard for aerosol absorption measurement techniques using well characterized absorbing aerosol is also proposed.","author":[{"dropping-particle":"","family":"Lack","given":"Daniel A.","non-dropping-particle":"","parse-names":false,"suffix":""},{"dropping-particle":"","family":"Lovejoy","given":"Edward R.","non-dropping-particle":"","parse-names":false,"suffix":""},{"dropping-particle":"","family":"Baynard","given":"Tahllee","non-dropping-particle":"","parse-names":false,"suffix":""},{"dropping-particle":"","family":"Pettersson","given":"Anders","non-dropping-particle":"","parse-names":false,"suffix":""},{"dropping-particle":"","family":"Ravishankara","given":"A. R.","non-dropping-particle":"","parse-names":false,"suffix":""}],"container-title":"Aerosol Science and Technology","id":"ITEM-1","issue":"9","issued":{"date-parts":[["2006","8"]]},"page":"697-708","title":"Aerosol Absorption Measurement using Photoacoustic Spectroscopy: Sensitivity, Calibration, and Uncertainty Developments","type":"article-journal","volume":"40"},"uris":["http://www.mendeley.com/documents/?uuid=3e7d2010-8cab-40bc-8d9d-6f88bfd740c2"]},{"id":"ITEM-2","itemData":{"DOI":"10.5194/amt-11-2313-2018","ISSN":"1867-8548","abstract":"In recent years, photoacoustic spectroscopy has emerged as an invaluable tool for the accurate measurement of light absorption by atmospheric aerosol. Photoacoustic instruments require calibration, which can be achieved by measuring the photoacoustic signal generated by known quantities of gaseous ozone. Recent work has questioned the validity of this approach at short visible wavelengths (404 nm), indicating systematic calibration errors of the order of a factor of 2. We revisit this result and test the validity of the ozone calibration method using a suite of multipass photoacoustic cells operating at wavelengths 405, 514 and 658 nm. Using aerosolised nigrosin with mobility-selected diameters in the range 250–425 nm, we demonstrate excellent agreement between measured and modelled ensemble absorption cross sections at all wavelengths, thus demonstrating the validity of the ozone-based calibration method for aerosol photoacoustic spectroscopy at visible wavelengths.","author":[{"dropping-particle":"","family":"Davies","given":"Nicholas W.","non-dropping-particle":"","parse-names":false,"suffix":""},{"dropping-particle":"","family":"Cotterell","given":"Michael I.","non-dropping-particle":"","parse-names":false,"suffix":""},{"dropping-particle":"","family":"Fox","given":"Cathryn","non-dropping-particle":"","parse-names":false,"suffix":""},{"dropping-particle":"","family":"Szpek","given":"Kate","non-dropping-particle":"","parse-names":false,"suffix":""},{"dropping-particle":"","family":"Haywood","given":"Jim M.","non-dropping-particle":"","parse-names":false,"suffix":""},{"dropping-particle":"","family":"Langridge","given":"Justin M.","non-dropping-particle":"","parse-names":false,"suffix":""}],"container-title":"Atmospheric Measurement Techniques","id":"ITEM-2","issue":"4","issued":{"date-parts":[["2018","4","24"]]},"page":"2313-2324","title":"On the accuracy of aerosol photoacoustic spectrometer calibrations using absorption by ozone","type":"article-journal","volume":"11"},"uris":["http://www.mendeley.com/documents/?uuid=9205ef3c-bb20-42dd-9d9c-b69e18518168"]},{"id":"ITEM-3","itemData":{"DOI":"10.5194/amt-12-2371-2019","ISSN":"1867-8548","abstract":"0). We show that the rates of two processes are required to model the PAS sensitivity correctly. The first process involves the formation of vibrationally excited O3(X̃) through the reaction of the nascent O(3P) with bath gas O2. The second process involves the quenching of vibrational energy from the nascent O2(X, v &gt; 0) to translational modes of the bath gas. Both of these processes proceed at different rates in collisions with N2 or O2 bath gas species. Importantly, we show that the PAS sensitivity is optimised for our PAS instruments when the ozone-based calibration is performed in a bath gas with a similar composition to ambient air and conclude that our methods for measuring aerosol absorption using an ozone-calibrated PAS are accurate and without detectable bias. We emphasise that the dependence of PAS sensitivity on bath gas composition is wavelength-dependent, and we recommend strongly that researchers characterise the optimal bath gas composition for their particular instrument.]]&gt;","author":[{"dropping-particle":"","family":"Cotterell","given":"Michael I.","non-dropping-particle":"","parse-names":false,"suffix":""},{"dropping-particle":"","family":"Orr-Ewing","given":"Andrew J.","non-dropping-particle":"","parse-names":false,"suffix":""},{"dropping-particle":"","family":"Szpek","given":"Kate","non-dropping-particle":"","parse-names":false,"suffix":""},{"dropping-particle":"","family":"Haywood","given":"Jim M.","non-dropping-particle":"","parse-names":false,"suffix":""},{"dropping-particle":"","family":"Langridge","given":"Justin M.","non-dropping-particle":"","parse-names":false,"suffix":""}],"container-title":"Atmospheric Measurement Techniques","id":"ITEM-3","issue":"4","issued":{"date-parts":[["2019","4","15"]]},"page":"2371-2385","title":"The impact of bath gas composition on the calibration of photoacoustic spectrometers with ozone at discrete visible wavelengths spanning the Chappuis band","type":"article-journal","volume":"12"},"uris":["http://www.mendeley.com/documents/?uuid=6efa30fa-953f-44c3-a6dc-4ad3e571489c"]}],"mendeley":{"formattedCitation":"&lt;sup&gt;1,2,7&lt;/sup&gt;","plainTextFormattedCitation":"1,2,7","previouslyFormattedCitation":"&lt;sup&gt;1,2,7&lt;/sup&gt;"},"properties":{"noteIndex":0},"schema":"https://github.com/citation-style-language/schema/raw/master/csl-citation.json"}</w:instrText>
      </w:r>
      <w:r>
        <w:rPr>
          <w:rFonts w:eastAsiaTheme="minorEastAsia"/>
          <w:szCs w:val="20"/>
        </w:rPr>
        <w:fldChar w:fldCharType="separate"/>
      </w:r>
      <w:r w:rsidRPr="000D5AA0">
        <w:rPr>
          <w:rFonts w:eastAsiaTheme="minorEastAsia"/>
          <w:noProof/>
          <w:szCs w:val="20"/>
          <w:vertAlign w:val="superscript"/>
        </w:rPr>
        <w:t>1,2,7</w:t>
      </w:r>
      <w:r>
        <w:rPr>
          <w:rFonts w:eastAsiaTheme="minorEastAsia"/>
          <w:szCs w:val="20"/>
        </w:rPr>
        <w:fldChar w:fldCharType="end"/>
      </w:r>
      <w:r>
        <w:rPr>
          <w:rFonts w:eastAsiaTheme="minorEastAsia"/>
          <w:szCs w:val="20"/>
        </w:rPr>
        <w:t xml:space="preserve"> </w:t>
      </w:r>
      <w:proofErr w:type="spellStart"/>
      <w:r>
        <w:rPr>
          <w:rFonts w:eastAsiaTheme="minorEastAsia"/>
          <w:i/>
          <w:szCs w:val="20"/>
        </w:rPr>
        <w:t>S</w:t>
      </w:r>
      <w:r w:rsidRPr="001B51EB">
        <w:rPr>
          <w:rFonts w:eastAsiaTheme="minorEastAsia"/>
          <w:szCs w:val="20"/>
          <w:vertAlign w:val="subscript"/>
        </w:rPr>
        <w:t>raw</w:t>
      </w:r>
      <w:proofErr w:type="spellEnd"/>
      <w:r>
        <w:rPr>
          <w:rFonts w:eastAsiaTheme="minorEastAsia"/>
          <w:szCs w:val="20"/>
        </w:rPr>
        <w:t xml:space="preserve"> requires correcting for </w:t>
      </w:r>
      <w:proofErr w:type="spellStart"/>
      <w:r>
        <w:rPr>
          <w:rFonts w:eastAsiaTheme="minorEastAsia"/>
          <w:i/>
          <w:szCs w:val="20"/>
        </w:rPr>
        <w:t>f</w:t>
      </w:r>
      <w:r w:rsidRPr="001B51EB">
        <w:rPr>
          <w:rFonts w:eastAsiaTheme="minorEastAsia"/>
          <w:szCs w:val="20"/>
          <w:vertAlign w:val="subscript"/>
        </w:rPr>
        <w:t>res</w:t>
      </w:r>
      <w:proofErr w:type="spellEnd"/>
      <w:r>
        <w:t xml:space="preserve">, </w:t>
      </w:r>
      <w:r>
        <w:rPr>
          <w:i/>
        </w:rPr>
        <w:t>Q</w:t>
      </w:r>
      <w:r>
        <w:t xml:space="preserve"> and </w:t>
      </w:r>
      <w:r>
        <w:rPr>
          <w:i/>
        </w:rPr>
        <w:t>W</w:t>
      </w:r>
      <w:r w:rsidRPr="001B51EB">
        <w:rPr>
          <w:vertAlign w:val="subscript"/>
        </w:rPr>
        <w:t>RMS</w:t>
      </w:r>
      <w:r>
        <w:t xml:space="preserve"> and it can be shown from first principles that this correction</w:t>
      </w:r>
      <w:r>
        <w:rPr>
          <w:rFonts w:eastAsiaTheme="minorEastAsia"/>
          <w:szCs w:val="20"/>
        </w:rPr>
        <w:t xml:space="preserve"> should be performed according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293"/>
        <w:gridCol w:w="1390"/>
      </w:tblGrid>
      <w:tr w:rsidR="000D5AA0" w:rsidRPr="002574B4" w14:paraId="786FEC42" w14:textId="77777777" w:rsidTr="00715CF2">
        <w:trPr>
          <w:trHeight w:val="704"/>
        </w:trPr>
        <w:tc>
          <w:tcPr>
            <w:tcW w:w="1490" w:type="dxa"/>
            <w:vAlign w:val="center"/>
          </w:tcPr>
          <w:p w14:paraId="402BEC03" w14:textId="77777777" w:rsidR="000D5AA0" w:rsidRDefault="000D5AA0" w:rsidP="00715CF2">
            <w:pPr>
              <w:jc w:val="center"/>
            </w:pPr>
          </w:p>
        </w:tc>
        <w:tc>
          <w:tcPr>
            <w:tcW w:w="6997" w:type="dxa"/>
            <w:vAlign w:val="center"/>
          </w:tcPr>
          <w:p w14:paraId="7009FAEA" w14:textId="29920EB2" w:rsidR="000D5AA0" w:rsidRPr="000D5AA0" w:rsidRDefault="00715CF2" w:rsidP="000D5AA0">
            <w:pPr>
              <w:keepNext/>
              <w:jc w:val="center"/>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cor</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raw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res</m:t>
                        </m:r>
                      </m:sub>
                    </m:sSub>
                  </m:num>
                  <m:den>
                    <m:sSub>
                      <m:sSubPr>
                        <m:ctrlPr>
                          <w:rPr>
                            <w:rFonts w:ascii="Cambria Math" w:hAnsi="Cambria Math"/>
                            <w:i/>
                          </w:rPr>
                        </m:ctrlPr>
                      </m:sSubPr>
                      <m:e>
                        <m:r>
                          <w:rPr>
                            <w:rFonts w:ascii="Cambria Math" w:hAnsi="Cambria Math"/>
                          </w:rPr>
                          <m:t>W</m:t>
                        </m:r>
                      </m:e>
                      <m:sub>
                        <m:r>
                          <m:rPr>
                            <m:sty m:val="p"/>
                          </m:rPr>
                          <w:rPr>
                            <w:rFonts w:ascii="Cambria Math" w:hAnsi="Cambria Math"/>
                          </w:rPr>
                          <m:t>RMS</m:t>
                        </m:r>
                      </m:sub>
                    </m:sSub>
                    <m:r>
                      <w:rPr>
                        <w:rFonts w:ascii="Cambria Math" w:hAnsi="Cambria Math"/>
                      </w:rPr>
                      <m:t>Q</m:t>
                    </m:r>
                  </m:den>
                </m:f>
              </m:oMath>
            </m:oMathPara>
          </w:p>
        </w:tc>
        <w:tc>
          <w:tcPr>
            <w:tcW w:w="1449" w:type="dxa"/>
            <w:vAlign w:val="center"/>
          </w:tcPr>
          <w:p w14:paraId="49EBDC51" w14:textId="0684A3F1" w:rsidR="000D5AA0" w:rsidRPr="00DA3E45" w:rsidRDefault="000D5AA0" w:rsidP="000D5AA0">
            <w:pPr>
              <w:pStyle w:val="Caption"/>
              <w:jc w:val="right"/>
              <w:rPr>
                <w:b/>
              </w:rPr>
            </w:pPr>
            <w:r>
              <w:t xml:space="preserve">Equation S </w:t>
            </w:r>
            <w:r w:rsidR="009D7CC4">
              <w:rPr>
                <w:noProof/>
              </w:rPr>
              <w:fldChar w:fldCharType="begin"/>
            </w:r>
            <w:r w:rsidR="009D7CC4">
              <w:rPr>
                <w:noProof/>
              </w:rPr>
              <w:instrText xml:space="preserve"> SEQ Equation_S \* ARABIC </w:instrText>
            </w:r>
            <w:r w:rsidR="009D7CC4">
              <w:rPr>
                <w:noProof/>
              </w:rPr>
              <w:fldChar w:fldCharType="separate"/>
            </w:r>
            <w:r w:rsidR="00715CF2">
              <w:rPr>
                <w:noProof/>
              </w:rPr>
              <w:t>2</w:t>
            </w:r>
            <w:r w:rsidR="009D7CC4">
              <w:rPr>
                <w:noProof/>
              </w:rPr>
              <w:fldChar w:fldCharType="end"/>
            </w:r>
          </w:p>
        </w:tc>
      </w:tr>
    </w:tbl>
    <w:p w14:paraId="78C7A233" w14:textId="309AA320" w:rsidR="000D5AA0" w:rsidRDefault="000D5AA0" w:rsidP="000D5AA0">
      <w:proofErr w:type="gramStart"/>
      <w:r>
        <w:t>in</w:t>
      </w:r>
      <w:proofErr w:type="gramEnd"/>
      <w:r>
        <w:t xml:space="preserve"> which </w:t>
      </w:r>
      <m:oMath>
        <m:sSub>
          <m:sSubPr>
            <m:ctrlPr>
              <w:rPr>
                <w:rFonts w:ascii="Cambria Math" w:hAnsi="Cambria Math"/>
                <w:i/>
                <w:szCs w:val="20"/>
                <w:lang w:eastAsia="en-GB"/>
              </w:rPr>
            </m:ctrlPr>
          </m:sSubPr>
          <m:e>
            <m:r>
              <w:rPr>
                <w:rFonts w:ascii="Cambria Math" w:hAnsi="Cambria Math"/>
              </w:rPr>
              <m:t>S</m:t>
            </m:r>
          </m:e>
          <m:sub>
            <m:r>
              <m:rPr>
                <m:sty m:val="p"/>
              </m:rPr>
              <w:rPr>
                <w:rFonts w:ascii="Cambria Math" w:hAnsi="Cambria Math"/>
              </w:rPr>
              <m:t>cor</m:t>
            </m:r>
          </m:sub>
        </m:sSub>
      </m:oMath>
      <w:r>
        <w:t xml:space="preserve"> is the corrected PAS signal. In our measurements, </w:t>
      </w:r>
      <w:r>
        <w:rPr>
          <w:i/>
        </w:rPr>
        <w:t>W</w:t>
      </w:r>
      <w:r>
        <w:rPr>
          <w:i/>
        </w:rPr>
        <w:softHyphen/>
      </w:r>
      <w:r w:rsidRPr="001B51EB">
        <w:rPr>
          <w:vertAlign w:val="subscript"/>
        </w:rPr>
        <w:t>RMS</w:t>
      </w:r>
      <w:r>
        <w:t xml:space="preserve"> </w:t>
      </w:r>
      <w:proofErr w:type="gramStart"/>
      <w:r>
        <w:t>is measured</w:t>
      </w:r>
      <w:proofErr w:type="gramEnd"/>
      <w:r>
        <w:t xml:space="preserve"> from the voltage response of an uncalibrated photodiode detector with a linear response to laser power. Therefore, the units of </w:t>
      </w:r>
      <w:r>
        <w:rPr>
          <w:i/>
        </w:rPr>
        <w:t>W</w:t>
      </w:r>
      <w:r w:rsidRPr="00194D58">
        <w:rPr>
          <w:vertAlign w:val="subscript"/>
        </w:rPr>
        <w:t>RMS</w:t>
      </w:r>
      <w:r>
        <w:t xml:space="preserve"> and </w:t>
      </w:r>
      <m:oMath>
        <m:sSub>
          <m:sSubPr>
            <m:ctrlPr>
              <w:rPr>
                <w:rFonts w:ascii="Cambria Math" w:hAnsi="Cambria Math"/>
                <w:i/>
                <w:szCs w:val="20"/>
                <w:lang w:eastAsia="en-GB"/>
              </w:rPr>
            </m:ctrlPr>
          </m:sSubPr>
          <m:e>
            <m:r>
              <w:rPr>
                <w:rFonts w:ascii="Cambria Math" w:hAnsi="Cambria Math"/>
              </w:rPr>
              <m:t>S</m:t>
            </m:r>
          </m:e>
          <m:sub>
            <m:r>
              <m:rPr>
                <m:sty m:val="p"/>
              </m:rPr>
              <w:rPr>
                <w:rFonts w:ascii="Cambria Math" w:hAnsi="Cambria Math"/>
              </w:rPr>
              <m:t>cor</m:t>
            </m:r>
          </m:sub>
        </m:sSub>
      </m:oMath>
      <w:r>
        <w:rPr>
          <w:i/>
        </w:rPr>
        <w:t xml:space="preserve"> </w:t>
      </w:r>
      <w:r>
        <w:t xml:space="preserve">are arbitrary. An additional correction is </w:t>
      </w:r>
      <w:r w:rsidRPr="00E35778">
        <w:rPr>
          <w:color w:val="000000" w:themeColor="text1"/>
        </w:rPr>
        <w:t xml:space="preserve">required to account for a background contribution to </w:t>
      </w:r>
      <m:oMath>
        <m:sSub>
          <m:sSubPr>
            <m:ctrlPr>
              <w:rPr>
                <w:rFonts w:ascii="Cambria Math" w:hAnsi="Cambria Math"/>
                <w:i/>
                <w:color w:val="000000" w:themeColor="text1"/>
                <w:szCs w:val="20"/>
                <w:lang w:eastAsia="en-GB"/>
              </w:rPr>
            </m:ctrlPr>
          </m:sSubPr>
          <m:e>
            <m:r>
              <w:rPr>
                <w:rFonts w:ascii="Cambria Math" w:hAnsi="Cambria Math"/>
                <w:color w:val="000000" w:themeColor="text1"/>
              </w:rPr>
              <m:t>S</m:t>
            </m:r>
          </m:e>
          <m:sub>
            <m:r>
              <m:rPr>
                <m:sty m:val="p"/>
              </m:rPr>
              <w:rPr>
                <w:rFonts w:ascii="Cambria Math" w:hAnsi="Cambria Math"/>
                <w:color w:val="000000" w:themeColor="text1"/>
              </w:rPr>
              <m:t>cor</m:t>
            </m:r>
          </m:sub>
        </m:sSub>
      </m:oMath>
      <w:r w:rsidRPr="00E35778">
        <w:rPr>
          <w:color w:val="000000" w:themeColor="text1"/>
          <w:szCs w:val="20"/>
          <w:lang w:eastAsia="en-GB"/>
        </w:rPr>
        <w:t xml:space="preserve"> </w:t>
      </w:r>
      <w:r w:rsidRPr="00E35778">
        <w:rPr>
          <w:color w:val="000000" w:themeColor="text1"/>
        </w:rPr>
        <w:t xml:space="preserve">from laser interactions with the PAS cell windows. We denote this background </w:t>
      </w:r>
      <w:proofErr w:type="gramStart"/>
      <w:r w:rsidRPr="00E35778">
        <w:rPr>
          <w:color w:val="000000" w:themeColor="text1"/>
        </w:rPr>
        <w:t>contribution</w:t>
      </w:r>
      <w:r>
        <w:rPr>
          <w:color w:val="000000" w:themeColor="text1"/>
        </w:rPr>
        <w:t xml:space="preserve"> </w:t>
      </w:r>
      <w:proofErr w:type="gramEnd"/>
      <m:oMath>
        <m:sSub>
          <m:sSubPr>
            <m:ctrlPr>
              <w:rPr>
                <w:rFonts w:ascii="Cambria Math" w:hAnsi="Cambria Math"/>
                <w:i/>
                <w:color w:val="000000" w:themeColor="text1"/>
                <w:szCs w:val="20"/>
                <w:lang w:eastAsia="en-GB"/>
              </w:rPr>
            </m:ctrlPr>
          </m:sSubPr>
          <m:e>
            <m:r>
              <w:rPr>
                <w:rFonts w:ascii="Cambria Math" w:hAnsi="Cambria Math"/>
                <w:color w:val="000000" w:themeColor="text1"/>
              </w:rPr>
              <m:t>S</m:t>
            </m:r>
          </m:e>
          <m:sub>
            <m:r>
              <m:rPr>
                <m:sty m:val="p"/>
              </m:rPr>
              <w:rPr>
                <w:rFonts w:ascii="Cambria Math" w:hAnsi="Cambria Math"/>
                <w:color w:val="000000" w:themeColor="text1"/>
              </w:rPr>
              <m:t>cor,bg</m:t>
            </m:r>
          </m:sub>
        </m:sSub>
      </m:oMath>
      <w:r w:rsidRPr="00E35778">
        <w:rPr>
          <w:color w:val="000000" w:themeColor="text1"/>
        </w:rPr>
        <w:t>.</w:t>
      </w:r>
      <w:r>
        <w:rPr>
          <w:color w:val="000000" w:themeColor="text1"/>
        </w:rPr>
        <w:t xml:space="preserve"> This background contribution is negligible for our optimised cell used on the 405-nm PAS,</w:t>
      </w:r>
      <w:r>
        <w:rPr>
          <w:color w:val="000000" w:themeColor="text1"/>
        </w:rPr>
        <w:fldChar w:fldCharType="begin" w:fldLock="1"/>
      </w:r>
      <w:r>
        <w:rPr>
          <w:color w:val="000000" w:themeColor="text1"/>
        </w:rPr>
        <w:instrText>ADDIN CSL_CITATION {"citationItems":[{"id":"ITEM-1","itemData":{"DOI":"10.1080/02786826.2019.1650161","ISSN":"0278-6826","author":[{"dropping-particle":"","family":"Cotterell","given":"Michael I.","non-dropping-particle":"","parse-names":false,"suffix":""},{"dropping-particle":"","family":"Ward","given":"Gareth P.","non-dropping-particle":"","parse-names":false,"suffix":""},{"dropping-particle":"","family":"Hibbins","given":"Alastair P.","non-dropping-particle":"","parse-names":false,"suffix":""},{"dropping-particle":"","family":"Haywood","given":"Jim M.","non-dropping-particle":"","parse-names":false,"suffix":""},{"dropping-particle":"","family":"Wilson","given":"Andy","non-dropping-particle":"","parse-names":false,"suffix":""},{"dropping-particle":"","family":"Langridge","given":"Justin M.","non-dropping-particle":"","parse-names":false,"suffix":""}],"container-title":"Aerosol Science and Technology","id":"ITEM-1","issue":"10","issued":{"date-parts":[["2019","10","3"]]},"page":"1107-1127","title":"Optimizing the performance of aerosol photoacoustic cells using a finite element model. Part 1: Method validation and application to single-resonator multipass cells","type":"article-journal","volume":"53"},"uris":["http://www.mendeley.com/documents/?uuid=7f3f0046-fd6c-420b-89ed-0902b74023a8"]}],"mendeley":{"formattedCitation":"&lt;sup&gt;6&lt;/sup&gt;","plainTextFormattedCitation":"6","previouslyFormattedCitation":"&lt;sup&gt;6&lt;/sup&gt;"},"properties":{"noteIndex":0},"schema":"https://github.com/citation-style-language/schema/raw/master/csl-citation.json"}</w:instrText>
      </w:r>
      <w:r>
        <w:rPr>
          <w:color w:val="000000" w:themeColor="text1"/>
        </w:rPr>
        <w:fldChar w:fldCharType="separate"/>
      </w:r>
      <w:r w:rsidRPr="000D5AA0">
        <w:rPr>
          <w:noProof/>
          <w:color w:val="000000" w:themeColor="text1"/>
          <w:vertAlign w:val="superscript"/>
        </w:rPr>
        <w:t>6</w:t>
      </w:r>
      <w:r>
        <w:rPr>
          <w:color w:val="000000" w:themeColor="text1"/>
        </w:rPr>
        <w:fldChar w:fldCharType="end"/>
      </w:r>
      <w:r w:rsidRPr="00E35778">
        <w:rPr>
          <w:color w:val="000000" w:themeColor="text1"/>
        </w:rPr>
        <w:t xml:space="preserve"> </w:t>
      </w:r>
      <w:r>
        <w:rPr>
          <w:color w:val="000000" w:themeColor="text1"/>
        </w:rPr>
        <w:t>but is a considerable fraction (&gt; 50%) of the total signal for 658-nm PAS measurements.</w:t>
      </w:r>
      <w:r w:rsidRPr="00E35778">
        <w:rPr>
          <w:color w:val="000000" w:themeColor="text1"/>
        </w:rPr>
        <w:t xml:space="preserve"> </w:t>
      </w:r>
      <w:r>
        <w:rPr>
          <w:color w:val="000000" w:themeColor="text1"/>
        </w:rPr>
        <w:t xml:space="preserve">Before and after measurements of mobility-selected aerosol, filtered sample devoid of any light absorbing species </w:t>
      </w:r>
      <w:proofErr w:type="gramStart"/>
      <w:r>
        <w:rPr>
          <w:color w:val="000000" w:themeColor="text1"/>
        </w:rPr>
        <w:t>was passed</w:t>
      </w:r>
      <w:proofErr w:type="gramEnd"/>
      <w:r>
        <w:rPr>
          <w:color w:val="000000" w:themeColor="text1"/>
        </w:rPr>
        <w:t xml:space="preserve"> through the PAS cells and</w:t>
      </w:r>
      <w:r>
        <w:t xml:space="preserve"> the mean </w:t>
      </w:r>
      <m:oMath>
        <m:sSub>
          <m:sSubPr>
            <m:ctrlPr>
              <w:rPr>
                <w:rFonts w:ascii="Cambria Math" w:hAnsi="Cambria Math"/>
                <w:i/>
                <w:color w:val="000000" w:themeColor="text1"/>
                <w:szCs w:val="20"/>
                <w:lang w:eastAsia="en-GB"/>
              </w:rPr>
            </m:ctrlPr>
          </m:sSubPr>
          <m:e>
            <m:r>
              <w:rPr>
                <w:rFonts w:ascii="Cambria Math" w:hAnsi="Cambria Math"/>
                <w:color w:val="000000" w:themeColor="text1"/>
              </w:rPr>
              <m:t>S</m:t>
            </m:r>
          </m:e>
          <m:sub>
            <m:r>
              <m:rPr>
                <m:sty m:val="p"/>
              </m:rPr>
              <w:rPr>
                <w:rFonts w:ascii="Cambria Math" w:hAnsi="Cambria Math"/>
                <w:color w:val="000000" w:themeColor="text1"/>
              </w:rPr>
              <m:t>cor,bg</m:t>
            </m:r>
          </m:sub>
        </m:sSub>
      </m:oMath>
      <w:r>
        <w:t xml:space="preserve"> was characterised over 60 s periods. These two mean background values were identical within measurement precision </w:t>
      </w:r>
      <w:r>
        <w:lastRenderedPageBreak/>
        <w:t xml:space="preserve">and a linear interpolation between these values </w:t>
      </w:r>
      <w:proofErr w:type="gramStart"/>
      <w:r>
        <w:t>was used</w:t>
      </w:r>
      <w:proofErr w:type="gramEnd"/>
      <w:r>
        <w:t xml:space="preserve"> to describe </w:t>
      </w:r>
      <m:oMath>
        <m:sSub>
          <m:sSubPr>
            <m:ctrlPr>
              <w:rPr>
                <w:rFonts w:ascii="Cambria Math" w:hAnsi="Cambria Math"/>
                <w:i/>
                <w:color w:val="000000" w:themeColor="text1"/>
                <w:szCs w:val="20"/>
                <w:lang w:eastAsia="en-GB"/>
              </w:rPr>
            </m:ctrlPr>
          </m:sSubPr>
          <m:e>
            <m:r>
              <w:rPr>
                <w:rFonts w:ascii="Cambria Math" w:hAnsi="Cambria Math"/>
                <w:color w:val="000000" w:themeColor="text1"/>
              </w:rPr>
              <m:t>S</m:t>
            </m:r>
          </m:e>
          <m:sub>
            <m:r>
              <m:rPr>
                <m:sty m:val="p"/>
              </m:rPr>
              <w:rPr>
                <w:rFonts w:ascii="Cambria Math" w:hAnsi="Cambria Math"/>
                <w:color w:val="000000" w:themeColor="text1"/>
              </w:rPr>
              <m:t>cor,bg</m:t>
            </m:r>
          </m:sub>
        </m:sSub>
      </m:oMath>
      <w:r>
        <w:t xml:space="preserve"> during measurements of mobility-selected aerosol. The PAS signal of interest is then: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6295"/>
        <w:gridCol w:w="1389"/>
      </w:tblGrid>
      <w:tr w:rsidR="000D5AA0" w:rsidRPr="002574B4" w14:paraId="21565784" w14:textId="77777777" w:rsidTr="00715CF2">
        <w:trPr>
          <w:trHeight w:val="647"/>
        </w:trPr>
        <w:tc>
          <w:tcPr>
            <w:tcW w:w="1486" w:type="dxa"/>
            <w:vAlign w:val="center"/>
          </w:tcPr>
          <w:p w14:paraId="1DA6730B" w14:textId="77777777" w:rsidR="000D5AA0" w:rsidRDefault="000D5AA0" w:rsidP="00715CF2">
            <w:pPr>
              <w:jc w:val="center"/>
            </w:pPr>
          </w:p>
        </w:tc>
        <w:tc>
          <w:tcPr>
            <w:tcW w:w="6981" w:type="dxa"/>
            <w:vAlign w:val="center"/>
          </w:tcPr>
          <w:p w14:paraId="159831DC" w14:textId="4B7D4461" w:rsidR="000D5AA0" w:rsidRPr="000D5AA0" w:rsidRDefault="00715CF2" w:rsidP="000D5AA0">
            <w:pPr>
              <w:keepNext/>
              <w:jc w:val="center"/>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cor</m:t>
                    </m:r>
                  </m:sub>
                </m:sSub>
                <m:r>
                  <w:rPr>
                    <w:rFonts w:ascii="Cambria Math" w:hAnsi="Cambria Math"/>
                  </w:rPr>
                  <m:t>-</m:t>
                </m:r>
                <m:sSub>
                  <m:sSubPr>
                    <m:ctrlPr>
                      <w:rPr>
                        <w:rFonts w:ascii="Cambria Math" w:hAnsi="Cambria Math"/>
                        <w:i/>
                        <w:color w:val="000000" w:themeColor="text1"/>
                        <w:szCs w:val="20"/>
                        <w:lang w:eastAsia="en-GB"/>
                      </w:rPr>
                    </m:ctrlPr>
                  </m:sSubPr>
                  <m:e>
                    <m:r>
                      <w:rPr>
                        <w:rFonts w:ascii="Cambria Math" w:hAnsi="Cambria Math"/>
                        <w:color w:val="000000" w:themeColor="text1"/>
                      </w:rPr>
                      <m:t>S</m:t>
                    </m:r>
                  </m:e>
                  <m:sub>
                    <m:r>
                      <m:rPr>
                        <m:sty m:val="p"/>
                      </m:rPr>
                      <w:rPr>
                        <w:rFonts w:ascii="Cambria Math" w:hAnsi="Cambria Math"/>
                        <w:color w:val="000000" w:themeColor="text1"/>
                      </w:rPr>
                      <m:t>cor,bg</m:t>
                    </m:r>
                  </m:sub>
                </m:sSub>
              </m:oMath>
            </m:oMathPara>
          </w:p>
        </w:tc>
        <w:tc>
          <w:tcPr>
            <w:tcW w:w="1446" w:type="dxa"/>
            <w:vAlign w:val="center"/>
          </w:tcPr>
          <w:p w14:paraId="0ABD75A1" w14:textId="68923161" w:rsidR="000D5AA0" w:rsidRPr="00DA3E45" w:rsidRDefault="000D5AA0" w:rsidP="00715CF2">
            <w:pPr>
              <w:pStyle w:val="Caption"/>
              <w:jc w:val="right"/>
              <w:rPr>
                <w:b/>
              </w:rPr>
            </w:pPr>
            <w:r>
              <w:t xml:space="preserve">Equation S </w:t>
            </w:r>
            <w:r w:rsidR="009D7CC4">
              <w:rPr>
                <w:noProof/>
              </w:rPr>
              <w:fldChar w:fldCharType="begin"/>
            </w:r>
            <w:r w:rsidR="009D7CC4">
              <w:rPr>
                <w:noProof/>
              </w:rPr>
              <w:instrText xml:space="preserve"> SEQ Equation_S \* ARABIC </w:instrText>
            </w:r>
            <w:r w:rsidR="009D7CC4">
              <w:rPr>
                <w:noProof/>
              </w:rPr>
              <w:fldChar w:fldCharType="separate"/>
            </w:r>
            <w:r w:rsidR="00715CF2">
              <w:rPr>
                <w:noProof/>
              </w:rPr>
              <w:t>3</w:t>
            </w:r>
            <w:r w:rsidR="009D7CC4">
              <w:rPr>
                <w:noProof/>
              </w:rPr>
              <w:fldChar w:fldCharType="end"/>
            </w:r>
          </w:p>
        </w:tc>
      </w:tr>
    </w:tbl>
    <w:p w14:paraId="08681502" w14:textId="16B49F4E" w:rsidR="000D5AA0" w:rsidRPr="00194D58" w:rsidRDefault="000D5AA0" w:rsidP="000D5AA0">
      <w:pPr>
        <w:rPr>
          <w:szCs w:val="20"/>
          <w:lang w:eastAsia="en-GB"/>
        </w:rPr>
      </w:pPr>
      <w:r>
        <w:t xml:space="preserve">To relate </w:t>
      </w:r>
      <w:proofErr w:type="spellStart"/>
      <w:r>
        <w:rPr>
          <w:i/>
        </w:rPr>
        <w:t>S</w:t>
      </w:r>
      <w:r>
        <w:rPr>
          <w:vertAlign w:val="subscript"/>
        </w:rPr>
        <w:t>final</w:t>
      </w:r>
      <w:proofErr w:type="spellEnd"/>
      <w:r>
        <w:t xml:space="preserve"> to an absorption coefficient, the PAS cells are calibrated using concentrations of ozone gas injected into air, with the recorded photoacoustic responses referenced to measured absorption coefficients recorded by their corresponding CRDS spectrometers</w:t>
      </w:r>
      <w:r w:rsidRPr="00194D58">
        <w:t xml:space="preserve"> </w:t>
      </w:r>
      <w:r>
        <w:t>in serial flow configuration. We refer the reader to our previous publications which describe this calibration thoroughly and demonstrate the excellent accuracy achieved in subsequent measurements of aerosol absorption coefficient.</w:t>
      </w:r>
      <w:r>
        <w:fldChar w:fldCharType="begin" w:fldLock="1"/>
      </w:r>
      <w:r>
        <w:instrText>ADDIN CSL_CITATION {"citationItems":[{"id":"ITEM-1","itemData":{"DOI":"10.5194/amt-11-2313-2018","ISSN":"1867-8548","abstract":"In recent years, photoacoustic spectroscopy has emerged as an invaluable tool for the accurate measurement of light absorption by atmospheric aerosol. Photoacoustic instruments require calibration, which can be achieved by measuring the photoacoustic signal generated by known quantities of gaseous ozone. Recent work has questioned the validity of this approach at short visible wavelengths (404 nm), indicating systematic calibration errors of the order of a factor of 2. We revisit this result and test the validity of the ozone calibration method using a suite of multipass photoacoustic cells operating at wavelengths 405, 514 and 658 nm. Using aerosolised nigrosin with mobility-selected diameters in the range 250–425 nm, we demonstrate excellent agreement between measured and modelled ensemble absorption cross sections at all wavelengths, thus demonstrating the validity of the ozone-based calibration method for aerosol photoacoustic spectroscopy at visible wavelengths.","author":[{"dropping-particle":"","family":"Davies","given":"Nicholas W.","non-dropping-particle":"","parse-names":false,"suffix":""},{"dropping-particle":"","family":"Cotterell","given":"Michael I.","non-dropping-particle":"","parse-names":false,"suffix":""},{"dropping-particle":"","family":"Fox","given":"Cathryn","non-dropping-particle":"","parse-names":false,"suffix":""},{"dropping-particle":"","family":"Szpek","given":"Kate","non-dropping-particle":"","parse-names":false,"suffix":""},{"dropping-particle":"","family":"Haywood","given":"Jim M.","non-dropping-particle":"","parse-names":false,"suffix":""},{"dropping-particle":"","family":"Langridge","given":"Justin M.","non-dropping-particle":"","parse-names":false,"suffix":""}],"container-title":"Atmospheric Measurement Techniques","id":"ITEM-1","issue":"4","issued":{"date-parts":[["2018","4","24"]]},"page":"2313-2324","title":"On the accuracy of aerosol photoacoustic spectrometer calibrations using absorption by ozone","type":"article-journal","volume":"11"},"uris":["http://www.mendeley.com/documents/?uuid=9205ef3c-bb20-42dd-9d9c-b69e18518168"]},{"id":"ITEM-2","itemData":{"DOI":"10.5194/amt-12-2371-2019","ISSN":"1867-8548","abstract":"0). We show that the rates of two processes are required to model the PAS sensitivity correctly. The first process involves the formation of vibrationally excited O3(X̃) through the reaction of the nascent O(3P) with bath gas O2. The second process involves the quenching of vibrational energy from the nascent O2(X, v &gt; 0) to translational modes of the bath gas. Both of these processes proceed at different rates in collisions with N2 or O2 bath gas species. Importantly, we show that the PAS sensitivity is optimised for our PAS instruments when the ozone-based calibration is performed in a bath gas with a similar composition to ambient air and conclude that our methods for measuring aerosol absorption using an ozone-calibrated PAS are accurate and without detectable bias. We emphasise that the dependence of PAS sensitivity on bath gas composition is wavelength-dependent, and we recommend strongly that researchers characterise the optimal bath gas composition for their particular instrument.]]&gt;","author":[{"dropping-particle":"","family":"Cotterell","given":"Michael I.","non-dropping-particle":"","parse-names":false,"suffix":""},{"dropping-particle":"","family":"Orr-Ewing","given":"Andrew J.","non-dropping-particle":"","parse-names":false,"suffix":""},{"dropping-particle":"","family":"Szpek","given":"Kate","non-dropping-particle":"","parse-names":false,"suffix":""},{"dropping-particle":"","family":"Haywood","given":"Jim M.","non-dropping-particle":"","parse-names":false,"suffix":""},{"dropping-particle":"","family":"Langridge","given":"Justin M.","non-dropping-particle":"","parse-names":false,"suffix":""}],"container-title":"Atmospheric Measurement Techniques","id":"ITEM-2","issue":"4","issued":{"date-parts":[["2019","4","15"]]},"page":"2371-2385","title":"The impact of bath gas composition on the calibration of photoacoustic spectrometers with ozone at discrete visible wavelengths spanning the Chappuis band","type":"article-journal","volume":"12"},"uris":["http://www.mendeley.com/documents/?uuid=6efa30fa-953f-44c3-a6dc-4ad3e571489c"]}],"mendeley":{"formattedCitation":"&lt;sup&gt;2,7&lt;/sup&gt;","plainTextFormattedCitation":"2,7","previouslyFormattedCitation":"&lt;sup&gt;2,7&lt;/sup&gt;"},"properties":{"noteIndex":0},"schema":"https://github.com/citation-style-language/schema/raw/master/csl-citation.json"}</w:instrText>
      </w:r>
      <w:r>
        <w:fldChar w:fldCharType="separate"/>
      </w:r>
      <w:r w:rsidRPr="000D5AA0">
        <w:rPr>
          <w:noProof/>
          <w:vertAlign w:val="superscript"/>
        </w:rPr>
        <w:t>2,7</w:t>
      </w:r>
      <w:r>
        <w:fldChar w:fldCharType="end"/>
      </w:r>
    </w:p>
    <w:p w14:paraId="00D69AED" w14:textId="77777777" w:rsidR="000D5AA0" w:rsidRDefault="000D5AA0" w:rsidP="000647C2">
      <w:pPr>
        <w:rPr>
          <w:b/>
        </w:rPr>
      </w:pPr>
    </w:p>
    <w:p w14:paraId="52283BAD" w14:textId="0E0CF66B" w:rsidR="000647C2" w:rsidRPr="000647C2" w:rsidRDefault="00626BD6" w:rsidP="000D5AA0">
      <w:pPr>
        <w:pStyle w:val="Heading1"/>
      </w:pPr>
      <w:bookmarkStart w:id="4" w:name="_Toc33176021"/>
      <w:r>
        <w:t>S</w:t>
      </w:r>
      <w:r w:rsidR="000D5AA0">
        <w:t>3</w:t>
      </w:r>
      <w:r w:rsidR="000647C2" w:rsidRPr="000647C2">
        <w:t>. Calibrating CPC</w:t>
      </w:r>
      <w:r w:rsidR="000647C2" w:rsidRPr="000647C2">
        <w:softHyphen/>
      </w:r>
      <w:r w:rsidR="000647C2" w:rsidRPr="000D5AA0">
        <w:rPr>
          <w:vertAlign w:val="subscript"/>
        </w:rPr>
        <w:t>3010</w:t>
      </w:r>
      <w:r w:rsidR="000647C2" w:rsidRPr="000647C2">
        <w:t xml:space="preserve"> measurements of number concentrations</w:t>
      </w:r>
      <w:bookmarkEnd w:id="4"/>
    </w:p>
    <w:p w14:paraId="6C864D36" w14:textId="3F419967" w:rsidR="000647C2" w:rsidRDefault="000647C2" w:rsidP="000647C2">
      <w:r>
        <w:t>The uncertainties in measurements of extinction and absorption cross sections and the associated RI retrievals are often dominated by uncertainties in the CPC number concentration.</w:t>
      </w:r>
      <w:r>
        <w:fldChar w:fldCharType="begin" w:fldLock="1"/>
      </w:r>
      <w:r w:rsidR="000D5AA0">
        <w:instrText>ADDIN CSL_CITATION {"citationItems":[{"id":"ITEM-1","itemData":{"DOI":"10.1080/02786826.2011.596170","ISBN":"0278-6826","ISSN":"0278-6826","abstract":"The use of cavity ring down spectroscopy to retrieve aerosol complex refractive index fromoptical propertymeasurements has seen increasing popularity over the past few years. However, few studies have looked at the limit which sources of error and uncer- tainty inherent in the cavity ring down method place on the accu- racy with which the refractive index can be retrieved. In this paper, we consider both experimental sources of error and those which compromise the theoretical models against which measurements are compared, both reviewing previously published work and pre- senting new data.Our results showthat for absolute measurements made using single-cavity instruments, factors such as uncertainty in the length of the ring down cavity occupied by aerosol and the counting efficiency of the CPC can introduce an error of 2.5% into the real part of the refractive index retrieved from experi- ment. This is significantly higher than the typical 1%error quoted in previously published work.We note that due to the dependence of particle extinction efficiency on diameter, the effect of a given error on measurements for different particle sizes is not constant.","author":[{"dropping-particle":"","family":"Miles","given":"Rachael E. H.","non-dropping-particle":"","parse-names":false,"suffix":""},{"dropping-particle":"","family":"Rudić","given":"Svemir","non-dropping-particle":"","parse-names":false,"suffix":""},{"dropping-particle":"","family":"Orr-Ewing","given":"Andrew J.","non-dropping-particle":"","parse-names":false,"suffix":""},{"dropping-particle":"","family":"Reid","given":"Jonathan P.","non-dropping-particle":"","parse-names":false,"suffix":""}],"container-title":"Aerosol Science and Technology","id":"ITEM-1","issue":"11","issued":{"date-parts":[["2011","11"]]},"page":"1360-1375","title":"Sources of Error and Uncertainty in the Use of Cavity Ring Down Spectroscopy to Measure Aerosol Optical Properties","type":"article-journal","volume":"45"},"uris":["http://www.mendeley.com/documents/?uuid=f74dff4f-c8c5-4585-827d-50a331f93c72"]},{"id":"ITEM-2","itemData":{"DOI":"10.1080/02786826.2014.963498","ISSN":"0278-6826","author":[{"dropping-particle":"","family":"Zarzana","given":"Kyle J.","non-dropping-particle":"","parse-names":false,"suffix":""},{"dropping-particle":"","family":"Cappa","given":"Christopher D.","non-dropping-particle":"","parse-names":false,"suffix":""},{"dropping-particle":"","family":"Tolbert","given":"Margaret A.","non-dropping-particle":"","parse-names":false,"suffix":""}],"container-title":"Aerosol Science and Technology","id":"ITEM-2","issue":"11","issued":{"date-parts":[["2014","10","7"]]},"page":"1133-1144","title":"Sensitivity of Aerosol Refractive Index Retrievals Using Optical Spectroscopy","type":"article-journal","volume":"48"},"uris":["http://www.mendeley.com/documents/?uuid=2b6e3933-0245-46c6-accd-2681412bb1b5"]}],"mendeley":{"formattedCitation":"&lt;sup&gt;8,9&lt;/sup&gt;","plainTextFormattedCitation":"8,9","previouslyFormattedCitation":"&lt;sup&gt;8,9&lt;/sup&gt;"},"properties":{"noteIndex":0},"schema":"https://github.com/citation-style-language/schema/raw/master/csl-citation.json"}</w:instrText>
      </w:r>
      <w:r>
        <w:fldChar w:fldCharType="separate"/>
      </w:r>
      <w:r w:rsidR="000D5AA0" w:rsidRPr="000D5AA0">
        <w:rPr>
          <w:noProof/>
          <w:vertAlign w:val="superscript"/>
        </w:rPr>
        <w:t>8,9</w:t>
      </w:r>
      <w:r>
        <w:fldChar w:fldCharType="end"/>
      </w:r>
      <w:r>
        <w:t xml:space="preserve"> </w:t>
      </w:r>
      <w:proofErr w:type="gramStart"/>
      <w:r>
        <w:t>We</w:t>
      </w:r>
      <w:proofErr w:type="gramEnd"/>
      <w:r>
        <w:t xml:space="preserve"> used the CPC</w:t>
      </w:r>
      <w:r>
        <w:rPr>
          <w:vertAlign w:val="subscript"/>
        </w:rPr>
        <w:t>3010</w:t>
      </w:r>
      <w:r>
        <w:t xml:space="preserve"> to measure number concentrations </w:t>
      </w:r>
      <w:r>
        <w:rPr>
          <w:i/>
        </w:rPr>
        <w:t>N</w:t>
      </w:r>
      <w:r w:rsidRPr="00933B8A">
        <w:rPr>
          <w:vertAlign w:val="subscript"/>
        </w:rPr>
        <w:t>3010</w:t>
      </w:r>
      <w:r>
        <w:t xml:space="preserve"> at the sample exit port of the 658-nm PAS channel and related these concentrations to those in the 405-nm channel from measured aerosol transmission correction factors (see Sect. 3.2). We opted to use the CPC</w:t>
      </w:r>
      <w:r>
        <w:rPr>
          <w:vertAlign w:val="subscript"/>
        </w:rPr>
        <w:t>3010</w:t>
      </w:r>
      <w:r>
        <w:t xml:space="preserve"> for number concentration measurements because it operated at a flow rate of 1.0 L min</w:t>
      </w:r>
      <w:r>
        <w:rPr>
          <w:vertAlign w:val="superscript"/>
        </w:rPr>
        <w:t>-1</w:t>
      </w:r>
      <w:r>
        <w:t xml:space="preserve"> and at the same flow rate for which the </w:t>
      </w:r>
      <w:proofErr w:type="spellStart"/>
      <w:r>
        <w:t>Brechtel</w:t>
      </w:r>
      <w:proofErr w:type="spellEnd"/>
      <w:r>
        <w:t xml:space="preserve"> sample splitters </w:t>
      </w:r>
      <w:proofErr w:type="gramStart"/>
      <w:r>
        <w:t>are optimised</w:t>
      </w:r>
      <w:proofErr w:type="gramEnd"/>
      <w:r>
        <w:t xml:space="preserve"> for equal splitting of the aerosol-laden sample to the 405-nm and 658-nm channels. However, our CPC</w:t>
      </w:r>
      <w:r>
        <w:rPr>
          <w:vertAlign w:val="subscript"/>
        </w:rPr>
        <w:t>3010</w:t>
      </w:r>
      <w:r>
        <w:t xml:space="preserve"> had not been calibrated in many years by the manufacturer and we therefore calibrated the CPC</w:t>
      </w:r>
      <w:r>
        <w:rPr>
          <w:vertAlign w:val="subscript"/>
        </w:rPr>
        <w:t>3010</w:t>
      </w:r>
      <w:r>
        <w:t xml:space="preserve"> in-house by comparing </w:t>
      </w:r>
      <w:r>
        <w:rPr>
          <w:i/>
        </w:rPr>
        <w:t>N</w:t>
      </w:r>
      <w:r>
        <w:rPr>
          <w:vertAlign w:val="subscript"/>
        </w:rPr>
        <w:t>3010</w:t>
      </w:r>
      <w:r>
        <w:t xml:space="preserve"> to measured number concentrations (</w:t>
      </w:r>
      <w:r>
        <w:rPr>
          <w:i/>
        </w:rPr>
        <w:t>N</w:t>
      </w:r>
      <w:r>
        <w:rPr>
          <w:vertAlign w:val="subscript"/>
        </w:rPr>
        <w:t>3776</w:t>
      </w:r>
      <w:r>
        <w:t>) from our CPC</w:t>
      </w:r>
      <w:r>
        <w:rPr>
          <w:vertAlign w:val="subscript"/>
        </w:rPr>
        <w:t>3776</w:t>
      </w:r>
      <w:r>
        <w:t xml:space="preserve"> (that samples at flow rates of either 0.3 or 1.5 L min</w:t>
      </w:r>
      <w:r>
        <w:rPr>
          <w:vertAlign w:val="superscript"/>
        </w:rPr>
        <w:t>-1</w:t>
      </w:r>
      <w:r>
        <w:t>) that was calibrated recently by the manufacturer.</w:t>
      </w:r>
    </w:p>
    <w:p w14:paraId="774D09FF" w14:textId="77777777" w:rsidR="000647C2" w:rsidRDefault="000647C2" w:rsidP="000647C2"/>
    <w:p w14:paraId="618585BA" w14:textId="77777777" w:rsidR="000647C2" w:rsidRDefault="000647C2" w:rsidP="000647C2">
      <w:r>
        <w:t xml:space="preserve">Ammonium </w:t>
      </w:r>
      <w:proofErr w:type="spellStart"/>
      <w:r>
        <w:t>sulfate</w:t>
      </w:r>
      <w:proofErr w:type="spellEnd"/>
      <w:r>
        <w:t xml:space="preserve"> aerosol was atomised and dried prior to being mobility-selected using the DMA described in Sect. 2. The subsequent mobility-selected aerosol </w:t>
      </w:r>
      <w:proofErr w:type="gramStart"/>
      <w:r>
        <w:t>was passed</w:t>
      </w:r>
      <w:proofErr w:type="gramEnd"/>
      <w:r>
        <w:t xml:space="preserve"> to an aluminium mixing volume with a flow rate of 0.33 L min</w:t>
      </w:r>
      <w:r>
        <w:rPr>
          <w:vertAlign w:val="superscript"/>
        </w:rPr>
        <w:t>-1</w:t>
      </w:r>
      <w:r>
        <w:t>. The CPC</w:t>
      </w:r>
      <w:r>
        <w:rPr>
          <w:vertAlign w:val="subscript"/>
        </w:rPr>
        <w:t>3010</w:t>
      </w:r>
      <w:r>
        <w:t xml:space="preserve"> and CPC</w:t>
      </w:r>
      <w:r>
        <w:rPr>
          <w:vertAlign w:val="subscript"/>
        </w:rPr>
        <w:t>3776</w:t>
      </w:r>
      <w:r>
        <w:t xml:space="preserve"> sampled from this mixing volume at flow rates of 1.0 and 1.5 L min</w:t>
      </w:r>
      <w:r>
        <w:rPr>
          <w:vertAlign w:val="superscript"/>
        </w:rPr>
        <w:t>-1</w:t>
      </w:r>
      <w:r>
        <w:t xml:space="preserve"> respectively, with make-up air drawn into the opposite end of the mixing volume through a HEPA filter. We mobility-selected particles at 13 different diameters in the range 100 – 400 nm in 25 nm intervals. For each mobility-selected diameter, we waited for the measured </w:t>
      </w:r>
      <w:r w:rsidRPr="008C6A53">
        <w:rPr>
          <w:i/>
        </w:rPr>
        <w:t>N</w:t>
      </w:r>
      <w:r>
        <w:rPr>
          <w:vertAlign w:val="subscript"/>
        </w:rPr>
        <w:t>3010</w:t>
      </w:r>
      <w:r>
        <w:t xml:space="preserve"> and </w:t>
      </w:r>
      <w:r>
        <w:rPr>
          <w:i/>
        </w:rPr>
        <w:t>N</w:t>
      </w:r>
      <w:r>
        <w:rPr>
          <w:i/>
        </w:rPr>
        <w:softHyphen/>
      </w:r>
      <w:r>
        <w:rPr>
          <w:i/>
        </w:rPr>
        <w:softHyphen/>
      </w:r>
      <w:r>
        <w:rPr>
          <w:vertAlign w:val="subscript"/>
        </w:rPr>
        <w:t>3776</w:t>
      </w:r>
      <w:r>
        <w:t xml:space="preserve"> to stabilise and then recorded number concentrations for 5 minutes. Figure S1 shows how the mean </w:t>
      </w:r>
      <w:r>
        <w:rPr>
          <w:i/>
        </w:rPr>
        <w:t>N</w:t>
      </w:r>
      <w:r>
        <w:rPr>
          <w:vertAlign w:val="subscript"/>
        </w:rPr>
        <w:t>3010</w:t>
      </w:r>
      <w:r>
        <w:t xml:space="preserve"> values for each mobility-selected diameter varies with the corresponding mean </w:t>
      </w:r>
      <w:r>
        <w:rPr>
          <w:i/>
        </w:rPr>
        <w:t>N</w:t>
      </w:r>
      <w:r>
        <w:rPr>
          <w:vertAlign w:val="subscript"/>
        </w:rPr>
        <w:t>3776</w:t>
      </w:r>
      <w:r>
        <w:t>. We performed a log-log linear regression, using a least-squares routine to fit equation 1 to the data in Figure S1: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6682"/>
        <w:gridCol w:w="1371"/>
      </w:tblGrid>
      <w:tr w:rsidR="000647C2" w14:paraId="6FBD4722" w14:textId="77777777" w:rsidTr="00FA2AC4">
        <w:tc>
          <w:tcPr>
            <w:tcW w:w="973" w:type="dxa"/>
          </w:tcPr>
          <w:p w14:paraId="5A6827C8" w14:textId="77777777" w:rsidR="000647C2" w:rsidRDefault="000647C2" w:rsidP="00CF3CF6">
            <w:pPr>
              <w:contextualSpacing/>
              <w:rPr>
                <w:u w:val="single"/>
              </w:rPr>
            </w:pPr>
          </w:p>
        </w:tc>
        <w:tc>
          <w:tcPr>
            <w:tcW w:w="6682" w:type="dxa"/>
            <w:vAlign w:val="center"/>
          </w:tcPr>
          <w:p w14:paraId="68CAFD1E" w14:textId="0A332BF5" w:rsidR="000647C2" w:rsidRPr="00AF245A" w:rsidRDefault="00715CF2" w:rsidP="000647C2">
            <w:pPr>
              <w:keepNext/>
              <w:contextualSpacing/>
              <w:jc w:val="center"/>
            </w:pPr>
            <m:oMathPara>
              <m:oMath>
                <m:sSub>
                  <m:sSubPr>
                    <m:ctrlPr>
                      <w:rPr>
                        <w:rFonts w:ascii="Cambria Math" w:hAnsi="Cambria Math"/>
                        <w:i/>
                      </w:rPr>
                    </m:ctrlPr>
                  </m:sSubPr>
                  <m:e>
                    <m:r>
                      <w:rPr>
                        <w:rFonts w:ascii="Cambria Math" w:hAnsi="Cambria Math"/>
                      </w:rPr>
                      <m:t>N</m:t>
                    </m:r>
                  </m:e>
                  <m:sub>
                    <m:r>
                      <w:rPr>
                        <w:rFonts w:ascii="Cambria Math" w:hAnsi="Cambria Math"/>
                      </w:rPr>
                      <m:t>3776</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3010</m:t>
                            </m:r>
                          </m:sub>
                        </m:sSub>
                      </m:e>
                    </m:d>
                  </m:e>
                  <m:sup>
                    <m:r>
                      <w:rPr>
                        <w:rFonts w:ascii="Cambria Math" w:hAnsi="Cambria Math"/>
                      </w:rPr>
                      <m:t>b</m:t>
                    </m:r>
                  </m:sup>
                </m:sSup>
              </m:oMath>
            </m:oMathPara>
          </w:p>
        </w:tc>
        <w:tc>
          <w:tcPr>
            <w:tcW w:w="1371" w:type="dxa"/>
            <w:vAlign w:val="center"/>
          </w:tcPr>
          <w:p w14:paraId="4E5D6374" w14:textId="5FA2F8E4" w:rsidR="000647C2" w:rsidRPr="00AF245A" w:rsidRDefault="000647C2" w:rsidP="00CF3CF6">
            <w:pPr>
              <w:pStyle w:val="Caption"/>
              <w:keepNext/>
              <w:spacing w:after="120"/>
              <w:contextualSpacing/>
              <w:jc w:val="center"/>
            </w:pPr>
            <w:r>
              <w:t xml:space="preserve">Equation S </w:t>
            </w:r>
            <w:r w:rsidR="00E118F4">
              <w:rPr>
                <w:noProof/>
              </w:rPr>
              <w:fldChar w:fldCharType="begin"/>
            </w:r>
            <w:r w:rsidR="00E118F4">
              <w:rPr>
                <w:noProof/>
              </w:rPr>
              <w:instrText xml:space="preserve"> SEQ Equation_S \* ARABIC </w:instrText>
            </w:r>
            <w:r w:rsidR="00E118F4">
              <w:rPr>
                <w:noProof/>
              </w:rPr>
              <w:fldChar w:fldCharType="separate"/>
            </w:r>
            <w:r w:rsidR="00715CF2">
              <w:rPr>
                <w:noProof/>
              </w:rPr>
              <w:t>4</w:t>
            </w:r>
            <w:r w:rsidR="00E118F4">
              <w:rPr>
                <w:noProof/>
              </w:rPr>
              <w:fldChar w:fldCharType="end"/>
            </w:r>
          </w:p>
        </w:tc>
      </w:tr>
    </w:tbl>
    <w:p w14:paraId="4B5ED611" w14:textId="2BC8C0AA" w:rsidR="000647C2" w:rsidRDefault="000647C2" w:rsidP="000647C2">
      <w:proofErr w:type="gramStart"/>
      <w:r>
        <w:t>in</w:t>
      </w:r>
      <w:proofErr w:type="gramEnd"/>
      <w:r>
        <w:t xml:space="preserve"> which </w:t>
      </w:r>
      <w:r>
        <w:rPr>
          <w:i/>
        </w:rPr>
        <w:t>b</w:t>
      </w:r>
      <w:r>
        <w:t xml:space="preserve"> is an exponent to be determined. This regression analysis for relating CPC data, where the standard deviation in the number concentration is directly proportional to the number concentration, is the correct method in linear regression theory, while a direct linear regression between </w:t>
      </w:r>
      <w:r>
        <w:rPr>
          <w:i/>
        </w:rPr>
        <w:t>N</w:t>
      </w:r>
      <w:r>
        <w:rPr>
          <w:vertAlign w:val="subscript"/>
        </w:rPr>
        <w:t>3010</w:t>
      </w:r>
      <w:r>
        <w:t xml:space="preserve"> and </w:t>
      </w:r>
      <w:r>
        <w:rPr>
          <w:i/>
        </w:rPr>
        <w:t>N</w:t>
      </w:r>
      <w:r>
        <w:rPr>
          <w:vertAlign w:val="subscript"/>
        </w:rPr>
        <w:t>3776</w:t>
      </w:r>
      <w:r>
        <w:rPr>
          <w:vertAlign w:val="subscript"/>
        </w:rPr>
        <w:softHyphen/>
      </w:r>
      <w:r>
        <w:t xml:space="preserve"> (e.g. </w:t>
      </w:r>
      <w:r>
        <w:rPr>
          <w:i/>
        </w:rPr>
        <w:t>N</w:t>
      </w:r>
      <w:r>
        <w:rPr>
          <w:vertAlign w:val="subscript"/>
        </w:rPr>
        <w:t>3010</w:t>
      </w:r>
      <w:r>
        <w:t xml:space="preserve"> = </w:t>
      </w:r>
      <w:r>
        <w:rPr>
          <w:i/>
        </w:rPr>
        <w:t>m</w:t>
      </w:r>
      <w:r>
        <w:sym w:font="Symbol" w:char="F0D7"/>
      </w:r>
      <w:r>
        <w:rPr>
          <w:i/>
        </w:rPr>
        <w:t>N</w:t>
      </w:r>
      <w:r>
        <w:rPr>
          <w:vertAlign w:val="subscript"/>
        </w:rPr>
        <w:t>3776</w:t>
      </w:r>
      <w:r>
        <w:t xml:space="preserve">, with </w:t>
      </w:r>
      <w:r>
        <w:rPr>
          <w:i/>
        </w:rPr>
        <w:t>m</w:t>
      </w:r>
      <w:r>
        <w:t xml:space="preserve"> a </w:t>
      </w:r>
      <w:r>
        <w:lastRenderedPageBreak/>
        <w:t>best-fit slope) would yield biased fit parameters.</w:t>
      </w:r>
      <w:r>
        <w:fldChar w:fldCharType="begin" w:fldLock="1"/>
      </w:r>
      <w:r w:rsidR="000D5AA0">
        <w:instrText>ADDIN CSL_CITATION {"citationItems":[{"id":"ITEM-1","itemData":{"DOI":"10.1080/02786820802716735","author":[{"dropping-particle":"","family":"Fletcher","given":"R A","non-dropping-particle":"","parse-names":false,"suffix":""},{"dropping-particle":"","family":"Mulholland","given":"G W","non-dropping-particle":"","parse-names":false,"suffix":""},{"dropping-particle":"","family":"Winchester","given":"M R","non-dropping-particle":"","parse-names":false,"suffix":""},{"dropping-particle":"","family":"King","given":"R L","non-dropping-particle":"","parse-names":false,"suffix":""},{"dropping-particle":"","family":"Klinedinst","given":"D B","non-dropping-particle":"","parse-names":false,"suffix":""}],"id":"ITEM-1","issue":"October","issued":{"date-parts":[["2009"]]},"note":"Is there a coincidence correction in the CPC data also? Coincidence correction factor is likely small in our measurements (correction factor 0.02% for N = 100 cm-3, correction factor of 0.4% at 2000 cm-3)\n\nDo TSI use electrospray aerosol to elliminate multiple charging or do TSI account for multiple charging in their CPC calibrations?\n\nDo TSI incorporate a coincidence correction?","title":"Calibration of a Condensation Particle Counter Using a NIST Traceable Method NIST Traceable Method","type":"article-journal","volume":"6826"},"uris":["http://www.mendeley.com/documents/?uuid=2e3176b8-545c-4061-8af0-da76ea8c7423"]}],"mendeley":{"formattedCitation":"&lt;sup&gt;10&lt;/sup&gt;","plainTextFormattedCitation":"10","previouslyFormattedCitation":"&lt;sup&gt;10&lt;/sup&gt;"},"properties":{"noteIndex":0},"schema":"https://github.com/citation-style-language/schema/raw/master/csl-citation.json"}</w:instrText>
      </w:r>
      <w:r>
        <w:fldChar w:fldCharType="separate"/>
      </w:r>
      <w:r w:rsidR="000D5AA0" w:rsidRPr="000D5AA0">
        <w:rPr>
          <w:noProof/>
          <w:vertAlign w:val="superscript"/>
        </w:rPr>
        <w:t>10</w:t>
      </w:r>
      <w:r>
        <w:fldChar w:fldCharType="end"/>
      </w:r>
      <w:r>
        <w:t xml:space="preserve"> We find </w:t>
      </w:r>
      <w:r>
        <w:rPr>
          <w:i/>
        </w:rPr>
        <w:t>b</w:t>
      </w:r>
      <w:r>
        <w:t xml:space="preserve"> = 1.00676, with a mean fit residual between our measured </w:t>
      </w:r>
      <w:r>
        <w:rPr>
          <w:i/>
        </w:rPr>
        <w:t>N</w:t>
      </w:r>
      <w:r>
        <w:rPr>
          <w:vertAlign w:val="subscript"/>
        </w:rPr>
        <w:t>3776</w:t>
      </w:r>
      <w:r>
        <w:t xml:space="preserve"> and our corrected </w:t>
      </w:r>
      <w:r>
        <w:rPr>
          <w:i/>
        </w:rPr>
        <w:t>N</w:t>
      </w:r>
      <w:r>
        <w:rPr>
          <w:vertAlign w:val="subscript"/>
        </w:rPr>
        <w:t>3010</w:t>
      </w:r>
      <w:r>
        <w:t xml:space="preserve"> values of 0.81%.</w:t>
      </w:r>
    </w:p>
    <w:p w14:paraId="32E6C482" w14:textId="77777777" w:rsidR="000647C2" w:rsidRPr="000647C2" w:rsidRDefault="000647C2" w:rsidP="000647C2"/>
    <w:p w14:paraId="006F8F4C" w14:textId="77777777" w:rsidR="001871B9" w:rsidRDefault="001871B9" w:rsidP="001871B9">
      <w:pPr>
        <w:keepNext/>
        <w:jc w:val="center"/>
      </w:pPr>
      <w:r>
        <w:rPr>
          <w:noProof/>
          <w:lang w:eastAsia="en-GB"/>
        </w:rPr>
        <w:drawing>
          <wp:inline distT="0" distB="0" distL="0" distR="0" wp14:anchorId="6D0E2C86" wp14:editId="53CEF96E">
            <wp:extent cx="3600000" cy="5022000"/>
            <wp:effectExtent l="0" t="0" r="63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C_calibration_plot 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5022000"/>
                    </a:xfrm>
                    <a:prstGeom prst="rect">
                      <a:avLst/>
                    </a:prstGeom>
                  </pic:spPr>
                </pic:pic>
              </a:graphicData>
            </a:graphic>
          </wp:inline>
        </w:drawing>
      </w:r>
    </w:p>
    <w:p w14:paraId="52D9152C" w14:textId="24E39BF3" w:rsidR="001871B9" w:rsidRDefault="005F0E1A" w:rsidP="001871B9">
      <w:pPr>
        <w:pStyle w:val="Caption"/>
        <w:rPr>
          <w:vertAlign w:val="subscript"/>
        </w:rPr>
      </w:pPr>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1</w:t>
      </w:r>
      <w:r w:rsidR="00D9155D">
        <w:rPr>
          <w:noProof/>
        </w:rPr>
        <w:fldChar w:fldCharType="end"/>
      </w:r>
      <w:r w:rsidR="001871B9">
        <w:t xml:space="preserve">. Top panel: Comparison of the mean </w:t>
      </w:r>
      <w:r w:rsidR="001871B9">
        <w:rPr>
          <w:i/>
        </w:rPr>
        <w:t>N</w:t>
      </w:r>
      <w:r w:rsidR="001871B9">
        <w:rPr>
          <w:vertAlign w:val="subscript"/>
        </w:rPr>
        <w:t>3776</w:t>
      </w:r>
      <w:r w:rsidR="001871B9">
        <w:t xml:space="preserve"> and </w:t>
      </w:r>
      <w:r w:rsidR="001871B9">
        <w:rPr>
          <w:i/>
        </w:rPr>
        <w:t>N</w:t>
      </w:r>
      <w:r w:rsidR="001871B9">
        <w:rPr>
          <w:vertAlign w:val="subscript"/>
        </w:rPr>
        <w:t>3010</w:t>
      </w:r>
      <w:r w:rsidR="001871B9">
        <w:t xml:space="preserve"> for 13 different mobility-selected diameters of ammonium </w:t>
      </w:r>
      <w:proofErr w:type="spellStart"/>
      <w:r w:rsidR="001871B9">
        <w:t>sulfate</w:t>
      </w:r>
      <w:proofErr w:type="spellEnd"/>
      <w:r w:rsidR="001871B9">
        <w:t xml:space="preserve"> aerosol, with each data point representing the mean of number concentration measurements made at 1 Hz sampling frequency over 5 minutes. The solid lines represent a fit of either </w:t>
      </w:r>
      <w:r w:rsidR="001871B9">
        <w:rPr>
          <w:i/>
        </w:rPr>
        <w:t>N</w:t>
      </w:r>
      <w:r w:rsidR="001871B9">
        <w:rPr>
          <w:vertAlign w:val="subscript"/>
        </w:rPr>
        <w:t>3010</w:t>
      </w:r>
      <w:r w:rsidR="001871B9">
        <w:t xml:space="preserve"> = </w:t>
      </w:r>
      <w:r w:rsidR="001871B9" w:rsidRPr="00CD3F7B">
        <w:rPr>
          <w:i/>
        </w:rPr>
        <w:t>m</w:t>
      </w:r>
      <w:r w:rsidR="001871B9">
        <w:sym w:font="Symbol" w:char="F0D7"/>
      </w:r>
      <w:r w:rsidR="001871B9">
        <w:rPr>
          <w:i/>
        </w:rPr>
        <w:t>N</w:t>
      </w:r>
      <w:r w:rsidR="001871B9">
        <w:rPr>
          <w:vertAlign w:val="subscript"/>
        </w:rPr>
        <w:t>3776</w:t>
      </w:r>
      <w:r w:rsidR="001871B9">
        <w:t xml:space="preserve"> (blue line) or </w:t>
      </w:r>
      <w:r w:rsidR="001871B9">
        <w:rPr>
          <w:i/>
        </w:rPr>
        <w:t>N</w:t>
      </w:r>
      <w:r w:rsidR="001871B9">
        <w:rPr>
          <w:vertAlign w:val="subscript"/>
        </w:rPr>
        <w:t>3010</w:t>
      </w:r>
      <w:r w:rsidR="001871B9">
        <w:t xml:space="preserve"> = (</w:t>
      </w:r>
      <w:r w:rsidR="001871B9">
        <w:rPr>
          <w:i/>
        </w:rPr>
        <w:t>N</w:t>
      </w:r>
      <w:r w:rsidR="001871B9">
        <w:rPr>
          <w:vertAlign w:val="subscript"/>
        </w:rPr>
        <w:t>3776</w:t>
      </w:r>
      <w:proofErr w:type="gramStart"/>
      <w:r w:rsidR="001871B9">
        <w:t>)</w:t>
      </w:r>
      <w:r w:rsidR="001871B9">
        <w:rPr>
          <w:i/>
          <w:vertAlign w:val="superscript"/>
        </w:rPr>
        <w:t>b</w:t>
      </w:r>
      <w:proofErr w:type="gramEnd"/>
      <w:r w:rsidR="001871B9">
        <w:t xml:space="preserve"> (red line), with </w:t>
      </w:r>
      <w:r w:rsidR="001871B9">
        <w:rPr>
          <w:i/>
        </w:rPr>
        <w:t>m</w:t>
      </w:r>
      <w:r w:rsidR="001871B9">
        <w:t xml:space="preserve"> or </w:t>
      </w:r>
      <w:r w:rsidR="001871B9">
        <w:rPr>
          <w:i/>
        </w:rPr>
        <w:t>b</w:t>
      </w:r>
      <w:r w:rsidR="001871B9">
        <w:t xml:space="preserve"> the fit coefficients. </w:t>
      </w:r>
      <w:proofErr w:type="gramStart"/>
      <w:r w:rsidR="001871B9">
        <w:t xml:space="preserve">Bottom panel: The variation in the fit residual with the measured </w:t>
      </w:r>
      <w:r w:rsidR="001871B9">
        <w:rPr>
          <w:i/>
        </w:rPr>
        <w:t>N</w:t>
      </w:r>
      <w:r w:rsidR="001871B9">
        <w:rPr>
          <w:vertAlign w:val="subscript"/>
        </w:rPr>
        <w:t>3010</w:t>
      </w:r>
      <w:r w:rsidR="001871B9">
        <w:t>.</w:t>
      </w:r>
      <w:proofErr w:type="gramEnd"/>
      <w:r w:rsidR="001871B9">
        <w:t xml:space="preserve"> The mean fit residual across all measurements is 1.294% when using </w:t>
      </w:r>
      <w:r w:rsidR="001871B9">
        <w:rPr>
          <w:i/>
        </w:rPr>
        <w:t>N</w:t>
      </w:r>
      <w:r w:rsidR="001871B9">
        <w:rPr>
          <w:vertAlign w:val="subscript"/>
        </w:rPr>
        <w:t>3010</w:t>
      </w:r>
      <w:r w:rsidR="001871B9">
        <w:t xml:space="preserve"> = </w:t>
      </w:r>
      <w:r w:rsidR="001871B9" w:rsidRPr="00CD3F7B">
        <w:rPr>
          <w:i/>
        </w:rPr>
        <w:t>m</w:t>
      </w:r>
      <w:r w:rsidR="001871B9">
        <w:sym w:font="Symbol" w:char="F0D7"/>
      </w:r>
      <w:r w:rsidR="001871B9">
        <w:rPr>
          <w:i/>
        </w:rPr>
        <w:t>N</w:t>
      </w:r>
      <w:r w:rsidR="001871B9">
        <w:rPr>
          <w:vertAlign w:val="subscript"/>
        </w:rPr>
        <w:t>3776</w:t>
      </w:r>
      <w:r w:rsidR="001871B9">
        <w:t xml:space="preserve"> to relate number concentrations, and 0.811% when using </w:t>
      </w:r>
      <w:r w:rsidR="001871B9">
        <w:rPr>
          <w:i/>
        </w:rPr>
        <w:t>N</w:t>
      </w:r>
      <w:r w:rsidR="001871B9">
        <w:rPr>
          <w:vertAlign w:val="subscript"/>
        </w:rPr>
        <w:t>3010</w:t>
      </w:r>
      <w:r w:rsidR="001871B9">
        <w:t> = (</w:t>
      </w:r>
      <w:r w:rsidR="001871B9">
        <w:rPr>
          <w:i/>
        </w:rPr>
        <w:t>N</w:t>
      </w:r>
      <w:r w:rsidR="001871B9">
        <w:rPr>
          <w:vertAlign w:val="subscript"/>
        </w:rPr>
        <w:t>3776</w:t>
      </w:r>
      <w:proofErr w:type="gramStart"/>
      <w:r w:rsidR="001871B9">
        <w:t>)</w:t>
      </w:r>
      <w:r w:rsidR="001871B9">
        <w:rPr>
          <w:i/>
          <w:vertAlign w:val="superscript"/>
        </w:rPr>
        <w:t>b</w:t>
      </w:r>
      <w:proofErr w:type="gramEnd"/>
      <w:r w:rsidR="001871B9">
        <w:rPr>
          <w:vertAlign w:val="subscript"/>
        </w:rPr>
        <w:t>.</w:t>
      </w:r>
    </w:p>
    <w:p w14:paraId="5C1152B5" w14:textId="77777777" w:rsidR="00FA2AC4" w:rsidRDefault="00FA2AC4" w:rsidP="00FA2AC4"/>
    <w:p w14:paraId="76EEEC1D" w14:textId="7C648CEE" w:rsidR="00FA2AC4" w:rsidRPr="000D5AA0" w:rsidRDefault="000D5AA0" w:rsidP="000D5AA0">
      <w:pPr>
        <w:pStyle w:val="Heading1"/>
      </w:pPr>
      <w:bookmarkStart w:id="5" w:name="_Toc33176022"/>
      <w:r>
        <w:t>S4</w:t>
      </w:r>
      <w:r w:rsidR="00FA2AC4" w:rsidRPr="000D5AA0">
        <w:t>. Aerosol transmission factors</w:t>
      </w:r>
      <w:bookmarkEnd w:id="5"/>
    </w:p>
    <w:p w14:paraId="2818D786" w14:textId="0342C279" w:rsidR="00FA2AC4" w:rsidRDefault="00FA2AC4" w:rsidP="00FA2AC4">
      <w:pPr>
        <w:rPr>
          <w:noProof/>
          <w:lang w:eastAsia="en-GB"/>
        </w:rPr>
      </w:pPr>
      <w:r>
        <w:rPr>
          <w:noProof/>
          <w:lang w:eastAsia="en-GB"/>
        </w:rPr>
        <w:t>To relate aerosol number concentrations measured at the exit port for the 658-nm PAS channel to t</w:t>
      </w:r>
      <w:r w:rsidR="00F52639">
        <w:rPr>
          <w:noProof/>
          <w:lang w:eastAsia="en-GB"/>
        </w:rPr>
        <w:t>hose for the other spectroscopy</w:t>
      </w:r>
      <w:r>
        <w:rPr>
          <w:noProof/>
          <w:lang w:eastAsia="en-GB"/>
        </w:rPr>
        <w:t xml:space="preserve"> channels, we passed mobility-selected ammonium sulfate aerosol to the CRDS-PAS, measuring </w:t>
      </w:r>
      <w:r>
        <w:rPr>
          <w:i/>
          <w:noProof/>
          <w:lang w:eastAsia="en-GB"/>
        </w:rPr>
        <w:t>N</w:t>
      </w:r>
      <w:r>
        <w:rPr>
          <w:noProof/>
          <w:vertAlign w:val="subscript"/>
          <w:lang w:eastAsia="en-GB"/>
        </w:rPr>
        <w:t>3010</w:t>
      </w:r>
      <w:r>
        <w:rPr>
          <w:noProof/>
          <w:lang w:eastAsia="en-GB"/>
        </w:rPr>
        <w:t xml:space="preserve"> with the CPC</w:t>
      </w:r>
      <w:r>
        <w:rPr>
          <w:noProof/>
          <w:vertAlign w:val="subscript"/>
          <w:lang w:eastAsia="en-GB"/>
        </w:rPr>
        <w:t>3010</w:t>
      </w:r>
      <w:r>
        <w:rPr>
          <w:noProof/>
          <w:lang w:eastAsia="en-GB"/>
        </w:rPr>
        <w:t xml:space="preserve"> located at the sample exit port of the 658-nm PAS (</w:t>
      </w:r>
      <w:r>
        <w:rPr>
          <w:i/>
          <w:noProof/>
          <w:lang w:eastAsia="en-GB"/>
        </w:rPr>
        <w:t>N</w:t>
      </w:r>
      <w:r>
        <w:rPr>
          <w:noProof/>
          <w:vertAlign w:val="subscript"/>
          <w:lang w:eastAsia="en-GB"/>
        </w:rPr>
        <w:t>3010-658</w:t>
      </w:r>
      <w:r>
        <w:rPr>
          <w:noProof/>
          <w:lang w:eastAsia="en-GB"/>
        </w:rPr>
        <w:t>) for one minute. We then moved the CPC</w:t>
      </w:r>
      <w:r>
        <w:rPr>
          <w:noProof/>
          <w:vertAlign w:val="subscript"/>
          <w:lang w:eastAsia="en-GB"/>
        </w:rPr>
        <w:t>3010</w:t>
      </w:r>
      <w:r>
        <w:rPr>
          <w:noProof/>
          <w:lang w:eastAsia="en-GB"/>
        </w:rPr>
        <w:t xml:space="preserve"> to sample from the exit port of the 405-nm PAS to those for the other CRDS and PAS </w:t>
      </w:r>
      <w:r>
        <w:rPr>
          <w:noProof/>
          <w:lang w:eastAsia="en-GB"/>
        </w:rPr>
        <w:lastRenderedPageBreak/>
        <w:t xml:space="preserve">channels, ensuring that the aerosol number concentration being passed to the common inlet of the CRDS-PAS </w:t>
      </w:r>
      <w:r w:rsidR="00F52639">
        <w:rPr>
          <w:noProof/>
          <w:lang w:eastAsia="en-GB"/>
        </w:rPr>
        <w:t>i</w:t>
      </w:r>
      <w:r>
        <w:rPr>
          <w:noProof/>
          <w:lang w:eastAsia="en-GB"/>
        </w:rPr>
        <w:t>nstrument was unchanged, recording the number concentration at each exit port for one minute. These measurements were performed for a mobility-selected diameter of 200 nm and this measurement procedure to compare number concentrations between the two wavelength channels was repeated twice.We find very little difference in the measured number concnetrations between those measured at the exit of one CRDS cell and the exit of the corresponding PAS cell. Therefore, particle losses are very low within the PAS instruments. However, there were notable difference in particle number concentrations between the 405-nm and 658-nm spectroscopy flow</w:t>
      </w:r>
      <w:r w:rsidR="00626BD6">
        <w:rPr>
          <w:noProof/>
          <w:lang w:eastAsia="en-GB"/>
        </w:rPr>
        <w:t xml:space="preserve"> lines</w:t>
      </w:r>
      <w:r>
        <w:rPr>
          <w:noProof/>
          <w:lang w:eastAsia="en-GB"/>
        </w:rPr>
        <w:t xml:space="preserve">. </w:t>
      </w:r>
      <w:r w:rsidR="00626BD6">
        <w:rPr>
          <w:noProof/>
          <w:lang w:eastAsia="en-GB"/>
        </w:rPr>
        <w:t>We define a</w:t>
      </w:r>
      <w:r>
        <w:rPr>
          <w:noProof/>
          <w:lang w:eastAsia="en-GB"/>
        </w:rPr>
        <w:t xml:space="preserve"> transmission correctio</w:t>
      </w:r>
      <w:r w:rsidR="00626BD6">
        <w:rPr>
          <w:noProof/>
          <w:lang w:eastAsia="en-GB"/>
        </w:rPr>
        <w:t xml:space="preserve">n factor for the 405-nm channels </w:t>
      </w:r>
      <w:r>
        <w:rPr>
          <w:noProof/>
          <w:lang w:eastAsia="en-GB"/>
        </w:rPr>
        <w:t>(</w:t>
      </w:r>
      <w:r>
        <w:rPr>
          <w:i/>
          <w:noProof/>
          <w:lang w:eastAsia="en-GB"/>
        </w:rPr>
        <w:t>T</w:t>
      </w:r>
      <w:r>
        <w:rPr>
          <w:noProof/>
          <w:vertAlign w:val="subscript"/>
          <w:lang w:eastAsia="en-GB"/>
        </w:rPr>
        <w:t>405</w:t>
      </w:r>
      <w:r>
        <w:rPr>
          <w:noProof/>
          <w:lang w:eastAsia="en-GB"/>
        </w:rPr>
        <w:t>)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6682"/>
        <w:gridCol w:w="1371"/>
      </w:tblGrid>
      <w:tr w:rsidR="00FA2AC4" w:rsidRPr="00AF245A" w14:paraId="14B93D3F" w14:textId="77777777" w:rsidTr="000D5AA0">
        <w:tc>
          <w:tcPr>
            <w:tcW w:w="973" w:type="dxa"/>
          </w:tcPr>
          <w:p w14:paraId="5C10EFAB" w14:textId="77777777" w:rsidR="00FA2AC4" w:rsidRDefault="00FA2AC4" w:rsidP="00CF3CF6">
            <w:pPr>
              <w:contextualSpacing/>
              <w:rPr>
                <w:u w:val="single"/>
              </w:rPr>
            </w:pPr>
          </w:p>
        </w:tc>
        <w:tc>
          <w:tcPr>
            <w:tcW w:w="6682" w:type="dxa"/>
            <w:vAlign w:val="center"/>
          </w:tcPr>
          <w:p w14:paraId="10C7519C" w14:textId="07CA1AE8" w:rsidR="00FA2AC4" w:rsidRPr="00AF245A" w:rsidRDefault="00715CF2" w:rsidP="000D5AA0">
            <w:pPr>
              <w:keepNext/>
              <w:contextualSpacing/>
              <w:jc w:val="center"/>
            </w:pPr>
            <m:oMathPara>
              <m:oMath>
                <m:sSub>
                  <m:sSubPr>
                    <m:ctrlPr>
                      <w:rPr>
                        <w:rFonts w:ascii="Cambria Math" w:hAnsi="Cambria Math"/>
                        <w:i/>
                      </w:rPr>
                    </m:ctrlPr>
                  </m:sSubPr>
                  <m:e>
                    <m:r>
                      <w:rPr>
                        <w:rFonts w:ascii="Cambria Math" w:hAnsi="Cambria Math"/>
                      </w:rPr>
                      <m:t>T</m:t>
                    </m:r>
                  </m:e>
                  <m:sub>
                    <m:r>
                      <w:rPr>
                        <w:rFonts w:ascii="Cambria Math" w:hAnsi="Cambria Math"/>
                      </w:rPr>
                      <m:t>405</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3010-405</m:t>
                                </m:r>
                              </m:sub>
                            </m:sSub>
                          </m:e>
                        </m:d>
                      </m:e>
                      <m:sup>
                        <m:r>
                          <w:rPr>
                            <w:rFonts w:ascii="Cambria Math" w:hAnsi="Cambria Math"/>
                          </w:rPr>
                          <m:t>b</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3010-658</m:t>
                                </m:r>
                              </m:sub>
                            </m:sSub>
                          </m:e>
                        </m:d>
                      </m:e>
                      <m:sup>
                        <m:r>
                          <w:rPr>
                            <w:rFonts w:ascii="Cambria Math" w:hAnsi="Cambria Math"/>
                          </w:rPr>
                          <m:t>b</m:t>
                        </m:r>
                      </m:sup>
                    </m:sSup>
                  </m:den>
                </m:f>
              </m:oMath>
            </m:oMathPara>
          </w:p>
        </w:tc>
        <w:tc>
          <w:tcPr>
            <w:tcW w:w="1371" w:type="dxa"/>
            <w:vAlign w:val="center"/>
          </w:tcPr>
          <w:p w14:paraId="49928305" w14:textId="11D40DD3" w:rsidR="00FA2AC4" w:rsidRPr="00AF245A" w:rsidRDefault="000D5AA0" w:rsidP="000D5AA0">
            <w:pPr>
              <w:pStyle w:val="Caption"/>
              <w:keepNext/>
              <w:spacing w:after="120"/>
              <w:contextualSpacing/>
              <w:jc w:val="center"/>
            </w:pPr>
            <w:r>
              <w:t xml:space="preserve">Equation S </w:t>
            </w:r>
            <w:r w:rsidR="009D7CC4">
              <w:rPr>
                <w:noProof/>
              </w:rPr>
              <w:fldChar w:fldCharType="begin"/>
            </w:r>
            <w:r w:rsidR="009D7CC4">
              <w:rPr>
                <w:noProof/>
              </w:rPr>
              <w:instrText xml:space="preserve"> SEQ Equation_S \* ARABIC </w:instrText>
            </w:r>
            <w:r w:rsidR="009D7CC4">
              <w:rPr>
                <w:noProof/>
              </w:rPr>
              <w:fldChar w:fldCharType="separate"/>
            </w:r>
            <w:r w:rsidR="00715CF2">
              <w:rPr>
                <w:noProof/>
              </w:rPr>
              <w:t>5</w:t>
            </w:r>
            <w:r w:rsidR="009D7CC4">
              <w:rPr>
                <w:noProof/>
              </w:rPr>
              <w:fldChar w:fldCharType="end"/>
            </w:r>
          </w:p>
        </w:tc>
      </w:tr>
    </w:tbl>
    <w:p w14:paraId="47B54669" w14:textId="082138F5" w:rsidR="00FA2AC4" w:rsidRDefault="00626BD6" w:rsidP="00FA2AC4">
      <w:pPr>
        <w:rPr>
          <w:noProof/>
          <w:lang w:eastAsia="en-GB"/>
        </w:rPr>
      </w:pPr>
      <w:r>
        <w:rPr>
          <w:noProof/>
          <w:lang w:eastAsia="en-GB"/>
        </w:rPr>
        <w:t xml:space="preserve">in which </w:t>
      </w:r>
      <w:r>
        <w:rPr>
          <w:i/>
          <w:noProof/>
          <w:lang w:eastAsia="en-GB"/>
        </w:rPr>
        <w:t>N</w:t>
      </w:r>
      <w:r>
        <w:rPr>
          <w:noProof/>
          <w:vertAlign w:val="subscript"/>
          <w:lang w:eastAsia="en-GB"/>
        </w:rPr>
        <w:t>3010-405</w:t>
      </w:r>
      <w:r>
        <w:t xml:space="preserve"> and </w:t>
      </w:r>
      <w:r>
        <w:rPr>
          <w:i/>
          <w:noProof/>
          <w:lang w:eastAsia="en-GB"/>
        </w:rPr>
        <w:t>N</w:t>
      </w:r>
      <w:r>
        <w:rPr>
          <w:noProof/>
          <w:vertAlign w:val="subscript"/>
          <w:lang w:eastAsia="en-GB"/>
        </w:rPr>
        <w:t>3010-658</w:t>
      </w:r>
      <w:r>
        <w:t xml:space="preserve"> is the raw measured aerosol number concentration at the exit port of the 405-nm and 658-nm PAS cells, respectively, and</w:t>
      </w:r>
      <w:r>
        <w:rPr>
          <w:noProof/>
          <w:lang w:eastAsia="en-GB"/>
        </w:rPr>
        <w:t xml:space="preserve"> </w:t>
      </w:r>
      <w:r>
        <w:rPr>
          <w:i/>
          <w:noProof/>
          <w:lang w:eastAsia="en-GB"/>
        </w:rPr>
        <w:t>b</w:t>
      </w:r>
      <w:r>
        <w:rPr>
          <w:noProof/>
          <w:lang w:eastAsia="en-GB"/>
        </w:rPr>
        <w:t xml:space="preserve"> is the CPC calibration contant described in Sect. S1. </w:t>
      </w:r>
      <w:r w:rsidR="00FA2AC4">
        <w:rPr>
          <w:noProof/>
          <w:lang w:eastAsia="en-GB"/>
        </w:rPr>
        <w:t xml:space="preserve">We calculated a mean </w:t>
      </w:r>
      <w:r w:rsidR="00FA2AC4">
        <w:rPr>
          <w:i/>
          <w:noProof/>
          <w:lang w:eastAsia="en-GB"/>
        </w:rPr>
        <w:t>T</w:t>
      </w:r>
      <w:r w:rsidR="00FA2AC4">
        <w:rPr>
          <w:noProof/>
          <w:vertAlign w:val="subscript"/>
          <w:lang w:eastAsia="en-GB"/>
        </w:rPr>
        <w:t>405</w:t>
      </w:r>
      <w:r w:rsidR="00FA2AC4">
        <w:rPr>
          <w:noProof/>
          <w:lang w:eastAsia="en-GB"/>
        </w:rPr>
        <w:t xml:space="preserve"> of 0.93 </w:t>
      </w:r>
      <w:r w:rsidR="00FA2AC4">
        <w:rPr>
          <w:noProof/>
          <w:lang w:eastAsia="en-GB"/>
        </w:rPr>
        <w:sym w:font="Symbol" w:char="F0B1"/>
      </w:r>
      <w:r w:rsidR="00FA2AC4">
        <w:rPr>
          <w:noProof/>
          <w:lang w:eastAsia="en-GB"/>
        </w:rPr>
        <w:t xml:space="preserve"> 0.01. Thus, the number concentrations in the 405-nm channel are reduced by 7.3% compared to those in the 658-nm channel. In subsequent calculations of optical cross sections reported below, the CPC</w:t>
      </w:r>
      <w:r w:rsidR="00FA2AC4">
        <w:rPr>
          <w:noProof/>
          <w:vertAlign w:val="subscript"/>
          <w:lang w:eastAsia="en-GB"/>
        </w:rPr>
        <w:t>3010</w:t>
      </w:r>
      <w:r w:rsidR="00FA2AC4">
        <w:rPr>
          <w:noProof/>
          <w:lang w:eastAsia="en-GB"/>
        </w:rPr>
        <w:t xml:space="preserve"> data are corrected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6682"/>
        <w:gridCol w:w="1371"/>
      </w:tblGrid>
      <w:tr w:rsidR="00FA2AC4" w:rsidRPr="00AF245A" w14:paraId="1657629A" w14:textId="77777777" w:rsidTr="000D5AA0">
        <w:tc>
          <w:tcPr>
            <w:tcW w:w="973" w:type="dxa"/>
          </w:tcPr>
          <w:p w14:paraId="105B10F3" w14:textId="77777777" w:rsidR="00FA2AC4" w:rsidRDefault="00FA2AC4" w:rsidP="00CF3CF6">
            <w:pPr>
              <w:contextualSpacing/>
              <w:rPr>
                <w:u w:val="single"/>
              </w:rPr>
            </w:pPr>
          </w:p>
        </w:tc>
        <w:tc>
          <w:tcPr>
            <w:tcW w:w="6682" w:type="dxa"/>
            <w:vAlign w:val="center"/>
          </w:tcPr>
          <w:p w14:paraId="10A5F5D9" w14:textId="77777777" w:rsidR="00FA2AC4" w:rsidRPr="00AF245A" w:rsidRDefault="00715CF2" w:rsidP="00CF3CF6">
            <w:pPr>
              <w:contextualSpacing/>
              <w:jc w:val="center"/>
            </w:pPr>
            <m:oMathPara>
              <m:oMath>
                <m:sSub>
                  <m:sSubPr>
                    <m:ctrlPr>
                      <w:rPr>
                        <w:rFonts w:ascii="Cambria Math" w:hAnsi="Cambria Math"/>
                        <w:i/>
                      </w:rPr>
                    </m:ctrlPr>
                  </m:sSubPr>
                  <m:e>
                    <m:r>
                      <w:rPr>
                        <w:rFonts w:ascii="Cambria Math" w:hAnsi="Cambria Math"/>
                      </w:rPr>
                      <m:t>N</m:t>
                    </m:r>
                  </m:e>
                  <m:sub>
                    <m:r>
                      <w:rPr>
                        <w:rFonts w:ascii="Cambria Math" w:hAnsi="Cambria Math"/>
                        <w:i/>
                      </w:rPr>
                      <w:sym w:font="Symbol" w:char="F06C"/>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3010</m:t>
                            </m:r>
                          </m:sub>
                        </m:sSub>
                      </m:e>
                    </m:d>
                  </m:e>
                  <m:sup>
                    <m:r>
                      <w:rPr>
                        <w:rFonts w:ascii="Cambria Math" w:hAnsi="Cambria Math"/>
                      </w:rPr>
                      <m:t>b</m:t>
                    </m:r>
                  </m:sup>
                </m:sSup>
                <m:sSub>
                  <m:sSubPr>
                    <m:ctrlPr>
                      <w:rPr>
                        <w:rFonts w:ascii="Cambria Math" w:hAnsi="Cambria Math"/>
                        <w:i/>
                      </w:rPr>
                    </m:ctrlPr>
                  </m:sSubPr>
                  <m:e>
                    <m:r>
                      <w:rPr>
                        <w:rFonts w:ascii="Cambria Math" w:hAnsi="Cambria Math"/>
                      </w:rPr>
                      <m:t>T</m:t>
                    </m:r>
                  </m:e>
                  <m:sub>
                    <m:r>
                      <w:rPr>
                        <w:rFonts w:ascii="Cambria Math" w:hAnsi="Cambria Math"/>
                        <w:i/>
                      </w:rPr>
                      <w:sym w:font="Symbol" w:char="F06C"/>
                    </m:r>
                  </m:sub>
                </m:sSub>
              </m:oMath>
            </m:oMathPara>
          </w:p>
        </w:tc>
        <w:tc>
          <w:tcPr>
            <w:tcW w:w="1371" w:type="dxa"/>
            <w:vAlign w:val="center"/>
          </w:tcPr>
          <w:p w14:paraId="49D548D1" w14:textId="1B8D3566" w:rsidR="00FA2AC4" w:rsidRPr="00AF245A" w:rsidRDefault="000D5AA0" w:rsidP="000D5AA0">
            <w:pPr>
              <w:pStyle w:val="Caption"/>
            </w:pPr>
            <w:r>
              <w:t xml:space="preserve">Equation S </w:t>
            </w:r>
            <w:r w:rsidR="009D7CC4">
              <w:rPr>
                <w:noProof/>
              </w:rPr>
              <w:fldChar w:fldCharType="begin"/>
            </w:r>
            <w:r w:rsidR="009D7CC4">
              <w:rPr>
                <w:noProof/>
              </w:rPr>
              <w:instrText xml:space="preserve"> SEQ Equation_S \* ARABIC </w:instrText>
            </w:r>
            <w:r w:rsidR="009D7CC4">
              <w:rPr>
                <w:noProof/>
              </w:rPr>
              <w:fldChar w:fldCharType="separate"/>
            </w:r>
            <w:r w:rsidR="00715CF2">
              <w:rPr>
                <w:noProof/>
              </w:rPr>
              <w:t>6</w:t>
            </w:r>
            <w:r w:rsidR="009D7CC4">
              <w:rPr>
                <w:noProof/>
              </w:rPr>
              <w:fldChar w:fldCharType="end"/>
            </w:r>
          </w:p>
        </w:tc>
      </w:tr>
    </w:tbl>
    <w:p w14:paraId="1F9EBF2D" w14:textId="316E7E45" w:rsidR="00FA2AC4" w:rsidRDefault="00FA2AC4" w:rsidP="00FA2AC4">
      <w:pPr>
        <w:rPr>
          <w:noProof/>
          <w:lang w:eastAsia="en-GB"/>
        </w:rPr>
      </w:pPr>
      <w:r>
        <w:rPr>
          <w:noProof/>
          <w:lang w:eastAsia="en-GB"/>
        </w:rPr>
        <w:t xml:space="preserve">with </w:t>
      </w:r>
      <w:r>
        <w:rPr>
          <w:i/>
        </w:rPr>
        <w:t>b</w:t>
      </w:r>
      <w:r>
        <w:t xml:space="preserve"> = 1.00676, </w:t>
      </w:r>
      <w:r>
        <w:rPr>
          <w:i/>
          <w:noProof/>
          <w:lang w:eastAsia="en-GB"/>
        </w:rPr>
        <w:t>T</w:t>
      </w:r>
      <w:r>
        <w:rPr>
          <w:noProof/>
          <w:vertAlign w:val="subscript"/>
          <w:lang w:eastAsia="en-GB"/>
        </w:rPr>
        <w:t>405</w:t>
      </w:r>
      <w:r>
        <w:rPr>
          <w:noProof/>
          <w:lang w:eastAsia="en-GB"/>
        </w:rPr>
        <w:t xml:space="preserve"> = 0.93 and </w:t>
      </w:r>
      <w:r>
        <w:rPr>
          <w:i/>
          <w:noProof/>
          <w:lang w:eastAsia="en-GB"/>
        </w:rPr>
        <w:t>T</w:t>
      </w:r>
      <w:r>
        <w:rPr>
          <w:noProof/>
          <w:vertAlign w:val="subscript"/>
          <w:lang w:eastAsia="en-GB"/>
        </w:rPr>
        <w:t>658</w:t>
      </w:r>
      <w:r>
        <w:rPr>
          <w:noProof/>
          <w:lang w:eastAsia="en-GB"/>
        </w:rPr>
        <w:t xml:space="preserve"> = 1.00.</w:t>
      </w:r>
    </w:p>
    <w:p w14:paraId="5F5246F4" w14:textId="13463C69" w:rsidR="00960CF1" w:rsidRDefault="00960CF1">
      <w:pPr>
        <w:spacing w:before="0" w:after="160" w:line="259" w:lineRule="auto"/>
        <w:jc w:val="left"/>
      </w:pPr>
    </w:p>
    <w:p w14:paraId="50D345EC" w14:textId="7101A444" w:rsidR="00EF10EC" w:rsidRPr="00960CF1" w:rsidRDefault="000D5AA0" w:rsidP="000D5AA0">
      <w:pPr>
        <w:pStyle w:val="Heading1"/>
      </w:pPr>
      <w:bookmarkStart w:id="6" w:name="_Toc33176023"/>
      <w:r>
        <w:lastRenderedPageBreak/>
        <w:t>S5</w:t>
      </w:r>
      <w:r w:rsidR="00960CF1">
        <w:t>. Modelling the particle size distribution and fractional contribution to optical cross sections for particles transmitted through a differential mobility analyser</w:t>
      </w:r>
      <w:bookmarkEnd w:id="6"/>
    </w:p>
    <w:p w14:paraId="7278F0AE" w14:textId="77777777" w:rsidR="00EF10EC" w:rsidRDefault="00EF10EC" w:rsidP="00EF10EC">
      <w:pPr>
        <w:keepNext/>
        <w:jc w:val="center"/>
      </w:pPr>
      <w:r>
        <w:rPr>
          <w:noProof/>
          <w:lang w:eastAsia="en-GB"/>
        </w:rPr>
        <w:drawing>
          <wp:inline distT="0" distB="0" distL="0" distR="0" wp14:anchorId="7C25EF34" wp14:editId="56569F5E">
            <wp:extent cx="5400000" cy="48578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4857897"/>
                    </a:xfrm>
                    <a:prstGeom prst="rect">
                      <a:avLst/>
                    </a:prstGeom>
                    <a:noFill/>
                  </pic:spPr>
                </pic:pic>
              </a:graphicData>
            </a:graphic>
          </wp:inline>
        </w:drawing>
      </w:r>
    </w:p>
    <w:p w14:paraId="24B62E96" w14:textId="77777777" w:rsidR="00EF10EC" w:rsidRDefault="00EF10EC" w:rsidP="00EF10EC">
      <w:pPr>
        <w:pStyle w:val="Caption"/>
        <w:rPr>
          <w:rFonts w:eastAsiaTheme="minorEastAsia"/>
          <w:iCs w:val="0"/>
          <w:szCs w:val="20"/>
        </w:rPr>
      </w:pPr>
      <w:bookmarkStart w:id="7" w:name="_Ref8376838"/>
      <w:r>
        <w:t>Figure S</w:t>
      </w:r>
      <w:r>
        <w:rPr>
          <w:noProof/>
        </w:rPr>
        <w:fldChar w:fldCharType="begin"/>
      </w:r>
      <w:r>
        <w:rPr>
          <w:noProof/>
        </w:rPr>
        <w:instrText xml:space="preserve"> SEQ Figure_S \* ARABIC </w:instrText>
      </w:r>
      <w:r>
        <w:rPr>
          <w:noProof/>
        </w:rPr>
        <w:fldChar w:fldCharType="separate"/>
      </w:r>
      <w:r w:rsidR="00715CF2">
        <w:rPr>
          <w:noProof/>
        </w:rPr>
        <w:t>2</w:t>
      </w:r>
      <w:r>
        <w:rPr>
          <w:noProof/>
        </w:rPr>
        <w:fldChar w:fldCharType="end"/>
      </w:r>
      <w:bookmarkEnd w:id="7"/>
      <w:r>
        <w:t xml:space="preserve">. For </w:t>
      </w:r>
      <w:proofErr w:type="spellStart"/>
      <w:r>
        <w:rPr>
          <w:i/>
        </w:rPr>
        <w:t>D</w:t>
      </w:r>
      <w:r>
        <w:rPr>
          <w:i/>
          <w:vertAlign w:val="subscript"/>
        </w:rPr>
        <w:t>select</w:t>
      </w:r>
      <w:proofErr w:type="spellEnd"/>
      <w:r>
        <w:t xml:space="preserve"> = 200 nm, the charge-corrected diffusion-corrected transfer function of the 3081 DMA for a 3.5 L min</w:t>
      </w:r>
      <w:r>
        <w:rPr>
          <w:vertAlign w:val="superscript"/>
        </w:rPr>
        <w:t>-1</w:t>
      </w:r>
      <w:r>
        <w:t xml:space="preserve"> and 0.3 L min</w:t>
      </w:r>
      <w:r>
        <w:rPr>
          <w:vertAlign w:val="superscript"/>
        </w:rPr>
        <w:t>-1</w:t>
      </w:r>
      <w:r>
        <w:t xml:space="preserve"> sheath and aerosol flow, respectively. The transfer function includes up to </w:t>
      </w:r>
      <w:r>
        <w:rPr>
          <w:i/>
        </w:rPr>
        <w:t>q</w:t>
      </w:r>
      <w:r>
        <w:t xml:space="preserve"> = </w:t>
      </w:r>
      <w:proofErr w:type="gramStart"/>
      <w:r>
        <w:t>6</w:t>
      </w:r>
      <w:proofErr w:type="gramEnd"/>
      <w:r>
        <w:t xml:space="preserve"> charges. (b) The modelled size distribution exiting the DMA, calculated from the convolution of the normalised transfer function in (a) with the SMPS-measured size distribution entering the DMA. (c) and (e) show the single particle Mie </w:t>
      </w:r>
      <w:r>
        <w:rPr>
          <w:i/>
        </w:rPr>
        <w:sym w:font="Symbol" w:char="F073"/>
      </w:r>
      <w:proofErr w:type="spellStart"/>
      <w:r w:rsidRPr="001E44EB">
        <w:rPr>
          <w:vertAlign w:val="subscript"/>
        </w:rPr>
        <w:t>ext</w:t>
      </w:r>
      <w:proofErr w:type="spellEnd"/>
      <w:r>
        <w:t xml:space="preserve"> variation with particle diameters at optical wavelengths of 405 and 658 nm, respectively, using the complex RI for AS (</w:t>
      </w:r>
      <w:r>
        <w:rPr>
          <w:i/>
        </w:rPr>
        <w:t>n</w:t>
      </w:r>
      <w:r>
        <w:rPr>
          <w:vertAlign w:val="subscript"/>
        </w:rPr>
        <w:t>405</w:t>
      </w:r>
      <w:r>
        <w:t xml:space="preserve"> = 1.54, </w:t>
      </w:r>
      <w:r>
        <w:rPr>
          <w:i/>
        </w:rPr>
        <w:t>n</w:t>
      </w:r>
      <w:r>
        <w:rPr>
          <w:vertAlign w:val="subscript"/>
        </w:rPr>
        <w:t>658</w:t>
      </w:r>
      <w:r>
        <w:t xml:space="preserve"> = 1.525, </w:t>
      </w:r>
      <w:r>
        <w:rPr>
          <w:i/>
        </w:rPr>
        <w:t>k</w:t>
      </w:r>
      <w:r>
        <w:t xml:space="preserve"> = 0). (d) </w:t>
      </w:r>
      <w:proofErr w:type="gramStart"/>
      <w:r>
        <w:t>and</w:t>
      </w:r>
      <w:proofErr w:type="gramEnd"/>
      <w:r>
        <w:t xml:space="preserve"> (f) show the fractional contribution to the ensemble-mean </w:t>
      </w:r>
      <w:r>
        <w:rPr>
          <w:i/>
        </w:rPr>
        <w:sym w:font="Symbol" w:char="F073"/>
      </w:r>
      <w:proofErr w:type="spellStart"/>
      <w:r>
        <w:rPr>
          <w:vertAlign w:val="subscript"/>
        </w:rPr>
        <w:t>ext</w:t>
      </w:r>
      <w:proofErr w:type="spellEnd"/>
      <w:r>
        <w:rPr>
          <w:vertAlign w:val="subscript"/>
        </w:rPr>
        <w:t xml:space="preserve"> </w:t>
      </w:r>
      <w:r>
        <w:rPr>
          <w:rFonts w:eastAsiaTheme="minorEastAsia"/>
          <w:iCs w:val="0"/>
          <w:szCs w:val="20"/>
        </w:rPr>
        <w:t>from each diameter in the particle size distribution exiting the DMA for wavelengths 405 and 658 nm, respectively.</w:t>
      </w:r>
    </w:p>
    <w:p w14:paraId="7D92C459" w14:textId="6AFCFA12" w:rsidR="00960CF1" w:rsidRDefault="00960CF1">
      <w:pPr>
        <w:spacing w:before="0" w:after="160" w:line="259" w:lineRule="auto"/>
        <w:jc w:val="left"/>
        <w:rPr>
          <w:noProof/>
          <w:lang w:eastAsia="en-GB"/>
        </w:rPr>
      </w:pPr>
      <w:r>
        <w:rPr>
          <w:noProof/>
          <w:lang w:eastAsia="en-GB"/>
        </w:rPr>
        <w:br w:type="page"/>
      </w:r>
    </w:p>
    <w:p w14:paraId="4FCF6062" w14:textId="2F67920C" w:rsidR="00960CF1" w:rsidRDefault="000D5AA0" w:rsidP="000D5AA0">
      <w:pPr>
        <w:pStyle w:val="Heading1"/>
        <w:rPr>
          <w:noProof/>
          <w:lang w:eastAsia="en-GB"/>
        </w:rPr>
      </w:pPr>
      <w:bookmarkStart w:id="8" w:name="_Toc33176024"/>
      <w:r>
        <w:lastRenderedPageBreak/>
        <w:t>S6</w:t>
      </w:r>
      <w:r w:rsidR="00960CF1" w:rsidRPr="00626BD6">
        <w:t xml:space="preserve">. </w:t>
      </w:r>
      <w:r w:rsidR="00960CF1">
        <w:t>Optimising the charge distribution for a soft x-ray neutraliser</w:t>
      </w:r>
      <w:bookmarkEnd w:id="8"/>
    </w:p>
    <w:p w14:paraId="02FAE085" w14:textId="05F8B4F5" w:rsidR="00960CF1" w:rsidRDefault="00960CF1" w:rsidP="00960CF1">
      <w:r>
        <w:t xml:space="preserve">For a soft x-ray neutraliser, </w:t>
      </w:r>
      <w:proofErr w:type="spellStart"/>
      <w:r>
        <w:t>Tigges</w:t>
      </w:r>
      <w:proofErr w:type="spellEnd"/>
      <w:r>
        <w:t xml:space="preserve"> </w:t>
      </w:r>
      <w:r w:rsidRPr="00B72E54">
        <w:rPr>
          <w:i/>
        </w:rPr>
        <w:t>et al</w:t>
      </w:r>
      <w:r>
        <w:t xml:space="preserve">. recommend using </w:t>
      </w:r>
      <w:r w:rsidRPr="00B72E54">
        <w:rPr>
          <w:i/>
        </w:rPr>
        <w:t>Z</w:t>
      </w:r>
      <w:r w:rsidRPr="00B72E54">
        <w:rPr>
          <w:vertAlign w:val="subscript"/>
        </w:rPr>
        <w:t>+</w:t>
      </w:r>
      <w:r>
        <w:t>/</w:t>
      </w:r>
      <w:r w:rsidRPr="00B72E54">
        <w:rPr>
          <w:i/>
        </w:rPr>
        <w:t>Z</w:t>
      </w:r>
      <w:r w:rsidRPr="00B72E54">
        <w:rPr>
          <w:vertAlign w:val="subscript"/>
        </w:rPr>
        <w:t>-</w:t>
      </w:r>
      <w:r>
        <w:t xml:space="preserve"> = 0.957 and </w:t>
      </w:r>
      <w:r>
        <w:rPr>
          <w:i/>
        </w:rPr>
        <w:t>c</w:t>
      </w:r>
      <w:r>
        <w:rPr>
          <w:vertAlign w:val="subscript"/>
        </w:rPr>
        <w:t>+</w:t>
      </w:r>
      <w:r>
        <w:t>/</w:t>
      </w:r>
      <w:r>
        <w:rPr>
          <w:i/>
        </w:rPr>
        <w:t>c</w:t>
      </w:r>
      <w:r>
        <w:rPr>
          <w:vertAlign w:val="subscript"/>
        </w:rPr>
        <w:t>-</w:t>
      </w:r>
      <w:r>
        <w:t xml:space="preserve"> = 1.0</w:t>
      </w:r>
      <w:r w:rsidR="00B36CDA">
        <w:t xml:space="preserve"> in the Gunn formula</w:t>
      </w:r>
      <w:r>
        <w:t xml:space="preserve">, i.e. </w:t>
      </w:r>
      <w:proofErr w:type="spellStart"/>
      <w:r>
        <w:rPr>
          <w:i/>
        </w:rPr>
        <w:t>c</w:t>
      </w:r>
      <w:r>
        <w:rPr>
          <w:vertAlign w:val="subscript"/>
        </w:rPr>
        <w:t>+</w:t>
      </w:r>
      <w:r>
        <w:rPr>
          <w:i/>
        </w:rPr>
        <w:t>Z</w:t>
      </w:r>
      <w:proofErr w:type="spellEnd"/>
      <w:r>
        <w:rPr>
          <w:vertAlign w:val="subscript"/>
        </w:rPr>
        <w:t>+</w:t>
      </w:r>
      <w:r>
        <w:t>/</w:t>
      </w:r>
      <w:r>
        <w:rPr>
          <w:i/>
        </w:rPr>
        <w:t>c</w:t>
      </w:r>
      <w:r>
        <w:rPr>
          <w:vertAlign w:val="subscript"/>
        </w:rPr>
        <w:noBreakHyphen/>
      </w:r>
      <w:r>
        <w:rPr>
          <w:i/>
        </w:rPr>
        <w:t>Z</w:t>
      </w:r>
      <w:r>
        <w:rPr>
          <w:vertAlign w:val="subscript"/>
        </w:rPr>
        <w:t>-</w:t>
      </w:r>
      <w:r>
        <w:t xml:space="preserve"> = 0.957. Figure S3(a) shows the </w:t>
      </w:r>
      <w:proofErr w:type="spellStart"/>
      <w:r>
        <w:t>Tigges</w:t>
      </w:r>
      <w:proofErr w:type="spellEnd"/>
      <w:r>
        <w:t xml:space="preserve"> parameterisations for </w:t>
      </w:r>
      <w:r w:rsidRPr="00B72E54">
        <w:rPr>
          <w:i/>
        </w:rPr>
        <w:t>q/e</w:t>
      </w:r>
      <w:r>
        <w:t xml:space="preserve"> = 0, </w:t>
      </w:r>
      <w:r>
        <w:sym w:font="Symbol" w:char="F0B1"/>
      </w:r>
      <w:r>
        <w:t xml:space="preserve">1, </w:t>
      </w:r>
      <w:r>
        <w:sym w:font="Symbol" w:char="F0B1"/>
      </w:r>
      <w:r>
        <w:t xml:space="preserve">2 and Gunn formula predictions using </w:t>
      </w:r>
      <w:r w:rsidRPr="00B72E54">
        <w:rPr>
          <w:i/>
        </w:rPr>
        <w:t>c</w:t>
      </w:r>
      <w:r w:rsidRPr="00B72E54">
        <w:rPr>
          <w:vertAlign w:val="subscript"/>
        </w:rPr>
        <w:t>+</w:t>
      </w:r>
      <w:r>
        <w:t>/</w:t>
      </w:r>
      <w:r w:rsidRPr="00B72E54">
        <w:rPr>
          <w:i/>
        </w:rPr>
        <w:t>c</w:t>
      </w:r>
      <w:r w:rsidRPr="00B72E54">
        <w:rPr>
          <w:vertAlign w:val="subscript"/>
        </w:rPr>
        <w:t>-</w:t>
      </w:r>
      <w:r>
        <w:t xml:space="preserve"> = 1.0, </w:t>
      </w:r>
      <w:r w:rsidRPr="00B72E54">
        <w:rPr>
          <w:i/>
        </w:rPr>
        <w:t>Z</w:t>
      </w:r>
      <w:r w:rsidRPr="00B72E54">
        <w:rPr>
          <w:vertAlign w:val="subscript"/>
        </w:rPr>
        <w:t>+</w:t>
      </w:r>
      <w:r>
        <w:t>/</w:t>
      </w:r>
      <w:r w:rsidRPr="00B72E54">
        <w:rPr>
          <w:i/>
        </w:rPr>
        <w:t>Z</w:t>
      </w:r>
      <w:r w:rsidRPr="00B72E54">
        <w:rPr>
          <w:vertAlign w:val="subscript"/>
        </w:rPr>
        <w:t>-</w:t>
      </w:r>
      <w:r>
        <w:t xml:space="preserve"> = 0.957 (as recommended by </w:t>
      </w:r>
      <w:proofErr w:type="spellStart"/>
      <w:r>
        <w:t>Tigges</w:t>
      </w:r>
      <w:proofErr w:type="spellEnd"/>
      <w:r>
        <w:t xml:space="preserve"> </w:t>
      </w:r>
      <w:r w:rsidRPr="00B72E54">
        <w:rPr>
          <w:i/>
        </w:rPr>
        <w:t>et al</w:t>
      </w:r>
      <w:r>
        <w:t>.</w:t>
      </w:r>
      <w:r>
        <w:fldChar w:fldCharType="begin" w:fldLock="1"/>
      </w:r>
      <w:r w:rsidR="000D5AA0">
        <w:instrText>ADDIN CSL_CITATION {"citationItems":[{"id":"ITEM-1","itemData":{"DOI":"10.1016/j.jaerosci.2015.07.002","ISBN":"0021-8502","ISSN":"18791964","abstract":"The conditioning of the aerosol particle population into a bipolar charge equilibrium is an essential prerequisite to calculate the particle number size distribution using mobility particle size spectrometers. This is commonly realized by diffusion charging of bipolar air ions generated by e.g. a85Kr source. Because of strict legal regulations on radioactive sources in several countries, soft-X-ray (SXR) appears as a suitable alternative. However, multiple measurements showed a systematical and significant difference between the particle charge distribution delivered by a radioactive source and an SXR charger, respectively. In this investigation, a calibrated particle charge distribution, suitable for the SXR chargers, was calculated based on the Fuchs model. An approximation analogous to the commonly used Wiedensohler approximation formula (Wiedensohler, 1988) was computed. The use of the new SXR approximation of the bipolar charge equilibrium for the inversion of an electrical mobility distribution to a particle number size distribution improves the comparability of these results, compared to measurements involving a85Kr charger or to bipolar chargers using radioactive material in general. A systematic error in case of using the SXR charger could be eliminated and hence the root mean square deviation could be reduced from 13% using the common parameters for both charger types to 7% using the new SXR approximation for the SXR bipolar charger.","author":[{"dropping-particle":"","family":"Tigges","given":"L.","non-dropping-particle":"","parse-names":false,"suffix":""},{"dropping-particle":"","family":"Wiedensohler","given":"A.","non-dropping-particle":"","parse-names":false,"suffix":""},{"dropping-particle":"","family":"Weinhold","given":"K.","non-dropping-particle":"","parse-names":false,"suffix":""},{"dropping-particle":"","family":"Gandhi","given":"J.","non-dropping-particle":"","parse-names":false,"suffix":""},{"dropping-particle":"","family":"Schmid","given":"H. J.","non-dropping-particle":"","parse-names":false,"suffix":""}],"container-title":"Journal of Aerosol Science","id":"ITEM-1","issued":{"date-parts":[["2015"]]},"page":"77-86","publisher":"Elsevier","title":"Bipolar charge distribution of a soft X-ray diffusion charger","type":"article-journal","volume":"90"},"uris":["http://www.mendeley.com/documents/?uuid=e2ffc00e-32c5-4ec1-be46-689a23326193"]}],"mendeley":{"formattedCitation":"&lt;sup&gt;11&lt;/sup&gt;","plainTextFormattedCitation":"11","previouslyFormattedCitation":"&lt;sup&gt;11&lt;/sup&gt;"},"properties":{"noteIndex":0},"schema":"https://github.com/citation-style-language/schema/raw/master/csl-citation.json"}</w:instrText>
      </w:r>
      <w:r>
        <w:fldChar w:fldCharType="separate"/>
      </w:r>
      <w:r w:rsidR="000D5AA0" w:rsidRPr="000D5AA0">
        <w:rPr>
          <w:noProof/>
          <w:vertAlign w:val="superscript"/>
        </w:rPr>
        <w:t>11</w:t>
      </w:r>
      <w:r>
        <w:fldChar w:fldCharType="end"/>
      </w:r>
      <w:r>
        <w:t xml:space="preserve">) </w:t>
      </w:r>
      <w:proofErr w:type="gramStart"/>
      <w:r>
        <w:t>for</w:t>
      </w:r>
      <w:proofErr w:type="gramEnd"/>
      <w:r>
        <w:t xml:space="preserve"> </w:t>
      </w:r>
      <w:r w:rsidRPr="00B72E54">
        <w:rPr>
          <w:i/>
        </w:rPr>
        <w:t>q/e</w:t>
      </w:r>
      <w:r>
        <w:t xml:space="preserve"> in the range 0 – 6. The Gunn formula calculations using </w:t>
      </w:r>
      <w:r w:rsidRPr="00B72E54">
        <w:rPr>
          <w:i/>
        </w:rPr>
        <w:t>q/e</w:t>
      </w:r>
      <w:r>
        <w:t xml:space="preserve"> = </w:t>
      </w:r>
      <w:proofErr w:type="gramStart"/>
      <w:r>
        <w:t>0</w:t>
      </w:r>
      <w:proofErr w:type="gramEnd"/>
      <w:r>
        <w:t xml:space="preserve">, </w:t>
      </w:r>
      <w:r>
        <w:sym w:font="Symbol" w:char="F0B1"/>
      </w:r>
      <w:r>
        <w:t xml:space="preserve">1, </w:t>
      </w:r>
      <w:r>
        <w:sym w:font="Symbol" w:char="F0B1"/>
      </w:r>
      <w:r>
        <w:t xml:space="preserve">2 describe the </w:t>
      </w:r>
      <w:proofErr w:type="spellStart"/>
      <w:r>
        <w:t>Tigges</w:t>
      </w:r>
      <w:proofErr w:type="spellEnd"/>
      <w:r>
        <w:t xml:space="preserve"> parametrisations accurately over the particle diameter range of interest (100 – 1000 nm).</w:t>
      </w:r>
      <w:r w:rsidRPr="00B72E54">
        <w:t xml:space="preserve"> </w:t>
      </w:r>
      <w:r>
        <w:t>Thus, we can use the Gunn formula directly to describe the entire aerosol charge distribution in the diameter range 100 – 1000 nm; the parameterisations of the Fuchs charging model by Wiedensohler</w:t>
      </w:r>
      <w:r>
        <w:fldChar w:fldCharType="begin" w:fldLock="1"/>
      </w:r>
      <w:r w:rsidR="000D5AA0">
        <w:instrText>ADDIN CSL_CITATION {"citationItems":[{"id":"ITEM-1","itemData":{"DOI":"10.1016/0021-8502(88)90278-9","ISBN":"0021-8502","ISSN":"00218502","abstract":"In recent years there has been an increased number of investigations to determine particle size distributions for the submicron regime. These distributions are frequently obtained using a differential mobility analyser (DMA). Raw data from the DMA can be converted into a size distribution if the bipolar charge distribution for the aerosol is known. Hence the size distribution will be representative only if the bipolar charge distribution is accurately described. Bipolar charge distributions measured by Hussin et al. (1983), Adachi et al. (1985) and Wiedensohler et al. (1986) for particles in air at room temperature support the diffusion charging theories proposed by Fuchs (1963) and Gunn (1956). Fuchs (1963) developed a model to describe the bipolar charging of submicron particles; the charging theory proposed by Gunn (1956) is only valid for particles with diameters greater than approx. 50 nm. An analytical solution is obtainable for the Gunn theory, while the Fuchs model must be solved numerically. To permit a rapid calculation of the bipolar charge distribution in the size range 1-1000 nm, an empirical expression is presented to approximate the distribution calculated from the Fuchs model.","author":[{"dropping-particle":"","family":"Wiedensohler","given":"A.","non-dropping-particle":"","parse-names":false,"suffix":""}],"container-title":"Journal of Aerosol Science","id":"ITEM-1","issue":"3","issued":{"date-parts":[["1988"]]},"page":"387-389","title":"An approximation of the bipolar charge distribution for particles in the submicron size range","type":"article-journal","volume":"19"},"uris":["http://www.mendeley.com/documents/?uuid=8600bbc7-d73f-4315-ae57-c64ec5b56d46"]}],"mendeley":{"formattedCitation":"&lt;sup&gt;12&lt;/sup&gt;","plainTextFormattedCitation":"12","previouslyFormattedCitation":"&lt;sup&gt;12&lt;/sup&gt;"},"properties":{"noteIndex":0},"schema":"https://github.com/citation-style-language/schema/raw/master/csl-citation.json"}</w:instrText>
      </w:r>
      <w:r>
        <w:fldChar w:fldCharType="separate"/>
      </w:r>
      <w:r w:rsidR="000D5AA0" w:rsidRPr="000D5AA0">
        <w:rPr>
          <w:noProof/>
          <w:vertAlign w:val="superscript"/>
        </w:rPr>
        <w:t>12</w:t>
      </w:r>
      <w:r>
        <w:fldChar w:fldCharType="end"/>
      </w:r>
      <w:r>
        <w:t xml:space="preserve"> or </w:t>
      </w:r>
      <w:proofErr w:type="spellStart"/>
      <w:r>
        <w:t>Tigges</w:t>
      </w:r>
      <w:proofErr w:type="spellEnd"/>
      <w:r>
        <w:t xml:space="preserve"> </w:t>
      </w:r>
      <w:r>
        <w:rPr>
          <w:i/>
        </w:rPr>
        <w:t>et al</w:t>
      </w:r>
      <w:r>
        <w:t>.</w:t>
      </w:r>
      <w:r>
        <w:fldChar w:fldCharType="begin" w:fldLock="1"/>
      </w:r>
      <w:r w:rsidR="000D5AA0">
        <w:instrText>ADDIN CSL_CITATION {"citationItems":[{"id":"ITEM-1","itemData":{"DOI":"10.1016/j.jaerosci.2015.07.002","ISBN":"0021-8502","ISSN":"18791964","abstract":"The conditioning of the aerosol particle population into a bipolar charge equilibrium is an essential prerequisite to calculate the particle number size distribution using mobility particle size spectrometers. This is commonly realized by diffusion charging of bipolar air ions generated by e.g. a85Kr source. Because of strict legal regulations on radioactive sources in several countries, soft-X-ray (SXR) appears as a suitable alternative. However, multiple measurements showed a systematical and significant difference between the particle charge distribution delivered by a radioactive source and an SXR charger, respectively. In this investigation, a calibrated particle charge distribution, suitable for the SXR chargers, was calculated based on the Fuchs model. An approximation analogous to the commonly used Wiedensohler approximation formula (Wiedensohler, 1988) was computed. The use of the new SXR approximation of the bipolar charge equilibrium for the inversion of an electrical mobility distribution to a particle number size distribution improves the comparability of these results, compared to measurements involving a85Kr charger or to bipolar chargers using radioactive material in general. A systematic error in case of using the SXR charger could be eliminated and hence the root mean square deviation could be reduced from 13% using the common parameters for both charger types to 7% using the new SXR approximation for the SXR bipolar charger.","author":[{"dropping-particle":"","family":"Tigges","given":"L.","non-dropping-particle":"","parse-names":false,"suffix":""},{"dropping-particle":"","family":"Wiedensohler","given":"A.","non-dropping-particle":"","parse-names":false,"suffix":""},{"dropping-particle":"","family":"Weinhold","given":"K.","non-dropping-particle":"","parse-names":false,"suffix":""},{"dropping-particle":"","family":"Gandhi","given":"J.","non-dropping-particle":"","parse-names":false,"suffix":""},{"dropping-particle":"","family":"Schmid","given":"H. J.","non-dropping-particle":"","parse-names":false,"suffix":""}],"container-title":"Journal of Aerosol Science","id":"ITEM-1","issued":{"date-parts":[["2015"]]},"page":"77-86","publisher":"Elsevier","title":"Bipolar charge distribution of a soft X-ray diffusion charger","type":"article-journal","volume":"90"},"uris":["http://www.mendeley.com/documents/?uuid=e2ffc00e-32c5-4ec1-be46-689a23326193"]}],"mendeley":{"formattedCitation":"&lt;sup&gt;11&lt;/sup&gt;","plainTextFormattedCitation":"11","previouslyFormattedCitation":"&lt;sup&gt;11&lt;/sup&gt;"},"properties":{"noteIndex":0},"schema":"https://github.com/citation-style-language/schema/raw/master/csl-citation.json"}</w:instrText>
      </w:r>
      <w:r>
        <w:fldChar w:fldCharType="separate"/>
      </w:r>
      <w:r w:rsidR="000D5AA0" w:rsidRPr="000D5AA0">
        <w:rPr>
          <w:noProof/>
          <w:vertAlign w:val="superscript"/>
        </w:rPr>
        <w:t>11</w:t>
      </w:r>
      <w:r>
        <w:fldChar w:fldCharType="end"/>
      </w:r>
      <w:r>
        <w:t xml:space="preserve"> would be needed only if we were to extend measurements to particle diameters less than ~50 nm (i.e. diameters at which the Gunn formula breaks down).</w:t>
      </w:r>
    </w:p>
    <w:p w14:paraId="19165F9F" w14:textId="3BDB1A8B" w:rsidR="001871B9" w:rsidRDefault="00002909" w:rsidP="001871B9">
      <w:pPr>
        <w:keepNext/>
        <w:jc w:val="center"/>
      </w:pPr>
      <w:r>
        <w:rPr>
          <w:noProof/>
          <w:lang w:eastAsia="en-GB"/>
        </w:rPr>
        <w:drawing>
          <wp:inline distT="0" distB="0" distL="0" distR="0" wp14:anchorId="707927B2" wp14:editId="129A1317">
            <wp:extent cx="3602990" cy="40297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4029710"/>
                    </a:xfrm>
                    <a:prstGeom prst="rect">
                      <a:avLst/>
                    </a:prstGeom>
                    <a:noFill/>
                  </pic:spPr>
                </pic:pic>
              </a:graphicData>
            </a:graphic>
          </wp:inline>
        </w:drawing>
      </w:r>
    </w:p>
    <w:p w14:paraId="0A5F054C" w14:textId="3C8E8403" w:rsidR="001871B9" w:rsidRDefault="005F0E1A" w:rsidP="001871B9">
      <w:pPr>
        <w:pStyle w:val="Caption"/>
      </w:pPr>
      <w:bookmarkStart w:id="9" w:name="_Ref536707832"/>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3</w:t>
      </w:r>
      <w:r w:rsidR="00D9155D">
        <w:rPr>
          <w:noProof/>
        </w:rPr>
        <w:fldChar w:fldCharType="end"/>
      </w:r>
      <w:bookmarkEnd w:id="9"/>
      <w:r w:rsidR="001871B9">
        <w:t xml:space="preserve">: (a) </w:t>
      </w:r>
      <w:proofErr w:type="gramStart"/>
      <w:r w:rsidR="001871B9">
        <w:t>The</w:t>
      </w:r>
      <w:proofErr w:type="gramEnd"/>
      <w:r w:rsidR="001871B9">
        <w:t xml:space="preserve"> aerosol charge di</w:t>
      </w:r>
      <w:r w:rsidR="00564018">
        <w:t>stribution for a soft</w:t>
      </w:r>
      <w:r w:rsidR="001871B9">
        <w:t xml:space="preserve"> x-ray neutraliser as recommended by </w:t>
      </w:r>
      <w:proofErr w:type="spellStart"/>
      <w:r w:rsidR="001871B9">
        <w:t>Tigges</w:t>
      </w:r>
      <w:proofErr w:type="spellEnd"/>
      <w:r w:rsidR="001871B9">
        <w:t xml:space="preserve"> </w:t>
      </w:r>
      <w:r w:rsidR="001871B9">
        <w:rPr>
          <w:i/>
        </w:rPr>
        <w:t>et al</w:t>
      </w:r>
      <w:r w:rsidR="001871B9">
        <w:t xml:space="preserve">., using the </w:t>
      </w:r>
      <w:proofErr w:type="spellStart"/>
      <w:r w:rsidR="001871B9">
        <w:t>Tigges</w:t>
      </w:r>
      <w:proofErr w:type="spellEnd"/>
      <w:r w:rsidR="001871B9">
        <w:t xml:space="preserve"> parameterisation to describe </w:t>
      </w:r>
      <w:r w:rsidR="001871B9">
        <w:rPr>
          <w:i/>
        </w:rPr>
        <w:t>q/e</w:t>
      </w:r>
      <w:r w:rsidR="001871B9">
        <w:t xml:space="preserve"> = 0, </w:t>
      </w:r>
      <w:r w:rsidR="001871B9">
        <w:sym w:font="Symbol" w:char="F0B1"/>
      </w:r>
      <w:r w:rsidR="001871B9">
        <w:t xml:space="preserve">1, </w:t>
      </w:r>
      <w:r w:rsidR="001871B9">
        <w:sym w:font="Symbol" w:char="F0B1"/>
      </w:r>
      <w:r w:rsidR="001871B9">
        <w:t xml:space="preserve">2 charge states and the Gunn formula with </w:t>
      </w:r>
      <w:r w:rsidR="001871B9">
        <w:rPr>
          <w:i/>
        </w:rPr>
        <w:t>c</w:t>
      </w:r>
      <w:r w:rsidR="001871B9">
        <w:rPr>
          <w:vertAlign w:val="subscript"/>
        </w:rPr>
        <w:t>+</w:t>
      </w:r>
      <w:r w:rsidR="001871B9">
        <w:t>/</w:t>
      </w:r>
      <w:r w:rsidR="001871B9">
        <w:rPr>
          <w:i/>
        </w:rPr>
        <w:t>c</w:t>
      </w:r>
      <w:r w:rsidR="001871B9">
        <w:rPr>
          <w:vertAlign w:val="subscript"/>
        </w:rPr>
        <w:t>-</w:t>
      </w:r>
      <w:r w:rsidR="001871B9">
        <w:t xml:space="preserve"> = 1.0 and </w:t>
      </w:r>
      <w:r w:rsidR="001871B9">
        <w:rPr>
          <w:i/>
        </w:rPr>
        <w:t>Z</w:t>
      </w:r>
      <w:r w:rsidR="001871B9">
        <w:rPr>
          <w:vertAlign w:val="subscript"/>
        </w:rPr>
        <w:t>+</w:t>
      </w:r>
      <w:r w:rsidR="001871B9">
        <w:t>/</w:t>
      </w:r>
      <w:r w:rsidR="001871B9">
        <w:rPr>
          <w:i/>
        </w:rPr>
        <w:t>Z</w:t>
      </w:r>
      <w:r w:rsidR="001871B9">
        <w:rPr>
          <w:vertAlign w:val="subscript"/>
        </w:rPr>
        <w:t>-</w:t>
      </w:r>
      <w:r w:rsidR="001871B9">
        <w:t xml:space="preserve"> = 0.957 for higher charge states. The plot also shows the Gunn formula prediction for </w:t>
      </w:r>
      <w:r w:rsidR="001871B9">
        <w:rPr>
          <w:i/>
        </w:rPr>
        <w:t>q/e</w:t>
      </w:r>
      <w:r w:rsidR="001871B9">
        <w:t xml:space="preserve"> = </w:t>
      </w:r>
      <w:proofErr w:type="gramStart"/>
      <w:r w:rsidR="001871B9">
        <w:t>0</w:t>
      </w:r>
      <w:proofErr w:type="gramEnd"/>
      <w:r w:rsidR="001871B9">
        <w:t xml:space="preserve">, </w:t>
      </w:r>
      <w:r w:rsidR="001871B9">
        <w:sym w:font="Symbol" w:char="F0B1"/>
      </w:r>
      <w:r w:rsidR="001871B9">
        <w:t xml:space="preserve">1, </w:t>
      </w:r>
      <w:r w:rsidR="001871B9">
        <w:sym w:font="Symbol" w:char="F0B1"/>
      </w:r>
      <w:r w:rsidR="001871B9">
        <w:t xml:space="preserve">2 for comparison. (b) The optimal aerosol charge distribution to achieve best agreement between measured and modelled </w:t>
      </w:r>
      <w:r w:rsidR="001871B9" w:rsidRPr="002237A9">
        <w:rPr>
          <w:i/>
        </w:rPr>
        <w:sym w:font="Symbol" w:char="F073"/>
      </w:r>
      <w:proofErr w:type="spellStart"/>
      <w:r w:rsidR="001871B9" w:rsidRPr="00564018">
        <w:rPr>
          <w:vertAlign w:val="subscript"/>
        </w:rPr>
        <w:t>ext</w:t>
      </w:r>
      <w:proofErr w:type="spellEnd"/>
      <w:r w:rsidR="001871B9">
        <w:t xml:space="preserve"> at the 405 nm spectroscopy wavelength, using the Gunn formula with </w:t>
      </w:r>
      <w:proofErr w:type="spellStart"/>
      <w:r w:rsidR="001871B9">
        <w:rPr>
          <w:i/>
        </w:rPr>
        <w:t>c</w:t>
      </w:r>
      <w:r w:rsidR="001871B9">
        <w:rPr>
          <w:vertAlign w:val="subscript"/>
        </w:rPr>
        <w:t>+</w:t>
      </w:r>
      <w:r w:rsidR="001871B9">
        <w:rPr>
          <w:i/>
        </w:rPr>
        <w:t>Z</w:t>
      </w:r>
      <w:proofErr w:type="spellEnd"/>
      <w:r w:rsidR="001871B9">
        <w:rPr>
          <w:vertAlign w:val="subscript"/>
        </w:rPr>
        <w:t>+</w:t>
      </w:r>
      <w:r w:rsidR="001871B9">
        <w:t>/</w:t>
      </w:r>
      <w:r w:rsidR="001871B9">
        <w:rPr>
          <w:i/>
        </w:rPr>
        <w:t>c</w:t>
      </w:r>
      <w:r w:rsidR="001871B9">
        <w:rPr>
          <w:vertAlign w:val="subscript"/>
        </w:rPr>
        <w:noBreakHyphen/>
      </w:r>
      <w:r w:rsidR="001871B9">
        <w:rPr>
          <w:i/>
        </w:rPr>
        <w:t>Z</w:t>
      </w:r>
      <w:r w:rsidR="001871B9">
        <w:rPr>
          <w:vertAlign w:val="subscript"/>
        </w:rPr>
        <w:t>-</w:t>
      </w:r>
      <w:r w:rsidR="001871B9">
        <w:t xml:space="preserve"> = 0.</w:t>
      </w:r>
      <w:r w:rsidR="00002909">
        <w:t>80</w:t>
      </w:r>
      <w:r w:rsidR="001871B9">
        <w:t>.</w:t>
      </w:r>
    </w:p>
    <w:p w14:paraId="66830AC1" w14:textId="6A87CE7C" w:rsidR="00B36CDA" w:rsidRPr="00C35152" w:rsidRDefault="00B36CDA" w:rsidP="00B36CDA">
      <w:r>
        <w:t xml:space="preserve">The </w:t>
      </w:r>
      <w:r w:rsidRPr="00B72E54">
        <w:rPr>
          <w:i/>
        </w:rPr>
        <w:t>Z</w:t>
      </w:r>
      <w:r w:rsidRPr="00B72E54">
        <w:rPr>
          <w:vertAlign w:val="subscript"/>
        </w:rPr>
        <w:t>+</w:t>
      </w:r>
      <w:r>
        <w:t>/</w:t>
      </w:r>
      <w:r w:rsidRPr="00B72E54">
        <w:rPr>
          <w:i/>
        </w:rPr>
        <w:t>Z</w:t>
      </w:r>
      <w:r w:rsidRPr="00B72E54">
        <w:rPr>
          <w:vertAlign w:val="subscript"/>
        </w:rPr>
        <w:t>-</w:t>
      </w:r>
      <w:r>
        <w:t xml:space="preserve"> = 0.957 value recommended by </w:t>
      </w:r>
      <w:proofErr w:type="spellStart"/>
      <w:r>
        <w:t>Tigges</w:t>
      </w:r>
      <w:proofErr w:type="spellEnd"/>
      <w:r>
        <w:t xml:space="preserve"> </w:t>
      </w:r>
      <w:r>
        <w:rPr>
          <w:i/>
        </w:rPr>
        <w:t>et al</w:t>
      </w:r>
      <w:r>
        <w:t>. is significantly higher than values used to describe other chargers. A comprehensive review</w:t>
      </w:r>
      <w:r>
        <w:fldChar w:fldCharType="begin" w:fldLock="1"/>
      </w:r>
      <w:r w:rsidR="000D5AA0">
        <w:instrText>ADDIN CSL_CITATION {"citationItems":[{"id":"ITEM-1","itemData":{"DOI":"10.1016/j.jaerosci.2015.05.010","ISSN":"18791964","abstract":"An essential part of mobility particle size spectroscopy is the prediction of the aerosol charge distribution in a highly concentrated bipolar ion environment. This charge distribution can be readily calculated, but is depending on several environmental conditions. These influences are investigated theoretically.The first part of this work deals with a sensitivity analysis using the Fuchs model (Fuchs, 1963) to determine the variation of the resulting charge distributions depending on the input parameters. It is demonstrated, that the main influencing variable is the difference between the positive and negative ion mobility. A sensitivity analysis reveals that a reasonable variation of the ion mobilities may lead to variations of the particle density distribution up to±20%.The second part investigates the evolution of the charge distribution along the tubing downstream of the bipolar charger exit starting with equal ion concentrations for positive and negative ions. Due to wall losses depending on ion mobility a non-equilibrium charge distribution is developing along the plumbing. The evolution of the particle charge distribution is determined using a coupled population balance model. Even though the non-equilibrium character is clearly shown, it turns out that this effect is negligible at conditions typical for particle size measurements.","author":[{"dropping-particle":"","family":"Tigges","given":"L.","non-dropping-particle":"","parse-names":false,"suffix":""},{"dropping-particle":"","family":"Jain","given":"A.","non-dropping-particle":"","parse-names":false,"suffix":""},{"dropping-particle":"","family":"Schmid","given":"H. J.","non-dropping-particle":"","parse-names":false,"suffix":""}],"container-title":"Journal of Aerosol Science","id":"ITEM-1","issued":{"date-parts":[["2015"]]},"page":"119-134","publisher":"Elsevier","title":"On the bipolar charge distribution used for mobility particle sizing: Theoretical considerations","type":"article-journal","volume":"88"},"uris":["http://www.mendeley.com/documents/?uuid=874dde9a-4255-4e9b-b39a-0b84d2483979"]}],"mendeley":{"formattedCitation":"&lt;sup&gt;13&lt;/sup&gt;","plainTextFormattedCitation":"13","previouslyFormattedCitation":"&lt;sup&gt;13&lt;/sup&gt;"},"properties":{"noteIndex":0},"schema":"https://github.com/citation-style-language/schema/raw/master/csl-citation.json"}</w:instrText>
      </w:r>
      <w:r>
        <w:fldChar w:fldCharType="separate"/>
      </w:r>
      <w:r w:rsidR="000D5AA0" w:rsidRPr="000D5AA0">
        <w:rPr>
          <w:noProof/>
          <w:vertAlign w:val="superscript"/>
        </w:rPr>
        <w:t>13</w:t>
      </w:r>
      <w:r>
        <w:fldChar w:fldCharType="end"/>
      </w:r>
      <w:r>
        <w:t xml:space="preserve"> of ion </w:t>
      </w:r>
      <w:proofErr w:type="spellStart"/>
      <w:r>
        <w:t>mobilities</w:t>
      </w:r>
      <w:proofErr w:type="spellEnd"/>
      <w:r>
        <w:t xml:space="preserve"> for a 24 aerosol neutralisers, including radioactive, electric and x-ray sources, shows that the mean </w:t>
      </w:r>
      <w:r w:rsidRPr="00B72E54">
        <w:rPr>
          <w:i/>
        </w:rPr>
        <w:t>Z</w:t>
      </w:r>
      <w:r w:rsidRPr="00B72E54">
        <w:rPr>
          <w:vertAlign w:val="subscript"/>
        </w:rPr>
        <w:t>+</w:t>
      </w:r>
      <w:r>
        <w:t>/</w:t>
      </w:r>
      <w:r w:rsidRPr="00B72E54">
        <w:rPr>
          <w:i/>
        </w:rPr>
        <w:t>Z</w:t>
      </w:r>
      <w:r w:rsidRPr="00B72E54">
        <w:rPr>
          <w:vertAlign w:val="subscript"/>
        </w:rPr>
        <w:t>-</w:t>
      </w:r>
      <w:r>
        <w:t xml:space="preserve"> is 0.81 </w:t>
      </w:r>
      <w:r>
        <w:sym w:font="Symbol" w:char="F0B1"/>
      </w:r>
      <w:r>
        <w:t xml:space="preserve"> 0.1, with the uncertainty corresponding to one standard deviation in reported values. The large variation of 0.1 in measured </w:t>
      </w:r>
      <w:r w:rsidRPr="00B72E54">
        <w:rPr>
          <w:i/>
        </w:rPr>
        <w:t>Z</w:t>
      </w:r>
      <w:r w:rsidRPr="00B72E54">
        <w:rPr>
          <w:vertAlign w:val="subscript"/>
        </w:rPr>
        <w:t>+</w:t>
      </w:r>
      <w:r>
        <w:t>/</w:t>
      </w:r>
      <w:r w:rsidRPr="00B72E54">
        <w:rPr>
          <w:i/>
        </w:rPr>
        <w:t>Z</w:t>
      </w:r>
      <w:r w:rsidRPr="00B72E54">
        <w:rPr>
          <w:vertAlign w:val="subscript"/>
        </w:rPr>
        <w:t>-</w:t>
      </w:r>
      <w:r>
        <w:t xml:space="preserve"> values is associated with the use of different neutraliser types, differing intensities of ionising radiation, variations in the sample flow rates through the neutraliser and associated residence times between the neutraliser and DMA, and the impacts of humidity.</w:t>
      </w:r>
      <w:r>
        <w:fldChar w:fldCharType="begin" w:fldLock="1"/>
      </w:r>
      <w:r w:rsidR="000D5AA0">
        <w:instrText>ADDIN CSL_CITATION {"citationItems":[{"id":"ITEM-1","itemData":{"DOI":"10.1016/j.jaerosci.2015.05.010","ISSN":"18791964","abstract":"An essential part of mobility particle size spectroscopy is the prediction of the aerosol charge distribution in a highly concentrated bipolar ion environment. This charge distribution can be readily calculated, but is depending on several environmental conditions. These influences are investigated theoretically.The first part of this work deals with a sensitivity analysis using the Fuchs model (Fuchs, 1963) to determine the variation of the resulting charge distributions depending on the input parameters. It is demonstrated, that the main influencing variable is the difference between the positive and negative ion mobility. A sensitivity analysis reveals that a reasonable variation of the ion mobilities may lead to variations of the particle density distribution up to±20%.The second part investigates the evolution of the charge distribution along the tubing downstream of the bipolar charger exit starting with equal ion concentrations for positive and negative ions. Due to wall losses depending on ion mobility a non-equilibrium charge distribution is developing along the plumbing. The evolution of the particle charge distribution is determined using a coupled population balance model. Even though the non-equilibrium character is clearly shown, it turns out that this effect is negligible at conditions typical for particle size measurements.","author":[{"dropping-particle":"","family":"Tigges","given":"L.","non-dropping-particle":"","parse-names":false,"suffix":""},{"dropping-particle":"","family":"Jain","given":"A.","non-dropping-particle":"","parse-names":false,"suffix":""},{"dropping-particle":"","family":"Schmid","given":"H. J.","non-dropping-particle":"","parse-names":false,"suffix":""}],"container-title":"Journal of Aerosol Science","id":"ITEM-1","issued":{"date-parts":[["2015"]]},"page":"119-134","publisher":"Elsevier","title":"On the bipolar charge distribution used for mobility particle sizing: Theoretical considerations","type":"article-journal","volume":"88"},"uris":["http://www.mendeley.com/documents/?uuid=874dde9a-4255-4e9b-b39a-0b84d2483979"]},{"id":"ITEM-2","itemData":{"DOI":"10.1016/j.jaerosci.2004.10.011","ISBN":"0021-8502","ISSN":"00218502","abstract":"The availability of a bipolar charger using soft X-ray of 9.5 keV to aerosol nanoparticle measurement was evaluated by investigating the characteristics of ion generation and by comparing the ion generation rate and the bipolar charging states of aerosol nanoparticles to those of241Am α-ray bipolar chargers of 82 and 164μCi radiation. Ion generation of the soft X-ray charger stabilized within 7 s after being turned on and off, and remained stable for hours at a sufficient generation rate. The electrical mobilities of bipolar ions in dry nitrogen were close to each other, in contrast to those observed in the α-ray chargers. Owing to these electrical mobilities, the electrical mobility distributions of positively and negatively charged particles could be brought to almost identical states, as could the particle size distributions derived individually from the two mobility distributions. This means that inaccuracies can be minimized in measurements using a differential mobility analyzer. The effect of water vapor in ionized gas was also examined to discuss the fundamental applicability of the charger to atmospheric aerosols. For both humid nitrogen and air, the electrical mobilities of bipolar ions were found to be in accordance with those reported in the existing studies, indicating that humidity affected the electrical mobility of, in particular, negative ions. © 2004 Elsevier Ltd. All rights reserved.","author":[{"dropping-particle":"","family":"Lee","given":"Hye Moon","non-dropping-particle":"","parse-names":false,"suffix":""},{"dropping-particle":"","family":"Soo Kim","given":"Chan","non-dropping-particle":"","parse-names":false,"suffix":""},{"dropping-particle":"","family":"Shimada","given":"Manabu","non-dropping-particle":"","parse-names":false,"suffix":""},{"dropping-particle":"","family":"Okuyama","given":"Kikuo","non-dropping-particle":"","parse-names":false,"suffix":""}],"container-title":"Journal of Aerosol Science","id":"ITEM-2","issue":"7","issued":{"date-parts":[["2005","7"]]},"page":"813-829","title":"Bipolar diffusion charging for aerosol nanoparticle measurement using a soft X-ray charger","type":"article-journal","volume":"36"},"uris":["http://www.mendeley.com/documents/?uuid=92ad9a90-dd9b-4b85-a6b0-da936320db01"]}],"mendeley":{"formattedCitation":"&lt;sup&gt;13,14&lt;/sup&gt;","plainTextFormattedCitation":"13,14","previouslyFormattedCitation":"&lt;sup&gt;13,14&lt;/sup&gt;"},"properties":{"noteIndex":0},"schema":"https://github.com/citation-style-language/schema/raw/master/csl-citation.json"}</w:instrText>
      </w:r>
      <w:r>
        <w:fldChar w:fldCharType="separate"/>
      </w:r>
      <w:r w:rsidR="000D5AA0" w:rsidRPr="000D5AA0">
        <w:rPr>
          <w:noProof/>
          <w:vertAlign w:val="superscript"/>
        </w:rPr>
        <w:t>13,14</w:t>
      </w:r>
      <w:r>
        <w:fldChar w:fldCharType="end"/>
      </w:r>
      <w:r>
        <w:t xml:space="preserve"> </w:t>
      </w:r>
      <w:r>
        <w:lastRenderedPageBreak/>
        <w:t xml:space="preserve">Considering measurements that include x-ray sources only, </w:t>
      </w:r>
      <w:r w:rsidRPr="00B72E54">
        <w:rPr>
          <w:i/>
        </w:rPr>
        <w:t>Z</w:t>
      </w:r>
      <w:r w:rsidRPr="00B72E54">
        <w:rPr>
          <w:vertAlign w:val="subscript"/>
        </w:rPr>
        <w:t>+</w:t>
      </w:r>
      <w:r>
        <w:t>/</w:t>
      </w:r>
      <w:r w:rsidRPr="00B72E54">
        <w:rPr>
          <w:i/>
        </w:rPr>
        <w:t>Z</w:t>
      </w:r>
      <w:r w:rsidRPr="00B72E54">
        <w:rPr>
          <w:vertAlign w:val="subscript"/>
        </w:rPr>
        <w:t>-</w:t>
      </w:r>
      <w:r>
        <w:t xml:space="preserve"> is reported in the range 0.92 – 0.96.</w:t>
      </w:r>
      <w:r>
        <w:fldChar w:fldCharType="begin" w:fldLock="1"/>
      </w:r>
      <w:r w:rsidR="000D5AA0">
        <w:instrText>ADDIN CSL_CITATION {"citationItems":[{"id":"ITEM-1","itemData":{"DOI":"10.1016/j.jaerosci.2015.05.010","ISSN":"18791964","abstract":"An essential part of mobility particle size spectroscopy is the prediction of the aerosol charge distribution in a highly concentrated bipolar ion environment. This charge distribution can be readily calculated, but is depending on several environmental conditions. These influences are investigated theoretically.The first part of this work deals with a sensitivity analysis using the Fuchs model (Fuchs, 1963) to determine the variation of the resulting charge distributions depending on the input parameters. It is demonstrated, that the main influencing variable is the difference between the positive and negative ion mobility. A sensitivity analysis reveals that a reasonable variation of the ion mobilities may lead to variations of the particle density distribution up to±20%.The second part investigates the evolution of the charge distribution along the tubing downstream of the bipolar charger exit starting with equal ion concentrations for positive and negative ions. Due to wall losses depending on ion mobility a non-equilibrium charge distribution is developing along the plumbing. The evolution of the particle charge distribution is determined using a coupled population balance model. Even though the non-equilibrium character is clearly shown, it turns out that this effect is negligible at conditions typical for particle size measurements.","author":[{"dropping-particle":"","family":"Tigges","given":"L.","non-dropping-particle":"","parse-names":false,"suffix":""},{"dropping-particle":"","family":"Jain","given":"A.","non-dropping-particle":"","parse-names":false,"suffix":""},{"dropping-particle":"","family":"Schmid","given":"H. J.","non-dropping-particle":"","parse-names":false,"suffix":""}],"container-title":"Journal of Aerosol Science","id":"ITEM-1","issued":{"date-parts":[["2015"]]},"page":"119-134","publisher":"Elsevier","title":"On the bipolar charge distribution used for mobility particle sizing: Theoretical considerations","type":"article-journal","volume":"88"},"uris":["http://www.mendeley.com/documents/?uuid=874dde9a-4255-4e9b-b39a-0b84d2483979"]}],"mendeley":{"formattedCitation":"&lt;sup&gt;13&lt;/sup&gt;","plainTextFormattedCitation":"13","previouslyFormattedCitation":"&lt;sup&gt;13&lt;/sup&gt;"},"properties":{"noteIndex":0},"schema":"https://github.com/citation-style-language/schema/raw/master/csl-citation.json"}</w:instrText>
      </w:r>
      <w:r>
        <w:fldChar w:fldCharType="separate"/>
      </w:r>
      <w:r w:rsidR="000D5AA0" w:rsidRPr="000D5AA0">
        <w:rPr>
          <w:noProof/>
          <w:vertAlign w:val="superscript"/>
        </w:rPr>
        <w:t>13</w:t>
      </w:r>
      <w:r>
        <w:fldChar w:fldCharType="end"/>
      </w:r>
      <w:r>
        <w:t xml:space="preserve"> No consideration is given to the ion concentration ratio by </w:t>
      </w:r>
      <w:proofErr w:type="spellStart"/>
      <w:r>
        <w:t>Tigges</w:t>
      </w:r>
      <w:proofErr w:type="spellEnd"/>
      <w:r>
        <w:t xml:space="preserve"> </w:t>
      </w:r>
      <w:r>
        <w:rPr>
          <w:i/>
        </w:rPr>
        <w:t>et al</w:t>
      </w:r>
      <w:r>
        <w:t xml:space="preserve">., assuming </w:t>
      </w:r>
      <w:r>
        <w:rPr>
          <w:i/>
        </w:rPr>
        <w:t>c</w:t>
      </w:r>
      <w:r>
        <w:rPr>
          <w:vertAlign w:val="subscript"/>
        </w:rPr>
        <w:t>+</w:t>
      </w:r>
      <w:r>
        <w:t>/</w:t>
      </w:r>
      <w:r>
        <w:rPr>
          <w:i/>
        </w:rPr>
        <w:t>c</w:t>
      </w:r>
      <w:r>
        <w:rPr>
          <w:vertAlign w:val="subscript"/>
        </w:rPr>
        <w:t>-</w:t>
      </w:r>
      <w:r>
        <w:t xml:space="preserve"> = 1.0.</w:t>
      </w:r>
      <w:r>
        <w:fldChar w:fldCharType="begin" w:fldLock="1"/>
      </w:r>
      <w:r w:rsidR="000D5AA0">
        <w:instrText>ADDIN CSL_CITATION {"citationItems":[{"id":"ITEM-1","itemData":{"DOI":"10.1016/j.jaerosci.2015.05.010","ISSN":"18791964","abstract":"An essential part of mobility particle size spectroscopy is the prediction of the aerosol charge distribution in a highly concentrated bipolar ion environment. This charge distribution can be readily calculated, but is depending on several environmental conditions. These influences are investigated theoretically.The first part of this work deals with a sensitivity analysis using the Fuchs model (Fuchs, 1963) to determine the variation of the resulting charge distributions depending on the input parameters. It is demonstrated, that the main influencing variable is the difference between the positive and negative ion mobility. A sensitivity analysis reveals that a reasonable variation of the ion mobilities may lead to variations of the particle density distribution up to±20%.The second part investigates the evolution of the charge distribution along the tubing downstream of the bipolar charger exit starting with equal ion concentrations for positive and negative ions. Due to wall losses depending on ion mobility a non-equilibrium charge distribution is developing along the plumbing. The evolution of the particle charge distribution is determined using a coupled population balance model. Even though the non-equilibrium character is clearly shown, it turns out that this effect is negligible at conditions typical for particle size measurements.","author":[{"dropping-particle":"","family":"Tigges","given":"L.","non-dropping-particle":"","parse-names":false,"suffix":""},{"dropping-particle":"","family":"Jain","given":"A.","non-dropping-particle":"","parse-names":false,"suffix":""},{"dropping-particle":"","family":"Schmid","given":"H. J.","non-dropping-particle":"","parse-names":false,"suffix":""}],"container-title":"Journal of Aerosol Science","id":"ITEM-1","issued":{"date-parts":[["2015"]]},"page":"119-134","publisher":"Elsevier","title":"On the bipolar charge distribution used for mobility particle sizing: Theoretical considerations","type":"article-journal","volume":"88"},"uris":["http://www.mendeley.com/documents/?uuid=874dde9a-4255-4e9b-b39a-0b84d2483979"]}],"mendeley":{"formattedCitation":"&lt;sup&gt;13&lt;/sup&gt;","plainTextFormattedCitation":"13","previouslyFormattedCitation":"&lt;sup&gt;13&lt;/sup&gt;"},"properties":{"noteIndex":0},"schema":"https://github.com/citation-style-language/schema/raw/master/csl-citation.json"}</w:instrText>
      </w:r>
      <w:r>
        <w:fldChar w:fldCharType="separate"/>
      </w:r>
      <w:r w:rsidR="000D5AA0" w:rsidRPr="000D5AA0">
        <w:rPr>
          <w:noProof/>
          <w:vertAlign w:val="superscript"/>
        </w:rPr>
        <w:t>13</w:t>
      </w:r>
      <w:r>
        <w:fldChar w:fldCharType="end"/>
      </w:r>
      <w:r w:rsidRPr="00E00673">
        <w:t xml:space="preserve"> </w:t>
      </w:r>
      <w:r>
        <w:t xml:space="preserve">A good strategy for finding the </w:t>
      </w:r>
      <w:proofErr w:type="spellStart"/>
      <w:r>
        <w:rPr>
          <w:i/>
        </w:rPr>
        <w:t>c</w:t>
      </w:r>
      <w:r>
        <w:rPr>
          <w:vertAlign w:val="subscript"/>
        </w:rPr>
        <w:t>+</w:t>
      </w:r>
      <w:r>
        <w:rPr>
          <w:i/>
        </w:rPr>
        <w:t>Z</w:t>
      </w:r>
      <w:proofErr w:type="spellEnd"/>
      <w:r>
        <w:rPr>
          <w:vertAlign w:val="subscript"/>
        </w:rPr>
        <w:t>+</w:t>
      </w:r>
      <w:r>
        <w:t>/</w:t>
      </w:r>
      <w:r>
        <w:rPr>
          <w:i/>
        </w:rPr>
        <w:t>c</w:t>
      </w:r>
      <w:r>
        <w:rPr>
          <w:vertAlign w:val="subscript"/>
        </w:rPr>
        <w:noBreakHyphen/>
      </w:r>
      <w:r>
        <w:rPr>
          <w:i/>
        </w:rPr>
        <w:t>Z</w:t>
      </w:r>
      <w:r>
        <w:rPr>
          <w:vertAlign w:val="subscript"/>
        </w:rPr>
        <w:t>-</w:t>
      </w:r>
      <w:r>
        <w:t xml:space="preserve"> ratio appropriate to our x-ray charger and operating conditions is to measure optical cross sections for mobility-selected aerosol of a known refractive index, then use the Gunn formula to describe the aerosol charge distribution and optimise the </w:t>
      </w:r>
      <w:proofErr w:type="spellStart"/>
      <w:r>
        <w:rPr>
          <w:i/>
        </w:rPr>
        <w:t>c</w:t>
      </w:r>
      <w:r>
        <w:rPr>
          <w:vertAlign w:val="subscript"/>
        </w:rPr>
        <w:t>+</w:t>
      </w:r>
      <w:r>
        <w:rPr>
          <w:i/>
        </w:rPr>
        <w:t>Z</w:t>
      </w:r>
      <w:proofErr w:type="spellEnd"/>
      <w:r>
        <w:rPr>
          <w:vertAlign w:val="subscript"/>
        </w:rPr>
        <w:t>+</w:t>
      </w:r>
      <w:r>
        <w:t>/</w:t>
      </w:r>
      <w:r>
        <w:rPr>
          <w:i/>
        </w:rPr>
        <w:t>c</w:t>
      </w:r>
      <w:r>
        <w:rPr>
          <w:vertAlign w:val="subscript"/>
        </w:rPr>
        <w:noBreakHyphen/>
      </w:r>
      <w:r>
        <w:rPr>
          <w:i/>
        </w:rPr>
        <w:t>Z</w:t>
      </w:r>
      <w:r>
        <w:rPr>
          <w:vertAlign w:val="subscript"/>
        </w:rPr>
        <w:t>-</w:t>
      </w:r>
      <w:r>
        <w:t xml:space="preserve"> ratio for best agreement between measured and modelled cross sections. Here, we measured the </w:t>
      </w:r>
      <w:r w:rsidRPr="0043765E">
        <w:rPr>
          <w:i/>
        </w:rPr>
        <w:sym w:font="Symbol" w:char="F073"/>
      </w:r>
      <w:proofErr w:type="spellStart"/>
      <w:r w:rsidRPr="00EC5F75">
        <w:rPr>
          <w:vertAlign w:val="subscript"/>
        </w:rPr>
        <w:t>ext</w:t>
      </w:r>
      <w:proofErr w:type="spellEnd"/>
      <w:r>
        <w:t xml:space="preserve"> of mobility-selected ammonium </w:t>
      </w:r>
      <w:proofErr w:type="spellStart"/>
      <w:r>
        <w:t>sulfate</w:t>
      </w:r>
      <w:proofErr w:type="spellEnd"/>
      <w:r>
        <w:t xml:space="preserve"> (AS) particles with Toon </w:t>
      </w:r>
      <w:r>
        <w:rPr>
          <w:i/>
        </w:rPr>
        <w:t xml:space="preserve">et </w:t>
      </w:r>
      <w:r w:rsidRPr="0046080B">
        <w:rPr>
          <w:i/>
        </w:rPr>
        <w:t>al.</w:t>
      </w:r>
      <w:r>
        <w:t xml:space="preserve"> reporting RI values of </w:t>
      </w:r>
      <w:r>
        <w:rPr>
          <w:i/>
        </w:rPr>
        <w:t>n</w:t>
      </w:r>
      <w:r>
        <w:rPr>
          <w:vertAlign w:val="subscript"/>
        </w:rPr>
        <w:t>405</w:t>
      </w:r>
      <w:r>
        <w:t xml:space="preserve"> = 1.540, </w:t>
      </w:r>
      <w:r>
        <w:rPr>
          <w:i/>
        </w:rPr>
        <w:t>n</w:t>
      </w:r>
      <w:r>
        <w:rPr>
          <w:vertAlign w:val="subscript"/>
        </w:rPr>
        <w:t>658</w:t>
      </w:r>
      <w:r>
        <w:t xml:space="preserve"> = 1.525 and </w:t>
      </w:r>
      <w:r>
        <w:rPr>
          <w:i/>
        </w:rPr>
        <w:t>k</w:t>
      </w:r>
      <w:r>
        <w:rPr>
          <w:vertAlign w:val="subscript"/>
        </w:rPr>
        <w:t>405</w:t>
      </w:r>
      <w:r>
        <w:t xml:space="preserve"> = </w:t>
      </w:r>
      <w:r>
        <w:rPr>
          <w:i/>
        </w:rPr>
        <w:t>k</w:t>
      </w:r>
      <w:r>
        <w:rPr>
          <w:vertAlign w:val="subscript"/>
        </w:rPr>
        <w:t>658</w:t>
      </w:r>
      <w:r>
        <w:t xml:space="preserve"> = 10</w:t>
      </w:r>
      <w:r>
        <w:rPr>
          <w:vertAlign w:val="superscript"/>
        </w:rPr>
        <w:t xml:space="preserve">-7 </w:t>
      </w:r>
      <w:r>
        <w:t>for AS.</w:t>
      </w:r>
      <w:r>
        <w:fldChar w:fldCharType="begin" w:fldLock="1"/>
      </w:r>
      <w:r w:rsidR="000D5AA0">
        <w:instrText>ADDIN CSL_CITATION {"citationItems":[{"id":"ITEM-1","itemData":{"DOI":"10.1029/JC081i033p05733","ISBN":"0148-0227","ISSN":"01480227","abstract":"An investigation is conducted of problems which are related to a use of measured optical constants in the simulation of the optical constants of real atmospheric aerosols. The techniques of measuring optical constants are discussed, taking into account transmission measurements through homogeneous and inhomogeneous materials, the immersion of a material in a liquid of a known refractive index, the consideration of the minimum deviation angle of prism measurement, the interference of multiply reflected light, reflectivity measurements, and aspects of mathematical analysis. Graphs show the real and the imaginary part of the refractive index as a function of wavelength for aluminum oxide, NaCl, and ammonium sulfate. Tables are provided for the dispersion parameters and the optical constants.","author":[{"dropping-particle":"","family":"Toon","given":"Owen B.","non-dropping-particle":"","parse-names":false,"suffix":""},{"dropping-particle":"","family":"Pollack","given":"James B.","non-dropping-particle":"","parse-names":false,"suffix":""},{"dropping-particle":"","family":"Khare","given":"Bishun N.","non-dropping-particle":"","parse-names":false,"suffix":""}],"container-title":"Journal of Geophysical Research","id":"ITEM-1","issue":"33","issued":{"date-parts":[["1976","11","20"]]},"page":"5733-5748","title":"The optical constants of several atmospheric aerosol species: Ammonium sulfate, aluminum oxide, and sodium chloride","type":"article-journal","volume":"81"},"uris":["http://www.mendeley.com/documents/?uuid=291858c1-397d-4742-9c6e-9f9f3c066f6f"]}],"mendeley":{"formattedCitation":"&lt;sup&gt;15&lt;/sup&gt;","plainTextFormattedCitation":"15","previouslyFormattedCitation":"&lt;sup&gt;15&lt;/sup&gt;"},"properties":{"noteIndex":0},"schema":"https://github.com/citation-style-language/schema/raw/master/csl-citation.json"}</w:instrText>
      </w:r>
      <w:r>
        <w:fldChar w:fldCharType="separate"/>
      </w:r>
      <w:r w:rsidR="000D5AA0" w:rsidRPr="000D5AA0">
        <w:rPr>
          <w:noProof/>
          <w:vertAlign w:val="superscript"/>
        </w:rPr>
        <w:t>15</w:t>
      </w:r>
      <w:r>
        <w:fldChar w:fldCharType="end"/>
      </w:r>
      <w:r>
        <w:t xml:space="preserve"> Using the same experimental procedure described above, we measured </w:t>
      </w:r>
      <w:r w:rsidRPr="003E199C">
        <w:rPr>
          <w:i/>
        </w:rPr>
        <w:sym w:font="Symbol" w:char="F073"/>
      </w:r>
      <w:proofErr w:type="spellStart"/>
      <w:r w:rsidRPr="003E199C">
        <w:rPr>
          <w:vertAlign w:val="subscript"/>
        </w:rPr>
        <w:t>ext</w:t>
      </w:r>
      <w:proofErr w:type="spellEnd"/>
      <w:r>
        <w:t xml:space="preserve"> at both </w:t>
      </w:r>
      <w:r>
        <w:rPr>
          <w:i/>
        </w:rPr>
        <w:sym w:font="Symbol" w:char="F06C"/>
      </w:r>
      <w:r>
        <w:t xml:space="preserve"> = 405, 658 nm for 10 values of </w:t>
      </w:r>
      <w:proofErr w:type="spellStart"/>
      <w:r>
        <w:rPr>
          <w:i/>
        </w:rPr>
        <w:t>D</w:t>
      </w:r>
      <w:r w:rsidRPr="008149B2">
        <w:rPr>
          <w:vertAlign w:val="subscript"/>
        </w:rPr>
        <w:t>select</w:t>
      </w:r>
      <w:proofErr w:type="spellEnd"/>
      <w:r>
        <w:t xml:space="preserve"> from 125 to 350 nm in 25 nm intervals. We compared the measured </w:t>
      </w:r>
      <w:r w:rsidRPr="008149B2">
        <w:rPr>
          <w:i/>
        </w:rPr>
        <w:sym w:font="Symbol" w:char="F073"/>
      </w:r>
      <w:proofErr w:type="spellStart"/>
      <w:r>
        <w:rPr>
          <w:vertAlign w:val="subscript"/>
        </w:rPr>
        <w:t>ext</w:t>
      </w:r>
      <w:proofErr w:type="spellEnd"/>
      <w:r>
        <w:rPr>
          <w:rFonts w:eastAsiaTheme="minorEastAsia"/>
          <w:lang w:eastAsia="en-GB"/>
        </w:rPr>
        <w:t xml:space="preserve"> values</w:t>
      </w:r>
      <w:r>
        <w:t xml:space="preserve"> to predictions using the model described above, varying the </w:t>
      </w:r>
      <w:proofErr w:type="spellStart"/>
      <w:r>
        <w:rPr>
          <w:i/>
        </w:rPr>
        <w:t>c</w:t>
      </w:r>
      <w:r>
        <w:rPr>
          <w:vertAlign w:val="subscript"/>
        </w:rPr>
        <w:t>+</w:t>
      </w:r>
      <w:r>
        <w:rPr>
          <w:i/>
        </w:rPr>
        <w:t>Z</w:t>
      </w:r>
      <w:proofErr w:type="spellEnd"/>
      <w:r>
        <w:rPr>
          <w:vertAlign w:val="subscript"/>
        </w:rPr>
        <w:t>+</w:t>
      </w:r>
      <w:r>
        <w:t>/</w:t>
      </w:r>
      <w:r>
        <w:rPr>
          <w:i/>
        </w:rPr>
        <w:t>c</w:t>
      </w:r>
      <w:r>
        <w:rPr>
          <w:vertAlign w:val="subscript"/>
        </w:rPr>
        <w:noBreakHyphen/>
      </w:r>
      <w:r>
        <w:rPr>
          <w:i/>
        </w:rPr>
        <w:t>Z</w:t>
      </w:r>
      <w:r>
        <w:rPr>
          <w:vertAlign w:val="subscript"/>
        </w:rPr>
        <w:t>-</w:t>
      </w:r>
      <w:r>
        <w:t xml:space="preserve"> ratio until best agreement between measured and modelled extinction cross sections </w:t>
      </w:r>
      <w:proofErr w:type="gramStart"/>
      <w:r>
        <w:t>is achieved</w:t>
      </w:r>
      <w:proofErr w:type="gramEnd"/>
      <w:r>
        <w:t xml:space="preserve">. To quantify the level of agreement between measured and modelled cross sections, we calculated the merit function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ext</m:t>
            </m:r>
          </m:sub>
          <m:sup>
            <m:r>
              <w:rPr>
                <w:rFonts w:ascii="Cambria Math" w:hAnsi="Cambria Math"/>
                <w:noProof/>
                <w:lang w:eastAsia="en-GB"/>
              </w:rPr>
              <m:t>2</m:t>
            </m:r>
          </m:sup>
        </m:sSubSup>
      </m:oMath>
      <w:r>
        <w:rPr>
          <w:rFonts w:eastAsiaTheme="minorEastAsia"/>
          <w:lang w:eastAsia="en-GB"/>
        </w:rPr>
        <w:t xml:space="preserve"> </w:t>
      </w:r>
      <w:r w:rsidR="002D7137">
        <w:t>(see main text)</w:t>
      </w:r>
      <w:r>
        <w:t>.</w:t>
      </w:r>
    </w:p>
    <w:p w14:paraId="4C406A0D" w14:textId="77777777" w:rsidR="00B36CDA" w:rsidRDefault="00B36CDA" w:rsidP="00B36CDA"/>
    <w:p w14:paraId="5E3149B1" w14:textId="77777777" w:rsidR="00B36CDA" w:rsidRDefault="00B36CDA" w:rsidP="00B36CDA">
      <w:r>
        <w:t xml:space="preserve">Figure S4(a) shows the variation in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ext</m:t>
            </m:r>
          </m:sub>
          <m:sup>
            <m:r>
              <w:rPr>
                <w:rFonts w:ascii="Cambria Math" w:hAnsi="Cambria Math"/>
                <w:noProof/>
                <w:lang w:eastAsia="en-GB"/>
              </w:rPr>
              <m:t>2</m:t>
            </m:r>
          </m:sup>
        </m:sSubSup>
      </m:oMath>
      <w:r>
        <w:rPr>
          <w:rFonts w:eastAsiaTheme="minorEastAsia"/>
          <w:lang w:eastAsia="en-GB"/>
        </w:rPr>
        <w:t xml:space="preserve"> with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sidRPr="0043765E">
        <w:rPr>
          <w:vertAlign w:val="subscript"/>
        </w:rPr>
        <w:noBreakHyphen/>
      </w:r>
      <w:r w:rsidRPr="0043765E">
        <w:rPr>
          <w:i/>
        </w:rPr>
        <w:t>Z</w:t>
      </w:r>
      <w:r w:rsidRPr="0043765E">
        <w:rPr>
          <w:vertAlign w:val="subscript"/>
        </w:rPr>
        <w:t>-</w:t>
      </w:r>
      <w:r>
        <w:t xml:space="preserve"> for the merit function calculated using 405-nm </w:t>
      </w:r>
      <w:r w:rsidRPr="003E199C">
        <w:rPr>
          <w:i/>
        </w:rPr>
        <w:sym w:font="Symbol" w:char="F073"/>
      </w:r>
      <w:proofErr w:type="spellStart"/>
      <w:r>
        <w:rPr>
          <w:vertAlign w:val="subscript"/>
        </w:rPr>
        <w:t>ext</w:t>
      </w:r>
      <w:proofErr w:type="spellEnd"/>
      <w:r>
        <w:t xml:space="preserve"> only, 658-nm </w:t>
      </w:r>
      <w:r w:rsidRPr="003E199C">
        <w:rPr>
          <w:i/>
        </w:rPr>
        <w:sym w:font="Symbol" w:char="F073"/>
      </w:r>
      <w:proofErr w:type="spellStart"/>
      <w:r>
        <w:rPr>
          <w:vertAlign w:val="subscript"/>
        </w:rPr>
        <w:t>ext</w:t>
      </w:r>
      <w:proofErr w:type="spellEnd"/>
      <w:r>
        <w:t xml:space="preserve"> only, and the mean of the merit functions from measurements at both wavelengths. We find that the optimal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sidRPr="0043765E">
        <w:rPr>
          <w:vertAlign w:val="subscript"/>
        </w:rPr>
        <w:noBreakHyphen/>
      </w:r>
      <w:r w:rsidRPr="0043765E">
        <w:rPr>
          <w:i/>
        </w:rPr>
        <w:t>Z</w:t>
      </w:r>
      <w:r w:rsidRPr="0043765E">
        <w:rPr>
          <w:vertAlign w:val="subscript"/>
        </w:rPr>
        <w:t>-</w:t>
      </w:r>
      <w:r w:rsidRPr="00D63455">
        <w:t xml:space="preserve"> </w:t>
      </w:r>
      <w:r>
        <w:t xml:space="preserve">takes different values for the two different spectroscopy wavelengths, with values of 0.80 and 0.86 found for separate optimisations of 405-nm and 658-nm data. Figure S4(b) shows the excellent agreement between the measured and predicted </w:t>
      </w:r>
      <w:r w:rsidRPr="008149B2">
        <w:rPr>
          <w:i/>
        </w:rPr>
        <w:sym w:font="Symbol" w:char="F073"/>
      </w:r>
      <w:proofErr w:type="spellStart"/>
      <w:r>
        <w:rPr>
          <w:vertAlign w:val="subscript"/>
        </w:rPr>
        <w:t>ext</w:t>
      </w:r>
      <w:proofErr w:type="spellEnd"/>
      <w:r>
        <w:t xml:space="preserve"> </w:t>
      </w:r>
      <w:r>
        <w:rPr>
          <w:rFonts w:eastAsiaTheme="minorEastAsia"/>
          <w:lang w:eastAsia="en-GB"/>
        </w:rPr>
        <w:t xml:space="preserve">when calculations at each spectroscopy wavelength use the corresponding optimised value for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rPr>
          <w:rFonts w:eastAsiaTheme="minorEastAsia"/>
          <w:lang w:eastAsia="en-GB"/>
        </w:rPr>
        <w:t xml:space="preserve">. </w:t>
      </w:r>
      <w:r w:rsidRPr="004159AD">
        <w:fldChar w:fldCharType="begin"/>
      </w:r>
      <w:r w:rsidRPr="004159AD">
        <w:instrText xml:space="preserve"> REF _Ref536707832 \h </w:instrText>
      </w:r>
      <w:r>
        <w:instrText xml:space="preserve"> \* MERGEFORMAT </w:instrText>
      </w:r>
      <w:r w:rsidRPr="004159AD">
        <w:fldChar w:fldCharType="separate"/>
      </w:r>
      <w:r w:rsidR="00715CF2">
        <w:t>Figure S3</w:t>
      </w:r>
      <w:r w:rsidRPr="004159AD">
        <w:fldChar w:fldCharType="end"/>
      </w:r>
      <w:r w:rsidRPr="004159AD">
        <w:t xml:space="preserve">(b) shows the Gunn-predicted charge distributions for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rPr>
          <w:vertAlign w:val="subscript"/>
        </w:rPr>
        <w:t xml:space="preserve"> </w:t>
      </w:r>
      <w:r w:rsidRPr="004159AD">
        <w:t>= 0.</w:t>
      </w:r>
      <w:r>
        <w:t>80</w:t>
      </w:r>
      <w:r w:rsidRPr="004159AD">
        <w:t xml:space="preserve"> over the particle diameter range of interest</w:t>
      </w:r>
      <w:r>
        <w:t xml:space="preserve"> and demonstrates the much reduced charging probabilities for higher </w:t>
      </w:r>
      <w:r>
        <w:rPr>
          <w:i/>
        </w:rPr>
        <w:t>q</w:t>
      </w:r>
      <w:r>
        <w:t xml:space="preserve"> charge states when using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 0.80 compared to the probabilities using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 0.957 shown in </w:t>
      </w:r>
      <w:r w:rsidRPr="004159AD">
        <w:fldChar w:fldCharType="begin"/>
      </w:r>
      <w:r w:rsidRPr="004159AD">
        <w:instrText xml:space="preserve"> REF _Ref536707832 \h </w:instrText>
      </w:r>
      <w:r>
        <w:instrText xml:space="preserve"> \* MERGEFORMAT </w:instrText>
      </w:r>
      <w:r w:rsidRPr="004159AD">
        <w:fldChar w:fldCharType="separate"/>
      </w:r>
      <w:r w:rsidR="00715CF2">
        <w:t>Figure S3</w:t>
      </w:r>
      <w:r w:rsidRPr="004159AD">
        <w:fldChar w:fldCharType="end"/>
      </w:r>
      <w:r>
        <w:t>(a</w:t>
      </w:r>
      <w:r w:rsidRPr="004159AD">
        <w:t>)</w:t>
      </w:r>
      <w:r>
        <w:t>.</w:t>
      </w:r>
    </w:p>
    <w:p w14:paraId="23E4E464" w14:textId="77777777" w:rsidR="00B36CDA" w:rsidRDefault="00B36CDA" w:rsidP="00B36CDA"/>
    <w:p w14:paraId="1F1AA90C" w14:textId="77777777" w:rsidR="00B36CDA" w:rsidRDefault="00B36CDA" w:rsidP="00B36CDA">
      <w:pPr>
        <w:rPr>
          <w:noProof/>
          <w:lang w:eastAsia="en-GB"/>
        </w:rPr>
      </w:pPr>
      <w:r>
        <w:t xml:space="preserve">The reason for the difference in the optimal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rPr>
          <w:vertAlign w:val="subscript"/>
        </w:rPr>
        <w:softHyphen/>
      </w:r>
      <w:r>
        <w:t xml:space="preserve"> values at each spectroscopy wavelength is likely a consequence of the use of the </w:t>
      </w:r>
      <w:proofErr w:type="spellStart"/>
      <w:r>
        <w:t>Tigges</w:t>
      </w:r>
      <w:proofErr w:type="spellEnd"/>
      <w:r>
        <w:t xml:space="preserve"> </w:t>
      </w:r>
      <w:r>
        <w:rPr>
          <w:i/>
        </w:rPr>
        <w:t>et al</w:t>
      </w:r>
      <w:r>
        <w:t xml:space="preserve">. charge distribution by the SMPS software to invert raw number count distributions to a size distribution. In our optimisation study above, we did not recalculate the inverted SMPS size distribution for a given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For a mobility selected diameter of 200 nm, </w:t>
      </w:r>
      <w:fldSimple w:instr=" REF _Ref8376838 ">
        <w:r w:rsidR="00715CF2">
          <w:t>Figure S</w:t>
        </w:r>
        <w:r w:rsidR="00715CF2">
          <w:rPr>
            <w:noProof/>
          </w:rPr>
          <w:t>2</w:t>
        </w:r>
      </w:fldSimple>
      <w:r>
        <w:t xml:space="preserve"> shows that contributions to the ensemble </w:t>
      </w:r>
      <w:r w:rsidRPr="00F44CCF">
        <w:rPr>
          <w:i/>
        </w:rPr>
        <w:sym w:font="Symbol" w:char="F073"/>
      </w:r>
      <w:proofErr w:type="spellStart"/>
      <w:r>
        <w:rPr>
          <w:vertAlign w:val="subscript"/>
        </w:rPr>
        <w:t>ext</w:t>
      </w:r>
      <w:proofErr w:type="spellEnd"/>
      <w:r>
        <w:t xml:space="preserve"> are dominated by particles with charges </w:t>
      </w:r>
      <w:r>
        <w:rPr>
          <w:i/>
        </w:rPr>
        <w:t>q</w:t>
      </w:r>
      <w:r>
        <w:t xml:space="preserve"> &lt; 5 (diameters below 600 nm) for the 405 nm wavelength, while the 658-nm </w:t>
      </w:r>
      <w:r w:rsidRPr="00F44CCF">
        <w:rPr>
          <w:i/>
        </w:rPr>
        <w:sym w:font="Symbol" w:char="F073"/>
      </w:r>
      <w:proofErr w:type="spellStart"/>
      <w:r>
        <w:rPr>
          <w:vertAlign w:val="subscript"/>
        </w:rPr>
        <w:t>ext</w:t>
      </w:r>
      <w:proofErr w:type="spellEnd"/>
      <w:r>
        <w:t xml:space="preserve"> takes significant contributions from particles with diameters in the range 500 – 800 nm. Re-calculating the SMPS size distribution for a given value of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will change the size distribution at small and larger diameters to different extents. The different sensitivities in the </w:t>
      </w:r>
      <w:r>
        <w:rPr>
          <w:i/>
        </w:rPr>
        <w:sym w:font="Symbol" w:char="F073"/>
      </w:r>
      <w:proofErr w:type="spellStart"/>
      <w:r>
        <w:rPr>
          <w:vertAlign w:val="subscript"/>
        </w:rPr>
        <w:t>ext</w:t>
      </w:r>
      <w:proofErr w:type="spellEnd"/>
      <w:r>
        <w:t xml:space="preserve"> at both spectroscopy wavelengths to the number concentrations at different diameter ranges will lead to inaccuracies in the direct association of the optimised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to the charge distribution produced by the neutraliser. Moreover, differences in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between spectroscopy wavelengths may arise from different size-dependent losses of aerosols in the two channels; through the above optimisation procedure, we have corrected for inaccurate descriptions of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in our soft x-ray charger in addition to correcting for size-dependent losses to the walls. The sample residence lengths prior to the spectrometers is similar for both spectroscopy wavelengths, but small differences in </w:t>
      </w:r>
      <w:r>
        <w:lastRenderedPageBreak/>
        <w:t xml:space="preserve">tubing lengths and bend angles could be responsible in part for the different </w:t>
      </w:r>
      <w:proofErr w:type="spellStart"/>
      <w:r w:rsidRPr="0043765E">
        <w:rPr>
          <w:i/>
        </w:rPr>
        <w:t>c</w:t>
      </w:r>
      <w:r w:rsidRPr="0043765E">
        <w:rPr>
          <w:vertAlign w:val="subscript"/>
        </w:rPr>
        <w:t>+</w:t>
      </w:r>
      <w:r w:rsidRPr="0043765E">
        <w:rPr>
          <w:i/>
        </w:rPr>
        <w:t>Z</w:t>
      </w:r>
      <w:proofErr w:type="spellEnd"/>
      <w:r w:rsidRPr="0043765E">
        <w:rPr>
          <w:vertAlign w:val="subscript"/>
        </w:rPr>
        <w:t>+</w:t>
      </w:r>
      <w:r>
        <w:t>/</w:t>
      </w:r>
      <w:r w:rsidRPr="0043765E">
        <w:rPr>
          <w:i/>
        </w:rPr>
        <w:t>c</w:t>
      </w:r>
      <w:r>
        <w:rPr>
          <w:vertAlign w:val="subscript"/>
        </w:rPr>
        <w:sym w:font="Symbol" w:char="F02D"/>
      </w:r>
      <w:r w:rsidRPr="0043765E">
        <w:rPr>
          <w:i/>
        </w:rPr>
        <w:t>Z</w:t>
      </w:r>
      <w:r>
        <w:rPr>
          <w:vertAlign w:val="subscript"/>
        </w:rPr>
        <w:sym w:font="Symbol" w:char="F02D"/>
      </w:r>
      <w:r>
        <w:t xml:space="preserve"> found for each spectroscopy wavelength.</w:t>
      </w:r>
    </w:p>
    <w:p w14:paraId="260D3F2A" w14:textId="77777777" w:rsidR="003E199C" w:rsidRDefault="003E199C" w:rsidP="003E199C">
      <w:pPr>
        <w:keepNext/>
        <w:jc w:val="center"/>
      </w:pPr>
      <w:r>
        <w:rPr>
          <w:noProof/>
          <w:lang w:eastAsia="en-GB"/>
        </w:rPr>
        <w:drawing>
          <wp:inline distT="0" distB="0" distL="0" distR="0" wp14:anchorId="70B760E6" wp14:editId="460D4E64">
            <wp:extent cx="3600000" cy="486481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4864814"/>
                    </a:xfrm>
                    <a:prstGeom prst="rect">
                      <a:avLst/>
                    </a:prstGeom>
                    <a:noFill/>
                  </pic:spPr>
                </pic:pic>
              </a:graphicData>
            </a:graphic>
          </wp:inline>
        </w:drawing>
      </w:r>
    </w:p>
    <w:p w14:paraId="653D0360" w14:textId="72229D2D" w:rsidR="003E199C" w:rsidRPr="00B00F54" w:rsidRDefault="003E199C" w:rsidP="003E199C">
      <w:pPr>
        <w:keepNext/>
      </w:pPr>
      <w:r>
        <w:t>Figure S</w:t>
      </w:r>
      <w:r>
        <w:rPr>
          <w:noProof/>
        </w:rPr>
        <w:fldChar w:fldCharType="begin"/>
      </w:r>
      <w:r>
        <w:rPr>
          <w:noProof/>
        </w:rPr>
        <w:instrText xml:space="preserve"> SEQ Figure_S \* ARABIC </w:instrText>
      </w:r>
      <w:r>
        <w:rPr>
          <w:noProof/>
        </w:rPr>
        <w:fldChar w:fldCharType="separate"/>
      </w:r>
      <w:r w:rsidR="00715CF2">
        <w:rPr>
          <w:noProof/>
        </w:rPr>
        <w:t>4</w:t>
      </w:r>
      <w:r>
        <w:rPr>
          <w:noProof/>
        </w:rPr>
        <w:fldChar w:fldCharType="end"/>
      </w:r>
      <w:r>
        <w:t xml:space="preserve">: (a) For mobility-selected ammonium </w:t>
      </w:r>
      <w:proofErr w:type="spellStart"/>
      <w:r>
        <w:t>sulfate</w:t>
      </w:r>
      <w:proofErr w:type="spellEnd"/>
      <w:r>
        <w:t xml:space="preserve"> aerosol, the variation in the weighted merit function with the ratio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Merit function distributions </w:t>
      </w:r>
      <w:proofErr w:type="gramStart"/>
      <w:r>
        <w:t>are shown</w:t>
      </w:r>
      <w:proofErr w:type="gramEnd"/>
      <w:r>
        <w:t xml:space="preserve"> for calculations using the 405-nm data only, 658-nm data only, and the mean merit function for both spectroscopy wavelengths. (b) The correlation between the measured and modelled </w:t>
      </w:r>
      <w:r w:rsidRPr="00AF12F8">
        <w:rPr>
          <w:i/>
        </w:rPr>
        <w:sym w:font="Symbol" w:char="F073"/>
      </w:r>
      <w:proofErr w:type="spellStart"/>
      <w:r w:rsidRPr="00AF12F8">
        <w:rPr>
          <w:vertAlign w:val="subscript"/>
        </w:rPr>
        <w:t>ext</w:t>
      </w:r>
      <w:proofErr w:type="spellEnd"/>
      <w:r>
        <w:t xml:space="preserve">, with model calculations using the optimal values for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of 0.80 and 0.86 for the 405 and 658 nm spectroscopy wavelengths, respectively. Vertical error bars in (b) represent one standard deviation in the mean </w:t>
      </w:r>
      <w:r>
        <w:rPr>
          <w:i/>
        </w:rPr>
        <w:sym w:font="Symbol" w:char="F073"/>
      </w:r>
      <w:proofErr w:type="spellStart"/>
      <w:r>
        <w:rPr>
          <w:vertAlign w:val="subscript"/>
        </w:rPr>
        <w:t>ext</w:t>
      </w:r>
      <w:proofErr w:type="spellEnd"/>
      <w:r>
        <w:rPr>
          <w:vertAlign w:val="subscript"/>
        </w:rPr>
        <w:softHyphen/>
        <w:t>_meas</w:t>
      </w:r>
      <w:r>
        <w:t xml:space="preserve">. Calculations of </w:t>
      </w:r>
      <w:r>
        <w:rPr>
          <w:i/>
        </w:rPr>
        <w:sym w:font="Symbol" w:char="F073"/>
      </w:r>
      <w:proofErr w:type="spellStart"/>
      <w:r>
        <w:rPr>
          <w:vertAlign w:val="subscript"/>
        </w:rPr>
        <w:t>ext_model</w:t>
      </w:r>
      <w:proofErr w:type="spellEnd"/>
      <w:r>
        <w:t xml:space="preserve"> used the literature values of refractive index reported by Toon </w:t>
      </w:r>
      <w:r>
        <w:rPr>
          <w:i/>
        </w:rPr>
        <w:t>et al</w:t>
      </w:r>
      <w:r>
        <w:t>. for ammonium sulfate.</w:t>
      </w:r>
      <w:r>
        <w:fldChar w:fldCharType="begin" w:fldLock="1"/>
      </w:r>
      <w:r w:rsidR="000D5AA0">
        <w:instrText>ADDIN CSL_CITATION {"citationItems":[{"id":"ITEM-1","itemData":{"DOI":"10.1029/JC081i033p05733","ISBN":"0148-0227","ISSN":"01480227","abstract":"An investigation is conducted of problems which are related to a use of measured optical constants in the simulation of the optical constants of real atmospheric aerosols. The techniques of measuring optical constants are discussed, taking into account transmission measurements through homogeneous and inhomogeneous materials, the immersion of a material in a liquid of a known refractive index, the consideration of the minimum deviation angle of prism measurement, the interference of multiply reflected light, reflectivity measurements, and aspects of mathematical analysis. Graphs show the real and the imaginary part of the refractive index as a function of wavelength for aluminum oxide, NaCl, and ammonium sulfate. Tables are provided for the dispersion parameters and the optical constants.","author":[{"dropping-particle":"","family":"Toon","given":"Owen B.","non-dropping-particle":"","parse-names":false,"suffix":""},{"dropping-particle":"","family":"Pollack","given":"James B.","non-dropping-particle":"","parse-names":false,"suffix":""},{"dropping-particle":"","family":"Khare","given":"Bishun N.","non-dropping-particle":"","parse-names":false,"suffix":""}],"container-title":"Journal of Geophysical Research","id":"ITEM-1","issue":"33","issued":{"date-parts":[["1976","11","20"]]},"page":"5733-5748","title":"The optical constants of several atmospheric aerosol species: Ammonium sulfate, aluminum oxide, and sodium chloride","type":"article-journal","volume":"81"},"uris":["http://www.mendeley.com/documents/?uuid=291858c1-397d-4742-9c6e-9f9f3c066f6f"]}],"mendeley":{"formattedCitation":"&lt;sup&gt;15&lt;/sup&gt;","plainTextFormattedCitation":"15","previouslyFormattedCitation":"&lt;sup&gt;15&lt;/sup&gt;"},"properties":{"noteIndex":0},"schema":"https://github.com/citation-style-language/schema/raw/master/csl-citation.json"}</w:instrText>
      </w:r>
      <w:r>
        <w:fldChar w:fldCharType="separate"/>
      </w:r>
      <w:r w:rsidR="000D5AA0" w:rsidRPr="000D5AA0">
        <w:rPr>
          <w:noProof/>
          <w:vertAlign w:val="superscript"/>
        </w:rPr>
        <w:t>15</w:t>
      </w:r>
      <w:r>
        <w:fldChar w:fldCharType="end"/>
      </w:r>
    </w:p>
    <w:p w14:paraId="51034599" w14:textId="0591F127" w:rsidR="005A13CB" w:rsidRDefault="005A13CB">
      <w:pPr>
        <w:spacing w:before="0" w:after="160" w:line="259" w:lineRule="auto"/>
        <w:jc w:val="left"/>
      </w:pPr>
      <w:r>
        <w:br w:type="page"/>
      </w:r>
    </w:p>
    <w:p w14:paraId="1D77B598" w14:textId="50152030" w:rsidR="005A13CB" w:rsidRDefault="005A13CB" w:rsidP="005A13CB">
      <w:pPr>
        <w:pStyle w:val="Heading1"/>
        <w:rPr>
          <w:noProof/>
          <w:lang w:eastAsia="en-GB"/>
        </w:rPr>
      </w:pPr>
      <w:bookmarkStart w:id="10" w:name="_Toc33176025"/>
      <w:r>
        <w:lastRenderedPageBreak/>
        <w:t>S7</w:t>
      </w:r>
      <w:r w:rsidRPr="00626BD6">
        <w:t xml:space="preserve">. </w:t>
      </w:r>
      <w:r>
        <w:t>Sensitivity in PAS-measured absorption coefficients</w:t>
      </w:r>
      <w:bookmarkEnd w:id="10"/>
    </w:p>
    <w:p w14:paraId="4C1ED1CF" w14:textId="70FE37AF" w:rsidR="002A6506" w:rsidRDefault="00AD4094" w:rsidP="002A6506">
      <w:pPr>
        <w:keepNext/>
        <w:jc w:val="center"/>
      </w:pPr>
      <w:r>
        <w:rPr>
          <w:noProof/>
          <w:lang w:eastAsia="en-GB"/>
        </w:rPr>
        <w:drawing>
          <wp:inline distT="0" distB="0" distL="0" distR="0" wp14:anchorId="56151CDC" wp14:editId="3402F859">
            <wp:extent cx="5407660" cy="40239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4023995"/>
                    </a:xfrm>
                    <a:prstGeom prst="rect">
                      <a:avLst/>
                    </a:prstGeom>
                    <a:noFill/>
                  </pic:spPr>
                </pic:pic>
              </a:graphicData>
            </a:graphic>
          </wp:inline>
        </w:drawing>
      </w:r>
    </w:p>
    <w:p w14:paraId="5C73999D" w14:textId="258BAE02" w:rsidR="005A13CB" w:rsidRDefault="005F0E1A" w:rsidP="002A6506">
      <w:pPr>
        <w:pStyle w:val="Caption"/>
      </w:pPr>
      <w:bookmarkStart w:id="11" w:name="_Ref8476866"/>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5</w:t>
      </w:r>
      <w:r w:rsidR="00D9155D">
        <w:rPr>
          <w:noProof/>
        </w:rPr>
        <w:fldChar w:fldCharType="end"/>
      </w:r>
      <w:bookmarkEnd w:id="11"/>
      <w:r w:rsidR="002A6506">
        <w:t xml:space="preserve">. </w:t>
      </w:r>
      <w:r w:rsidR="00983D2B">
        <w:t xml:space="preserve">The measured absorption coefficient (not corrected for the laser-window interaction background) over time for the (a) 405-nm, and (b) 658-nm PAS channels for when non-absorbing ammonium </w:t>
      </w:r>
      <w:proofErr w:type="spellStart"/>
      <w:r w:rsidR="00983D2B">
        <w:t>sulfate</w:t>
      </w:r>
      <w:proofErr w:type="spellEnd"/>
      <w:r w:rsidR="00983D2B">
        <w:t xml:space="preserve"> aerosols are passed through the spectrometers during a data set for which the mobility-selected diameter is varied from 120 to 340 nm in 20 nm intervals. The 405-nm PAS measurements used an optimised photoacoustic cell that is insensitive to laser-window interactions, while the 658-nm PAS measurements used</w:t>
      </w:r>
      <w:r w:rsidR="00900677">
        <w:t xml:space="preserve"> the Lack </w:t>
      </w:r>
      <w:r w:rsidR="00983D2B">
        <w:t xml:space="preserve">cell that is sensitive to laser scattering/absorption at the cell windows. The measured </w:t>
      </w:r>
      <w:r w:rsidR="00983D2B">
        <w:rPr>
          <w:i/>
        </w:rPr>
        <w:sym w:font="Symbol" w:char="F061"/>
      </w:r>
      <w:r w:rsidR="00983D2B" w:rsidRPr="00900677">
        <w:rPr>
          <w:vertAlign w:val="subscript"/>
        </w:rPr>
        <w:t>abs</w:t>
      </w:r>
      <w:r w:rsidR="00983D2B">
        <w:t xml:space="preserve"> is invariant with changes in </w:t>
      </w:r>
      <w:proofErr w:type="spellStart"/>
      <w:r w:rsidR="00983D2B">
        <w:rPr>
          <w:i/>
        </w:rPr>
        <w:t>D</w:t>
      </w:r>
      <w:r w:rsidR="00983D2B">
        <w:rPr>
          <w:vertAlign w:val="subscript"/>
        </w:rPr>
        <w:t>select</w:t>
      </w:r>
      <w:proofErr w:type="spellEnd"/>
      <w:r w:rsidR="00983D2B">
        <w:t xml:space="preserve"> because ammonium </w:t>
      </w:r>
      <w:proofErr w:type="spellStart"/>
      <w:r w:rsidR="00983D2B">
        <w:t>sulfate</w:t>
      </w:r>
      <w:proofErr w:type="spellEnd"/>
      <w:r w:rsidR="00983D2B">
        <w:t xml:space="preserve"> is non-absorbing and, therefore, there </w:t>
      </w:r>
      <w:r w:rsidR="00900677">
        <w:t>is no sensitivity to the presence</w:t>
      </w:r>
      <w:r w:rsidR="00983D2B">
        <w:t xml:space="preserve"> of ammonium </w:t>
      </w:r>
      <w:proofErr w:type="spellStart"/>
      <w:r w:rsidR="00983D2B">
        <w:t>sulfate</w:t>
      </w:r>
      <w:proofErr w:type="spellEnd"/>
      <w:r w:rsidR="00983D2B">
        <w:t xml:space="preserve">. The non-zero </w:t>
      </w:r>
      <w:r w:rsidR="00983D2B">
        <w:rPr>
          <w:i/>
        </w:rPr>
        <w:sym w:font="Symbol" w:char="F061"/>
      </w:r>
      <w:r w:rsidR="00983D2B">
        <w:rPr>
          <w:vertAlign w:val="subscript"/>
        </w:rPr>
        <w:t>abs</w:t>
      </w:r>
      <w:r w:rsidR="00983D2B">
        <w:t xml:space="preserve"> for the </w:t>
      </w:r>
      <w:r w:rsidR="0091252C">
        <w:t>658-nm channel arises from laser-window interactions only.</w:t>
      </w:r>
    </w:p>
    <w:p w14:paraId="7A9F3BBE" w14:textId="77777777" w:rsidR="005A13CB" w:rsidRDefault="005A13CB">
      <w:pPr>
        <w:spacing w:before="0" w:after="160" w:line="259" w:lineRule="auto"/>
        <w:jc w:val="left"/>
        <w:rPr>
          <w:iCs/>
          <w:color w:val="000000" w:themeColor="text1"/>
          <w:szCs w:val="18"/>
        </w:rPr>
      </w:pPr>
      <w:r>
        <w:br w:type="page"/>
      </w:r>
    </w:p>
    <w:p w14:paraId="426E8907" w14:textId="31E00821" w:rsidR="002A6506" w:rsidRPr="00983D2B" w:rsidRDefault="005A13CB" w:rsidP="005A13CB">
      <w:pPr>
        <w:pStyle w:val="Heading1"/>
      </w:pPr>
      <w:bookmarkStart w:id="12" w:name="_Toc33176026"/>
      <w:r>
        <w:lastRenderedPageBreak/>
        <w:t>S8</w:t>
      </w:r>
      <w:r w:rsidRPr="00626BD6">
        <w:t xml:space="preserve">. </w:t>
      </w:r>
      <w:r>
        <w:t>Figure of merits for example refractive index retrievals</w:t>
      </w:r>
      <w:bookmarkEnd w:id="12"/>
    </w:p>
    <w:p w14:paraId="387F4F75" w14:textId="77777777" w:rsidR="00045F9D" w:rsidRDefault="007A3092" w:rsidP="00045F9D">
      <w:pPr>
        <w:keepNext/>
        <w:jc w:val="center"/>
      </w:pPr>
      <w:r>
        <w:rPr>
          <w:noProof/>
          <w:lang w:eastAsia="en-GB"/>
        </w:rPr>
        <w:drawing>
          <wp:inline distT="0" distB="0" distL="0" distR="0" wp14:anchorId="56588BDD" wp14:editId="184A4C01">
            <wp:extent cx="3600000" cy="5996571"/>
            <wp:effectExtent l="0" t="0" r="635" b="4445"/>
            <wp:docPr id="9" name="Picture 9" descr="C:\Users\mc628\Local Documents\1 UoE - Met Office Research\1_EXPERIMENTAL\size_selection_experiments\AS\20190226\20190226 analysis_run2\20190302_084756__fittingRI_rdry\20190302_084756_MF_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628\Local Documents\1 UoE - Met Office Research\1_EXPERIMENTAL\size_selection_experiments\AS\20190226\20190226 analysis_run2\20190302_084756__fittingRI_rdry\20190302_084756_MF_plo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5996571"/>
                    </a:xfrm>
                    <a:prstGeom prst="rect">
                      <a:avLst/>
                    </a:prstGeom>
                    <a:noFill/>
                    <a:ln>
                      <a:noFill/>
                    </a:ln>
                  </pic:spPr>
                </pic:pic>
              </a:graphicData>
            </a:graphic>
          </wp:inline>
        </w:drawing>
      </w:r>
    </w:p>
    <w:p w14:paraId="7C995665" w14:textId="0ACB1979" w:rsidR="007A3092" w:rsidRPr="00E23C4F" w:rsidRDefault="005F0E1A" w:rsidP="00045F9D">
      <w:pPr>
        <w:pStyle w:val="Caption"/>
      </w:pPr>
      <w:bookmarkStart w:id="13" w:name="_Ref8649214"/>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6</w:t>
      </w:r>
      <w:r w:rsidR="00D9155D">
        <w:rPr>
          <w:noProof/>
        </w:rPr>
        <w:fldChar w:fldCharType="end"/>
      </w:r>
      <w:bookmarkEnd w:id="13"/>
      <w:r w:rsidR="00045F9D">
        <w:t xml:space="preserve">. For a representative AS data set where cross sections </w:t>
      </w:r>
      <w:proofErr w:type="gramStart"/>
      <w:r w:rsidR="00045F9D">
        <w:t>were measured</w:t>
      </w:r>
      <w:proofErr w:type="gramEnd"/>
      <w:r w:rsidR="00045F9D">
        <w:t xml:space="preserve"> at the 658 nm wavelength, the variation is the merit functions (a)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ext</m:t>
            </m:r>
          </m:sub>
          <m:sup>
            <m:r>
              <w:rPr>
                <w:rFonts w:ascii="Cambria Math" w:hAnsi="Cambria Math"/>
                <w:noProof/>
                <w:lang w:eastAsia="en-GB"/>
              </w:rPr>
              <m:t>2</m:t>
            </m:r>
          </m:sup>
        </m:sSubSup>
      </m:oMath>
      <w:r w:rsidR="00783612">
        <w:rPr>
          <w:rFonts w:eastAsiaTheme="minorEastAsia"/>
          <w:lang w:eastAsia="en-GB"/>
        </w:rPr>
        <w:t xml:space="preserve"> from fitting the extinction data only, (b)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abs</m:t>
            </m:r>
          </m:sub>
          <m:sup>
            <m:r>
              <w:rPr>
                <w:rFonts w:ascii="Cambria Math" w:hAnsi="Cambria Math"/>
                <w:noProof/>
                <w:lang w:eastAsia="en-GB"/>
              </w:rPr>
              <m:t>2</m:t>
            </m:r>
          </m:sup>
        </m:sSubSup>
      </m:oMath>
      <w:r w:rsidR="00783612">
        <w:rPr>
          <w:rFonts w:eastAsiaTheme="minorEastAsia"/>
          <w:lang w:eastAsia="en-GB"/>
        </w:rPr>
        <w:t xml:space="preserve"> from fitting the absorption data only, and (c)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total</m:t>
            </m:r>
          </m:sub>
          <m:sup>
            <m:r>
              <w:rPr>
                <w:rFonts w:ascii="Cambria Math" w:hAnsi="Cambria Math"/>
                <w:noProof/>
                <w:lang w:eastAsia="en-GB"/>
              </w:rPr>
              <m:t>2</m:t>
            </m:r>
          </m:sup>
        </m:sSubSup>
      </m:oMath>
      <w:r w:rsidR="00783612">
        <w:rPr>
          <w:rFonts w:eastAsiaTheme="minorEastAsia"/>
          <w:lang w:eastAsia="en-GB"/>
        </w:rPr>
        <w:t xml:space="preserve"> from fitting both extinction and absorption. The filled red circle represents the minimum locations in the corresponding merit functions.</w:t>
      </w:r>
      <w:r w:rsidR="00F45775">
        <w:rPr>
          <w:rFonts w:eastAsiaTheme="minorEastAsia"/>
          <w:lang w:eastAsia="en-GB"/>
        </w:rPr>
        <w:t xml:space="preserve"> These merit function plots show the results of an initial grid search where </w:t>
      </w:r>
      <w:r w:rsidR="00F45775">
        <w:rPr>
          <w:rFonts w:eastAsiaTheme="minorEastAsia"/>
          <w:i/>
          <w:lang w:eastAsia="en-GB"/>
        </w:rPr>
        <w:t>k</w:t>
      </w:r>
      <w:r w:rsidR="00F45775">
        <w:rPr>
          <w:rFonts w:eastAsiaTheme="minorEastAsia"/>
          <w:lang w:eastAsia="en-GB"/>
        </w:rPr>
        <w:t xml:space="preserve"> was varied with a coarse step size of </w:t>
      </w:r>
      <w:r w:rsidR="00F45775">
        <w:rPr>
          <w:rFonts w:eastAsiaTheme="minorEastAsia"/>
          <w:lang w:eastAsia="en-GB"/>
        </w:rPr>
        <w:sym w:font="Symbol" w:char="F044"/>
      </w:r>
      <w:r w:rsidR="00F45775">
        <w:rPr>
          <w:rFonts w:eastAsiaTheme="minorEastAsia"/>
          <w:i/>
          <w:lang w:eastAsia="en-GB"/>
        </w:rPr>
        <w:t>k</w:t>
      </w:r>
      <w:r w:rsidR="00F45775">
        <w:rPr>
          <w:rFonts w:eastAsiaTheme="minorEastAsia"/>
          <w:lang w:eastAsia="en-GB"/>
        </w:rPr>
        <w:t xml:space="preserve"> = 0.005</w:t>
      </w:r>
      <w:r w:rsidR="009C2394">
        <w:rPr>
          <w:rFonts w:eastAsiaTheme="minorEastAsia"/>
          <w:lang w:eastAsia="en-GB"/>
        </w:rPr>
        <w:t>.</w:t>
      </w:r>
      <w:r w:rsidR="00E23C4F">
        <w:rPr>
          <w:rFonts w:eastAsiaTheme="minorEastAsia"/>
          <w:lang w:eastAsia="en-GB"/>
        </w:rPr>
        <w:t xml:space="preserve"> This step size </w:t>
      </w:r>
      <w:proofErr w:type="gramStart"/>
      <w:r w:rsidR="00E23C4F">
        <w:rPr>
          <w:rFonts w:eastAsiaTheme="minorEastAsia"/>
          <w:lang w:eastAsia="en-GB"/>
        </w:rPr>
        <w:t>was chosen</w:t>
      </w:r>
      <w:proofErr w:type="gramEnd"/>
      <w:r w:rsidR="00E23C4F">
        <w:rPr>
          <w:rFonts w:eastAsiaTheme="minorEastAsia"/>
          <w:lang w:eastAsia="en-GB"/>
        </w:rPr>
        <w:t xml:space="preserve"> to calculate the merit function over a broad </w:t>
      </w:r>
      <w:r w:rsidR="00E23C4F">
        <w:rPr>
          <w:rFonts w:eastAsiaTheme="minorEastAsia"/>
          <w:i/>
          <w:lang w:eastAsia="en-GB"/>
        </w:rPr>
        <w:t>k</w:t>
      </w:r>
      <w:r w:rsidR="00E23C4F">
        <w:rPr>
          <w:rFonts w:eastAsiaTheme="minorEastAsia"/>
          <w:lang w:eastAsia="en-GB"/>
        </w:rPr>
        <w:t xml:space="preserve"> range that clearly demonstrated the minimum in </w:t>
      </w:r>
      <w:r w:rsidR="00E23C4F">
        <w:rPr>
          <w:rFonts w:eastAsiaTheme="minorEastAsia"/>
          <w:i/>
          <w:lang w:eastAsia="en-GB"/>
        </w:rPr>
        <w:t>k</w:t>
      </w:r>
      <w:r w:rsidR="00E23C4F">
        <w:rPr>
          <w:rFonts w:eastAsiaTheme="minorEastAsia"/>
          <w:lang w:eastAsia="en-GB"/>
        </w:rPr>
        <w:t>.</w:t>
      </w:r>
    </w:p>
    <w:p w14:paraId="3BCF42C8" w14:textId="77777777" w:rsidR="007A3092" w:rsidRDefault="007A3092" w:rsidP="007A3092">
      <w:pPr>
        <w:jc w:val="center"/>
      </w:pPr>
    </w:p>
    <w:p w14:paraId="6C7C5DCF" w14:textId="77777777" w:rsidR="00A91D6A" w:rsidRDefault="007A3092" w:rsidP="00A91D6A">
      <w:pPr>
        <w:keepNext/>
        <w:jc w:val="center"/>
      </w:pPr>
      <w:r>
        <w:rPr>
          <w:noProof/>
          <w:lang w:eastAsia="en-GB"/>
        </w:rPr>
        <w:lastRenderedPageBreak/>
        <w:drawing>
          <wp:inline distT="0" distB="0" distL="0" distR="0" wp14:anchorId="5E1A4B38" wp14:editId="31C48B45">
            <wp:extent cx="3600000" cy="6000000"/>
            <wp:effectExtent l="0" t="0" r="635" b="1270"/>
            <wp:docPr id="16" name="Picture 16" descr="C:\Users\mc628\Local Documents\1 UoE - Met Office Research\1_EXPERIMENTAL\size_selection_experiments\Nig\20190311\20190311 analysis_run1\20190312_214411__fittingRI_rdry\20190312_214411_MF_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628\Local Documents\1 UoE - Met Office Research\1_EXPERIMENTAL\size_selection_experiments\Nig\20190311\20190311 analysis_run1\20190312_214411__fittingRI_rdry\20190312_214411_MF_plot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6000000"/>
                    </a:xfrm>
                    <a:prstGeom prst="rect">
                      <a:avLst/>
                    </a:prstGeom>
                    <a:noFill/>
                    <a:ln>
                      <a:noFill/>
                    </a:ln>
                  </pic:spPr>
                </pic:pic>
              </a:graphicData>
            </a:graphic>
          </wp:inline>
        </w:drawing>
      </w:r>
    </w:p>
    <w:p w14:paraId="7F01BAFE" w14:textId="6FDA6289" w:rsidR="001871B9" w:rsidRDefault="005F0E1A" w:rsidP="00C10B3F">
      <w:pPr>
        <w:pStyle w:val="Caption"/>
        <w:rPr>
          <w:rFonts w:eastAsiaTheme="minorEastAsia"/>
          <w:lang w:eastAsia="en-GB"/>
        </w:rPr>
      </w:pPr>
      <w:bookmarkStart w:id="14" w:name="_Ref8984708"/>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7</w:t>
      </w:r>
      <w:r w:rsidR="00D9155D">
        <w:rPr>
          <w:noProof/>
        </w:rPr>
        <w:fldChar w:fldCharType="end"/>
      </w:r>
      <w:bookmarkEnd w:id="14"/>
      <w:r w:rsidR="00A91D6A">
        <w:t xml:space="preserve">. </w:t>
      </w:r>
      <w:r w:rsidR="001865C3">
        <w:t xml:space="preserve">For a representative nigrosin data set where cross sections </w:t>
      </w:r>
      <w:proofErr w:type="gramStart"/>
      <w:r w:rsidR="001865C3">
        <w:t>were measured</w:t>
      </w:r>
      <w:proofErr w:type="gramEnd"/>
      <w:r w:rsidR="001865C3">
        <w:t xml:space="preserve"> at the 658 nm wavelength, the variation is the merit functions (a)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ext</m:t>
            </m:r>
          </m:sub>
          <m:sup>
            <m:r>
              <w:rPr>
                <w:rFonts w:ascii="Cambria Math" w:hAnsi="Cambria Math"/>
                <w:noProof/>
                <w:lang w:eastAsia="en-GB"/>
              </w:rPr>
              <m:t>2</m:t>
            </m:r>
          </m:sup>
        </m:sSubSup>
      </m:oMath>
      <w:r w:rsidR="001865C3">
        <w:rPr>
          <w:rFonts w:eastAsiaTheme="minorEastAsia"/>
          <w:lang w:eastAsia="en-GB"/>
        </w:rPr>
        <w:t xml:space="preserve"> from fitting the extinction data only, (b)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abs</m:t>
            </m:r>
          </m:sub>
          <m:sup>
            <m:r>
              <w:rPr>
                <w:rFonts w:ascii="Cambria Math" w:hAnsi="Cambria Math"/>
                <w:noProof/>
                <w:lang w:eastAsia="en-GB"/>
              </w:rPr>
              <m:t>2</m:t>
            </m:r>
          </m:sup>
        </m:sSubSup>
      </m:oMath>
      <w:r w:rsidR="001865C3">
        <w:rPr>
          <w:rFonts w:eastAsiaTheme="minorEastAsia"/>
          <w:lang w:eastAsia="en-GB"/>
        </w:rPr>
        <w:t xml:space="preserve"> from fitting the absorption data only, and (c) </w:t>
      </w:r>
      <m:oMath>
        <m:sSubSup>
          <m:sSubSupPr>
            <m:ctrlPr>
              <w:rPr>
                <w:rFonts w:ascii="Cambria Math" w:hAnsi="Cambria Math"/>
                <w:i/>
                <w:noProof/>
                <w:lang w:eastAsia="en-GB"/>
              </w:rPr>
            </m:ctrlPr>
          </m:sSubSupPr>
          <m:e>
            <m:r>
              <w:rPr>
                <w:rFonts w:ascii="Cambria Math" w:hAnsi="Cambria Math"/>
                <w:i/>
                <w:noProof/>
                <w:lang w:eastAsia="en-GB"/>
              </w:rPr>
              <w:sym w:font="Symbol" w:char="F063"/>
            </m:r>
          </m:e>
          <m:sub>
            <m:r>
              <m:rPr>
                <m:sty m:val="p"/>
              </m:rPr>
              <w:rPr>
                <w:rFonts w:ascii="Cambria Math" w:hAnsi="Cambria Math"/>
                <w:noProof/>
                <w:lang w:eastAsia="en-GB"/>
              </w:rPr>
              <m:t>total</m:t>
            </m:r>
          </m:sub>
          <m:sup>
            <m:r>
              <w:rPr>
                <w:rFonts w:ascii="Cambria Math" w:hAnsi="Cambria Math"/>
                <w:noProof/>
                <w:lang w:eastAsia="en-GB"/>
              </w:rPr>
              <m:t>2</m:t>
            </m:r>
          </m:sup>
        </m:sSubSup>
      </m:oMath>
      <w:r w:rsidR="001865C3">
        <w:rPr>
          <w:rFonts w:eastAsiaTheme="minorEastAsia"/>
          <w:lang w:eastAsia="en-GB"/>
        </w:rPr>
        <w:t xml:space="preserve"> from fitting both extinction and absorption. The filled red circle represents the minimum locations in the corresponding merit functions.</w:t>
      </w:r>
    </w:p>
    <w:p w14:paraId="7AA4AAAF" w14:textId="1A34ED78" w:rsidR="005A13CB" w:rsidRDefault="005A13CB">
      <w:pPr>
        <w:spacing w:before="0" w:after="160" w:line="259" w:lineRule="auto"/>
        <w:jc w:val="left"/>
        <w:rPr>
          <w:lang w:eastAsia="en-GB"/>
        </w:rPr>
      </w:pPr>
      <w:r>
        <w:rPr>
          <w:lang w:eastAsia="en-GB"/>
        </w:rPr>
        <w:br w:type="page"/>
      </w:r>
    </w:p>
    <w:p w14:paraId="7D402600" w14:textId="2919EE60" w:rsidR="005A13CB" w:rsidRDefault="005A13CB" w:rsidP="005A13CB">
      <w:pPr>
        <w:pStyle w:val="Heading1"/>
        <w:rPr>
          <w:noProof/>
          <w:lang w:eastAsia="en-GB"/>
        </w:rPr>
      </w:pPr>
      <w:bookmarkStart w:id="15" w:name="_Toc33176027"/>
      <w:r>
        <w:lastRenderedPageBreak/>
        <w:t>S9</w:t>
      </w:r>
      <w:r w:rsidRPr="00626BD6">
        <w:t xml:space="preserve">. </w:t>
      </w:r>
      <w:r>
        <w:t>Effective density for AS-</w:t>
      </w:r>
      <w:proofErr w:type="spellStart"/>
      <w:r>
        <w:t>nigrosin</w:t>
      </w:r>
      <w:proofErr w:type="spellEnd"/>
      <w:r>
        <w:t xml:space="preserve"> mixtures</w:t>
      </w:r>
      <w:bookmarkEnd w:id="15"/>
    </w:p>
    <w:p w14:paraId="7B86CBAA" w14:textId="77777777" w:rsidR="005A13CB" w:rsidRPr="005A13CB" w:rsidRDefault="005A13CB" w:rsidP="005A13CB">
      <w:pPr>
        <w:rPr>
          <w:lang w:eastAsia="en-GB"/>
        </w:rPr>
      </w:pPr>
    </w:p>
    <w:p w14:paraId="10E97ABB" w14:textId="43E53DCC" w:rsidR="009364FA" w:rsidRDefault="00710A80" w:rsidP="009364FA">
      <w:pPr>
        <w:keepNext/>
        <w:jc w:val="center"/>
      </w:pPr>
      <w:r>
        <w:rPr>
          <w:noProof/>
          <w:lang w:eastAsia="en-GB"/>
        </w:rPr>
        <w:drawing>
          <wp:inline distT="0" distB="0" distL="0" distR="0" wp14:anchorId="5D48E139" wp14:editId="6A980050">
            <wp:extent cx="3600000" cy="28619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861975"/>
                    </a:xfrm>
                    <a:prstGeom prst="rect">
                      <a:avLst/>
                    </a:prstGeom>
                    <a:noFill/>
                  </pic:spPr>
                </pic:pic>
              </a:graphicData>
            </a:graphic>
          </wp:inline>
        </w:drawing>
      </w:r>
    </w:p>
    <w:p w14:paraId="342BF1C4" w14:textId="300DF7BD" w:rsidR="00CA0100" w:rsidRDefault="005F0E1A" w:rsidP="009364FA">
      <w:pPr>
        <w:pStyle w:val="Caption"/>
      </w:pPr>
      <w:bookmarkStart w:id="16" w:name="_Ref11420344"/>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8</w:t>
      </w:r>
      <w:r w:rsidR="00D9155D">
        <w:rPr>
          <w:noProof/>
        </w:rPr>
        <w:fldChar w:fldCharType="end"/>
      </w:r>
      <w:bookmarkEnd w:id="16"/>
      <w:r w:rsidR="009364FA">
        <w:t>.</w:t>
      </w:r>
      <w:r w:rsidR="00AB4800">
        <w:t xml:space="preserve"> </w:t>
      </w:r>
      <w:r w:rsidR="00C10B3F">
        <w:t xml:space="preserve">The measured values of </w:t>
      </w:r>
      <w:r w:rsidR="00C10B3F">
        <w:rPr>
          <w:i/>
        </w:rPr>
        <w:sym w:font="Symbol" w:char="F072"/>
      </w:r>
      <w:r w:rsidR="00C10B3F">
        <w:rPr>
          <w:i/>
          <w:vertAlign w:val="subscript"/>
        </w:rPr>
        <w:t>e</w:t>
      </w:r>
      <w:r w:rsidR="00C10B3F">
        <w:t xml:space="preserve"> from </w:t>
      </w:r>
      <w:proofErr w:type="spellStart"/>
      <w:r w:rsidR="00C10B3F">
        <w:t>Radney</w:t>
      </w:r>
      <w:proofErr w:type="spellEnd"/>
      <w:r w:rsidR="00C10B3F">
        <w:t xml:space="preserve"> and Zangmeister</w:t>
      </w:r>
      <w:r w:rsidR="00C10B3F">
        <w:fldChar w:fldCharType="begin" w:fldLock="1"/>
      </w:r>
      <w:r w:rsidR="000D5AA0">
        <w:instrText>ADDIN CSL_CITATION {"citationItems":[{"id":"ITEM-1","itemData":{"DOI":"10.1016/j.jqsrt.2018.08.021","ISSN":"00224073","abstract":"Refractive index retrievals (also termed inverse Mie methods or optical closure) have seen considerable use as a method to extract the refractive index of aerosol particles from measured optical properties. Retrievals of an aerosol refractive index use one of two primary methods: 1) measurements of the extinction, absorption and/or scattering cross-sections or efficiencies of size- (and mass-) selected particles for mass-mobility refractive index retrievals (MM-RIR) or 2) measurements of aerosol size distributions and a combination of the extinction, absorption and/or scattering coefficients for full distribution refractive index retrievals (FD-RIR). These two methods were compared in this study using pure and mixtures of ammonium sulfate (AS) and nigrosin aerosol, which constitute a non-absorbing and absorbing material, respectively. The results indicate that the retrieved complex refractive index values are correlated to the amount of nigrosin in the aerosol but can be highly variable with differences in the real and imaginary components that range between –0.002 and 0.216 and –0.013 and 0.086; the average and standard deviation of the differences are 0.046 ± 0.046 and 0.023 ± 0.033, respectively. Forward calculation of the optical properties yielded average absolute values of the relative deviation of ≈ 15% and ≈ 26% for FD-RIR data using the MM-RIR values and contrariwise. The range of retrieved refractive indices were used to calculate the normalized global average aerosol radiative forcing of a model accumulation mode remote continental aerosol. Deviations using the refractive indices of the pure materials range from 9% to 32% for AS and 27% to 45% for nigrosin. For mixtures of nigrosin and AS, deviations were all &gt; 100% and not always able to capture the correct direction of the forcing; i.e., positive versus negative.","author":[{"dropping-particle":"","family":"Radney","given":"James G.","non-dropping-particle":"","parse-names":false,"suffix":""},{"dropping-particle":"","family":"Zangmeister","given":"Christopher D.","non-dropping-particle":"","parse-names":false,"suffix":""}],"container-title":"Journal of Quantitative Spectroscopy and Radiative Transfer","id":"ITEM-1","issued":{"date-parts":[["2018","11"]]},"page":"52-66","publisher":"Elsevier Ltd","title":"Comparing aerosol refractive indices retrieved from full distribution and size- and mass-selected measurements","type":"article-journal","volume":"220"},"uris":["http://www.mendeley.com/documents/?uuid=a77567a6-f807-4a85-a315-8ba510e64038"]}],"mendeley":{"formattedCitation":"&lt;sup&gt;16&lt;/sup&gt;","plainTextFormattedCitation":"16","previouslyFormattedCitation":"&lt;sup&gt;16&lt;/sup&gt;"},"properties":{"noteIndex":0},"schema":"https://github.com/citation-style-language/schema/raw/master/csl-citation.json"}</w:instrText>
      </w:r>
      <w:r w:rsidR="00C10B3F">
        <w:fldChar w:fldCharType="separate"/>
      </w:r>
      <w:r w:rsidR="000D5AA0" w:rsidRPr="000D5AA0">
        <w:rPr>
          <w:noProof/>
          <w:vertAlign w:val="superscript"/>
        </w:rPr>
        <w:t>16</w:t>
      </w:r>
      <w:r w:rsidR="00C10B3F">
        <w:fldChar w:fldCharType="end"/>
      </w:r>
      <w:r w:rsidR="00C10B3F">
        <w:t xml:space="preserve"> for internally-mixed AS-nigrosin aerosols, with variation in the square-root of the nigrosin mass fraction. The </w:t>
      </w:r>
      <w:r w:rsidR="00710A80">
        <w:t>solid line represents the fit of a cubic polynomial to the measured data. See main text for details.</w:t>
      </w:r>
    </w:p>
    <w:p w14:paraId="051E57B1" w14:textId="62DAA141" w:rsidR="005A13CB" w:rsidRDefault="005A13CB">
      <w:pPr>
        <w:spacing w:before="0" w:after="160" w:line="259" w:lineRule="auto"/>
        <w:jc w:val="left"/>
      </w:pPr>
      <w:r>
        <w:br w:type="page"/>
      </w:r>
    </w:p>
    <w:p w14:paraId="78692648" w14:textId="41090164" w:rsidR="00870750" w:rsidRDefault="005A13CB" w:rsidP="005A13CB">
      <w:pPr>
        <w:pStyle w:val="Heading1"/>
      </w:pPr>
      <w:bookmarkStart w:id="17" w:name="_Toc33176028"/>
      <w:r>
        <w:lastRenderedPageBreak/>
        <w:t>S10</w:t>
      </w:r>
      <w:r w:rsidRPr="00626BD6">
        <w:t xml:space="preserve">. </w:t>
      </w:r>
      <w:r>
        <w:t xml:space="preserve">Parameterised variation in </w:t>
      </w:r>
      <w:r>
        <w:rPr>
          <w:i/>
        </w:rPr>
        <w:t>n</w:t>
      </w:r>
      <w:r>
        <w:t xml:space="preserve"> and </w:t>
      </w:r>
      <w:r>
        <w:rPr>
          <w:i/>
        </w:rPr>
        <w:t>k</w:t>
      </w:r>
      <w:r>
        <w:t xml:space="preserve"> with both wavelength and composition for internally-mixed AS</w:t>
      </w:r>
      <w:r>
        <w:noBreakHyphen/>
      </w:r>
      <w:proofErr w:type="spellStart"/>
      <w:r>
        <w:t>nigrosin</w:t>
      </w:r>
      <w:proofErr w:type="spellEnd"/>
      <w:r>
        <w:t xml:space="preserve"> mixtures</w:t>
      </w:r>
      <w:bookmarkEnd w:id="17"/>
    </w:p>
    <w:p w14:paraId="693046DD" w14:textId="77777777" w:rsidR="00870750" w:rsidRDefault="00870750" w:rsidP="00870750">
      <w:pPr>
        <w:keepNext/>
        <w:jc w:val="center"/>
      </w:pPr>
      <w:r>
        <w:rPr>
          <w:noProof/>
          <w:lang w:eastAsia="en-GB"/>
        </w:rPr>
        <w:drawing>
          <wp:inline distT="0" distB="0" distL="0" distR="0" wp14:anchorId="537E4A86" wp14:editId="66B697BF">
            <wp:extent cx="3585001" cy="537750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5001" cy="5377502"/>
                    </a:xfrm>
                    <a:prstGeom prst="rect">
                      <a:avLst/>
                    </a:prstGeom>
                  </pic:spPr>
                </pic:pic>
              </a:graphicData>
            </a:graphic>
          </wp:inline>
        </w:drawing>
      </w:r>
    </w:p>
    <w:p w14:paraId="7816D48C" w14:textId="104C3A1E" w:rsidR="00870750" w:rsidRDefault="005F0E1A" w:rsidP="00870750">
      <w:pPr>
        <w:pStyle w:val="Caption"/>
      </w:pPr>
      <w:bookmarkStart w:id="18" w:name="_Ref11680870"/>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9</w:t>
      </w:r>
      <w:r w:rsidR="00D9155D">
        <w:rPr>
          <w:noProof/>
        </w:rPr>
        <w:fldChar w:fldCharType="end"/>
      </w:r>
      <w:bookmarkEnd w:id="18"/>
      <w:r w:rsidR="00870750">
        <w:t>.</w:t>
      </w:r>
      <w:r w:rsidR="00734068">
        <w:t xml:space="preserve"> </w:t>
      </w:r>
      <w:r w:rsidR="00A8207B">
        <w:t>C</w:t>
      </w:r>
      <w:r w:rsidR="00734068">
        <w:t>ontour plot</w:t>
      </w:r>
      <w:r w:rsidR="00A8207B">
        <w:t>s</w:t>
      </w:r>
      <w:r w:rsidR="00734068">
        <w:t xml:space="preserve"> showing the predicted variation in </w:t>
      </w:r>
      <w:r w:rsidR="00A8207B">
        <w:t xml:space="preserve">(a) </w:t>
      </w:r>
      <w:r w:rsidR="00734068">
        <w:rPr>
          <w:i/>
        </w:rPr>
        <w:t>n</w:t>
      </w:r>
      <w:r w:rsidR="00734068">
        <w:rPr>
          <w:i/>
          <w:vertAlign w:val="subscript"/>
        </w:rPr>
        <w:t>e</w:t>
      </w:r>
      <w:r w:rsidR="00A8207B">
        <w:t xml:space="preserve"> and (b) </w:t>
      </w:r>
      <w:proofErr w:type="spellStart"/>
      <w:r w:rsidR="00A8207B">
        <w:rPr>
          <w:i/>
        </w:rPr>
        <w:t>k</w:t>
      </w:r>
      <w:r w:rsidR="00A8207B">
        <w:rPr>
          <w:i/>
          <w:vertAlign w:val="subscript"/>
        </w:rPr>
        <w:t>e</w:t>
      </w:r>
      <w:proofErr w:type="spellEnd"/>
      <w:r w:rsidR="00A8207B">
        <w:rPr>
          <w:i/>
        </w:rPr>
        <w:t xml:space="preserve"> </w:t>
      </w:r>
      <w:r w:rsidR="00734068">
        <w:t>with variation in both wavelength</w:t>
      </w:r>
      <w:r w:rsidR="00734068" w:rsidRPr="00734068">
        <w:t xml:space="preserve"> </w:t>
      </w:r>
      <w:r w:rsidR="00734068">
        <w:t>and nigrosin mass fraction for AS-nigrosin mixtures</w:t>
      </w:r>
      <w:r w:rsidR="00A8207B">
        <w:t xml:space="preserve">. The </w:t>
      </w:r>
      <w:r w:rsidR="00A8207B">
        <w:rPr>
          <w:i/>
        </w:rPr>
        <w:t>n</w:t>
      </w:r>
      <w:r w:rsidR="00A8207B">
        <w:rPr>
          <w:i/>
          <w:vertAlign w:val="subscript"/>
        </w:rPr>
        <w:t>e</w:t>
      </w:r>
      <w:r w:rsidR="00A8207B">
        <w:t xml:space="preserve"> is calculated using the molar refraction mixing rule in combination with the density parameterisation described in the main text, in combination with our Cauchy description of </w:t>
      </w:r>
      <w:proofErr w:type="spellStart"/>
      <w:r w:rsidR="00A8207B">
        <w:rPr>
          <w:i/>
        </w:rPr>
        <w:t>n</w:t>
      </w:r>
      <w:r w:rsidR="00A8207B">
        <w:rPr>
          <w:i/>
          <w:vertAlign w:val="subscript"/>
        </w:rPr>
        <w:t>AS</w:t>
      </w:r>
      <w:proofErr w:type="spellEnd"/>
      <w:r w:rsidR="00A8207B">
        <w:t xml:space="preserve"> and the </w:t>
      </w:r>
      <w:proofErr w:type="spellStart"/>
      <w:r w:rsidR="00A8207B">
        <w:t>Bluvshtein</w:t>
      </w:r>
      <w:proofErr w:type="spellEnd"/>
      <w:r w:rsidR="00A8207B">
        <w:t xml:space="preserve"> </w:t>
      </w:r>
      <w:r w:rsidR="00A8207B">
        <w:rPr>
          <w:i/>
        </w:rPr>
        <w:t>et al</w:t>
      </w:r>
      <w:r w:rsidR="00A8207B">
        <w:t>.</w:t>
      </w:r>
      <w:r w:rsidR="00A8207B">
        <w:fldChar w:fldCharType="begin" w:fldLock="1"/>
      </w:r>
      <w:r w:rsidR="000D5AA0">
        <w:instrText>ADDIN CSL_CITATION {"citationItems":[{"id":"ITEM-1","itemData":{"DOI":"10.5194/amt-10-1203-2017","ISSN":"1867-8548","abstract":"The multi-pass photoacoustic spectrometer (PAS) is an important tool for the direct measurement of light absorption by atmospheric aerosol. Accurate PAS measurements heavily rely on accurate calibration of their signal. Ozone is often used for calibrating PAS instruments by relating the photoacoustic signal to the absorption coefficient measured by an independent method such as cavity ring down spectroscopy (CRD-S), cavity-enhanced spectroscopy (CES) or an ozone monitor. We report here a calibration method that uses measured absorption coefficients of aerosolized, light-absorbing organic materials and offer an alternative approach to calibrate photoacoustic aerosol spectrometers at 404 nm. To implement this method, we first determined the complex refractive index of nigrosin, an organic dye, using spectroscopic ellipsometry and then used this well-characterized material as a standard material for PAS calibration.","author":[{"dropping-particle":"","family":"Bluvshtein","given":"Nir","non-dropping-particle":"","parse-names":false,"suffix":""},{"dropping-particle":"","family":"Flores","given":"J. Michel","non-dropping-particle":"","parse-names":false,"suffix":""},{"dropping-particle":"","family":"He","given":"Quanfu","non-dropping-particle":"","parse-names":false,"suffix":""},{"dropping-particle":"","family":"Segre","given":"Enrico","non-dropping-particle":"","parse-names":false,"suffix":""},{"dropping-particle":"","family":"Segev","given":"Lior","non-dropping-particle":"","parse-names":false,"suffix":""},{"dropping-particle":"","family":"Hong","given":"Nina","non-dropping-particle":"","parse-names":false,"suffix":""},{"dropping-particle":"","family":"Donohue","given":"Andrea","non-dropping-particle":"","parse-names":false,"suffix":""},{"dropping-particle":"","family":"Hilfiker","given":"James N.","non-dropping-particle":"","parse-names":false,"suffix":""},{"dropping-particle":"","family":"Rudich","given":"Yinon","non-dropping-particle":"","parse-names":false,"suffix":""}],"container-title":"Atmospheric Measurement Techniques","id":"ITEM-1","issue":"3","issued":{"date-parts":[["2017","3","29"]]},"page":"1203-1213","title":"Calibration of a multi-pass photoacoustic spectrometer cell using light-absorbing aerosols","type":"article-journal","volume":"10"},"uris":["http://www.mendeley.com/documents/?uuid=8ea431bb-6852-4675-9899-b7677214b16e"]}],"mendeley":{"formattedCitation":"&lt;sup&gt;4&lt;/sup&gt;","plainTextFormattedCitation":"4","previouslyFormattedCitation":"&lt;sup&gt;4&lt;/sup&gt;"},"properties":{"noteIndex":0},"schema":"https://github.com/citation-style-language/schema/raw/master/csl-citation.json"}</w:instrText>
      </w:r>
      <w:r w:rsidR="00A8207B">
        <w:fldChar w:fldCharType="separate"/>
      </w:r>
      <w:r w:rsidR="000D5AA0" w:rsidRPr="000D5AA0">
        <w:rPr>
          <w:noProof/>
          <w:vertAlign w:val="superscript"/>
        </w:rPr>
        <w:t>4</w:t>
      </w:r>
      <w:r w:rsidR="00A8207B">
        <w:fldChar w:fldCharType="end"/>
      </w:r>
      <w:r w:rsidR="00A8207B">
        <w:t xml:space="preserve"> description of </w:t>
      </w:r>
      <w:proofErr w:type="spellStart"/>
      <w:r w:rsidR="00A8207B">
        <w:rPr>
          <w:i/>
        </w:rPr>
        <w:t>n</w:t>
      </w:r>
      <w:r w:rsidR="00A8207B">
        <w:rPr>
          <w:i/>
          <w:vertAlign w:val="subscript"/>
        </w:rPr>
        <w:t>nig</w:t>
      </w:r>
      <w:proofErr w:type="spellEnd"/>
      <w:r w:rsidR="00A8207B">
        <w:t xml:space="preserve"> over the wavelength range 400 – 700 nm. The </w:t>
      </w:r>
      <w:proofErr w:type="spellStart"/>
      <w:r w:rsidR="00A8207B">
        <w:rPr>
          <w:i/>
        </w:rPr>
        <w:t>k</w:t>
      </w:r>
      <w:r w:rsidR="00A8207B">
        <w:rPr>
          <w:i/>
          <w:vertAlign w:val="subscript"/>
        </w:rPr>
        <w:t>e</w:t>
      </w:r>
      <w:proofErr w:type="spellEnd"/>
      <w:r w:rsidR="00A8207B">
        <w:t xml:space="preserve"> is calculated from the mass fraction mixing rule using </w:t>
      </w:r>
      <w:proofErr w:type="spellStart"/>
      <w:r w:rsidR="00A8207B">
        <w:rPr>
          <w:i/>
        </w:rPr>
        <w:t>k</w:t>
      </w:r>
      <w:r w:rsidR="00A8207B">
        <w:rPr>
          <w:i/>
          <w:vertAlign w:val="subscript"/>
        </w:rPr>
        <w:t>AS</w:t>
      </w:r>
      <w:proofErr w:type="spellEnd"/>
      <w:r w:rsidR="00A8207B">
        <w:rPr>
          <w:vertAlign w:val="subscript"/>
        </w:rPr>
        <w:t xml:space="preserve"> </w:t>
      </w:r>
      <w:r w:rsidR="00A8207B">
        <w:t xml:space="preserve">= </w:t>
      </w:r>
      <w:proofErr w:type="gramStart"/>
      <w:r w:rsidR="00A8207B">
        <w:t>0</w:t>
      </w:r>
      <w:proofErr w:type="gramEnd"/>
      <w:r w:rsidR="00A8207B">
        <w:t xml:space="preserve"> and the </w:t>
      </w:r>
      <w:proofErr w:type="spellStart"/>
      <w:r w:rsidR="00A8207B">
        <w:rPr>
          <w:i/>
        </w:rPr>
        <w:t>k</w:t>
      </w:r>
      <w:r w:rsidR="00A8207B">
        <w:rPr>
          <w:i/>
          <w:vertAlign w:val="subscript"/>
        </w:rPr>
        <w:t>nig</w:t>
      </w:r>
      <w:proofErr w:type="spellEnd"/>
      <w:r w:rsidR="00A8207B">
        <w:t xml:space="preserve"> reported by </w:t>
      </w:r>
      <w:proofErr w:type="spellStart"/>
      <w:r w:rsidR="00A8207B">
        <w:t>Bluvshtein</w:t>
      </w:r>
      <w:proofErr w:type="spellEnd"/>
      <w:r w:rsidR="00A8207B">
        <w:t xml:space="preserve"> </w:t>
      </w:r>
      <w:r w:rsidR="00A8207B">
        <w:rPr>
          <w:i/>
        </w:rPr>
        <w:t>et al</w:t>
      </w:r>
      <w:r w:rsidR="00A8207B">
        <w:t>. over the 400 – 700 nm wavelength range.</w:t>
      </w:r>
    </w:p>
    <w:p w14:paraId="24E9CD48" w14:textId="11873B6A" w:rsidR="005A13CB" w:rsidRDefault="005A13CB">
      <w:pPr>
        <w:spacing w:before="0" w:after="160" w:line="259" w:lineRule="auto"/>
        <w:jc w:val="left"/>
      </w:pPr>
      <w:r>
        <w:br w:type="page"/>
      </w:r>
    </w:p>
    <w:p w14:paraId="6F8E87E4" w14:textId="79582289" w:rsidR="005A13CB" w:rsidRDefault="002F2263" w:rsidP="005A13CB">
      <w:pPr>
        <w:pStyle w:val="Heading1"/>
        <w:rPr>
          <w:noProof/>
          <w:lang w:eastAsia="en-GB"/>
        </w:rPr>
      </w:pPr>
      <w:bookmarkStart w:id="19" w:name="_Toc33176029"/>
      <w:r>
        <w:lastRenderedPageBreak/>
        <w:t>S11</w:t>
      </w:r>
      <w:r w:rsidR="005A13CB" w:rsidRPr="00626BD6">
        <w:t xml:space="preserve">. </w:t>
      </w:r>
      <w:r w:rsidR="005A13CB">
        <w:t>Bias magnitudes used to assess uncertainties in refractive index retrievals</w:t>
      </w:r>
      <w:bookmarkEnd w:id="19"/>
    </w:p>
    <w:p w14:paraId="245E271F" w14:textId="77777777" w:rsidR="005A13CB" w:rsidRDefault="005A13CB" w:rsidP="005A13CB">
      <w:r>
        <w:t xml:space="preserve">Uncertainty in the relative length of the cavity occupied by the aerosol sample dominates the bias in the CRDS-measured extinction. Equation S1 shows that the extinction coefficient depends on the ratio </w:t>
      </w:r>
      <w:r>
        <w:rPr>
          <w:i/>
        </w:rPr>
        <w:t>R</w:t>
      </w:r>
      <w:r w:rsidRPr="009C28E7">
        <w:rPr>
          <w:vertAlign w:val="subscript"/>
        </w:rPr>
        <w:t>L</w:t>
      </w:r>
      <w:r>
        <w:t xml:space="preserve"> of the cavity length occupied by aerosol (</w:t>
      </w:r>
      <w:r>
        <w:rPr>
          <w:i/>
        </w:rPr>
        <w:t>l</w:t>
      </w:r>
      <w:r>
        <w:t>) to the geometric length (</w:t>
      </w:r>
      <w:r>
        <w:rPr>
          <w:i/>
        </w:rPr>
        <w:t>L</w:t>
      </w:r>
      <w:r>
        <w:t xml:space="preserve">) between the two cavity mirrors. While </w:t>
      </w:r>
      <w:r>
        <w:rPr>
          <w:i/>
        </w:rPr>
        <w:t>L</w:t>
      </w:r>
      <w:r>
        <w:t xml:space="preserve"> </w:t>
      </w:r>
      <w:proofErr w:type="gramStart"/>
      <w:r>
        <w:t>is measured</w:t>
      </w:r>
      <w:proofErr w:type="gramEnd"/>
      <w:r>
        <w:t xml:space="preserve"> to an accuracy of ~ 1 mm to be 40 cm, the uncertainty in </w:t>
      </w:r>
      <w:r>
        <w:rPr>
          <w:i/>
        </w:rPr>
        <w:t>l</w:t>
      </w:r>
      <w:r>
        <w:t xml:space="preserve"> is more uncertain. We take </w:t>
      </w:r>
      <w:r>
        <w:rPr>
          <w:i/>
        </w:rPr>
        <w:t>l</w:t>
      </w:r>
      <w:r>
        <w:t xml:space="preserve"> as the distance between the sample inlet and outlet locations, but this length has an uncertainty of </w:t>
      </w:r>
      <w:r>
        <w:sym w:font="Symbol" w:char="F0B1"/>
      </w:r>
      <w:r>
        <w:t xml:space="preserve">0.5 cm. These uncertainties in </w:t>
      </w:r>
      <w:r>
        <w:rPr>
          <w:i/>
        </w:rPr>
        <w:t>l</w:t>
      </w:r>
      <w:r>
        <w:t xml:space="preserve"> and </w:t>
      </w:r>
      <w:r>
        <w:rPr>
          <w:i/>
        </w:rPr>
        <w:t xml:space="preserve">L </w:t>
      </w:r>
      <w:r>
        <w:t xml:space="preserve">combine to give a potential bias in </w:t>
      </w:r>
      <w:r>
        <w:rPr>
          <w:i/>
        </w:rPr>
        <w:t>R</w:t>
      </w:r>
      <w:r>
        <w:rPr>
          <w:i/>
          <w:vertAlign w:val="subscript"/>
        </w:rPr>
        <w:t>L</w:t>
      </w:r>
      <w:r>
        <w:t xml:space="preserve"> of 0.0173, corresponding to a 1.5 % bias. This bias could be larger if aerosol penetrates into the purge volumes of the cavity, although quantifying this penetration is difficult.</w:t>
      </w:r>
    </w:p>
    <w:p w14:paraId="4B0FA5AE" w14:textId="77777777" w:rsidR="005A13CB" w:rsidRDefault="005A13CB" w:rsidP="005A13CB"/>
    <w:p w14:paraId="70A042DE" w14:textId="4F323B2E" w:rsidR="002F2263" w:rsidRDefault="005A13CB" w:rsidP="005A13CB">
      <w:r>
        <w:t>Uncertainty in the PAS calibration dominates bias in the PAS-measured absorption coefficient. Section S2 described our calibration of the PAS microphone response, while Figure S10 shows the measured variation in the dimensionless PAS calibration coefficient for both the 405-nm and 658-nm PAS instruments. The percentage standard deviation in these measured calibration coefficients are 4.97 % and 2.96 % for the 405-nm and 658-nm PAS instruments, respectively. Therefore, we attribute a 5 % bias to the PAS calibration coefficient.</w:t>
      </w:r>
    </w:p>
    <w:p w14:paraId="5515295A" w14:textId="77777777" w:rsidR="002F2263" w:rsidRDefault="002F2263" w:rsidP="005A13CB"/>
    <w:p w14:paraId="60A0E684" w14:textId="77777777" w:rsidR="002F2263" w:rsidRDefault="002F2263" w:rsidP="002F2263">
      <w:pPr>
        <w:keepNext/>
        <w:jc w:val="center"/>
      </w:pPr>
      <w:r>
        <w:rPr>
          <w:noProof/>
          <w:lang w:eastAsia="en-GB"/>
        </w:rPr>
        <w:drawing>
          <wp:inline distT="0" distB="0" distL="0" distR="0" wp14:anchorId="13B76643" wp14:editId="7DDACA9D">
            <wp:extent cx="3600000" cy="251759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517593"/>
                    </a:xfrm>
                    <a:prstGeom prst="rect">
                      <a:avLst/>
                    </a:prstGeom>
                    <a:noFill/>
                  </pic:spPr>
                </pic:pic>
              </a:graphicData>
            </a:graphic>
          </wp:inline>
        </w:drawing>
      </w:r>
    </w:p>
    <w:p w14:paraId="17B84839" w14:textId="77777777" w:rsidR="002F2263" w:rsidRDefault="002F2263" w:rsidP="002F2263">
      <w:pPr>
        <w:pStyle w:val="Caption"/>
      </w:pPr>
      <w:bookmarkStart w:id="20" w:name="_Ref13150704"/>
      <w:r>
        <w:t>Figure S</w:t>
      </w:r>
      <w:r>
        <w:rPr>
          <w:noProof/>
        </w:rPr>
        <w:fldChar w:fldCharType="begin"/>
      </w:r>
      <w:r>
        <w:rPr>
          <w:noProof/>
        </w:rPr>
        <w:instrText xml:space="preserve"> SEQ Figure_S \* ARABIC </w:instrText>
      </w:r>
      <w:r>
        <w:rPr>
          <w:noProof/>
        </w:rPr>
        <w:fldChar w:fldCharType="separate"/>
      </w:r>
      <w:r w:rsidR="00715CF2">
        <w:rPr>
          <w:noProof/>
        </w:rPr>
        <w:t>10</w:t>
      </w:r>
      <w:r>
        <w:rPr>
          <w:noProof/>
        </w:rPr>
        <w:fldChar w:fldCharType="end"/>
      </w:r>
      <w:bookmarkEnd w:id="20"/>
      <w:r>
        <w:t>. Measured PAS calibration coefficients over time for the 405-nm and 658-nm PAS instruments.</w:t>
      </w:r>
    </w:p>
    <w:p w14:paraId="4D9BE4AB" w14:textId="77777777" w:rsidR="002F2263" w:rsidRDefault="002F2263" w:rsidP="005A13CB"/>
    <w:p w14:paraId="33376225" w14:textId="27E05323" w:rsidR="005A13CB" w:rsidRDefault="005A13CB" w:rsidP="005A13CB">
      <w:pPr>
        <w:rPr>
          <w:rFonts w:cs="Times New Roman"/>
        </w:rPr>
      </w:pPr>
      <w:r>
        <w:t>The manufacturer quotes the accuracy of CPC measurements of aerosol number concentration (</w:t>
      </w:r>
      <w:r>
        <w:rPr>
          <w:i/>
        </w:rPr>
        <w:t>N</w:t>
      </w:r>
      <w:r>
        <w:rPr>
          <w:vertAlign w:val="subscript"/>
        </w:rPr>
        <w:t>CPC</w:t>
      </w:r>
      <w:r>
        <w:t xml:space="preserve">) as </w:t>
      </w:r>
      <w:r>
        <w:sym w:font="Symbol" w:char="F0B1"/>
      </w:r>
      <w:r>
        <w:t xml:space="preserve">10 %. However, a comprehensive assessment of CPC counting accuracies by Fletcher </w:t>
      </w:r>
      <w:r>
        <w:rPr>
          <w:i/>
        </w:rPr>
        <w:t>et al</w:t>
      </w:r>
      <w:r>
        <w:t xml:space="preserve">. using NIST traceable methods found that </w:t>
      </w:r>
      <w:r>
        <w:rPr>
          <w:i/>
        </w:rPr>
        <w:t>N</w:t>
      </w:r>
      <w:r>
        <w:rPr>
          <w:vertAlign w:val="subscript"/>
        </w:rPr>
        <w:t>CPC</w:t>
      </w:r>
      <w:r>
        <w:t xml:space="preserve"> was biased by </w:t>
      </w:r>
      <w:r w:rsidRPr="00C14FF2">
        <w:rPr>
          <w:rFonts w:cs="Times New Roman"/>
        </w:rPr>
        <w:t>5.03 (</w:t>
      </w:r>
      <w:r w:rsidRPr="00C14FF2">
        <w:rPr>
          <w:rFonts w:cs="Times New Roman"/>
        </w:rPr>
        <w:sym w:font="Symbol" w:char="F0B1"/>
      </w:r>
      <w:r w:rsidRPr="00C14FF2">
        <w:rPr>
          <w:rFonts w:cs="Times New Roman"/>
        </w:rPr>
        <w:t xml:space="preserve"> 0.25) %</w:t>
      </w:r>
      <w:r>
        <w:rPr>
          <w:rFonts w:cs="Times New Roman"/>
        </w:rPr>
        <w:t>.</w:t>
      </w:r>
      <w:r>
        <w:rPr>
          <w:rFonts w:cs="Times New Roman"/>
        </w:rPr>
        <w:fldChar w:fldCharType="begin" w:fldLock="1"/>
      </w:r>
      <w:r w:rsidR="002F2263">
        <w:rPr>
          <w:rFonts w:cs="Times New Roman"/>
        </w:rPr>
        <w:instrText>ADDIN CSL_CITATION {"citationItems":[{"id":"ITEM-1","itemData":{"DOI":"10.1080/02786820802716735","author":[{"dropping-particle":"","family":"Fletcher","given":"R A","non-dropping-particle":"","parse-names":false,"suffix":""},{"dropping-particle":"","family":"Mulholland","given":"G W","non-dropping-particle":"","parse-names":false,"suffix":""},{"dropping-particle":"","family":"Winchester","given":"M R","non-dropping-particle":"","parse-names":false,"suffix":""},{"dropping-particle":"","family":"King","given":"R L","non-dropping-particle":"","parse-names":false,"suffix":""},{"dropping-particle":"","family":"Klinedinst","given":"D B","non-dropping-particle":"","parse-names":false,"suffix":""}],"id":"ITEM-1","issue":"October","issued":{"date-parts":[["2009"]]},"note":"Is there a coincidence correction in the CPC data also? Coincidence correction factor is likely small in our measurements (correction factor 0.02% for N = 100 cm-3, correction factor of 0.4% at 2000 cm-3)\n\nDo TSI use electrospray aerosol to elliminate multiple charging or do TSI account for multiple charging in their CPC calibrations?\n\nDo TSI incorporate a coincidence correction?","title":"Calibration of a Condensation Particle Counter Using a NIST Traceable Method NIST Traceable Method","type":"article-journal","volume":"6826"},"uris":["http://www.mendeley.com/documents/?uuid=2e3176b8-545c-4061-8af0-da76ea8c7423"]}],"mendeley":{"formattedCitation":"&lt;sup&gt;10&lt;/sup&gt;","plainTextFormattedCitation":"10","previouslyFormattedCitation":"&lt;sup&gt;68&lt;/sup&gt;"},"properties":{"noteIndex":0},"schema":"https://github.com/citation-style-language/schema/raw/master/csl-citation.json"}</w:instrText>
      </w:r>
      <w:r>
        <w:rPr>
          <w:rFonts w:cs="Times New Roman"/>
        </w:rPr>
        <w:fldChar w:fldCharType="separate"/>
      </w:r>
      <w:r w:rsidR="002F2263" w:rsidRPr="002F2263">
        <w:rPr>
          <w:rFonts w:cs="Times New Roman"/>
          <w:noProof/>
          <w:vertAlign w:val="superscript"/>
        </w:rPr>
        <w:t>10</w:t>
      </w:r>
      <w:r>
        <w:rPr>
          <w:rFonts w:cs="Times New Roman"/>
        </w:rPr>
        <w:fldChar w:fldCharType="end"/>
      </w:r>
      <w:r>
        <w:rPr>
          <w:rFonts w:cs="Times New Roman"/>
        </w:rPr>
        <w:t xml:space="preserve"> We assigned a </w:t>
      </w:r>
      <w:r>
        <w:rPr>
          <w:rFonts w:cs="Times New Roman"/>
        </w:rPr>
        <w:sym w:font="Symbol" w:char="F0B1"/>
      </w:r>
      <w:r>
        <w:rPr>
          <w:rFonts w:cs="Times New Roman"/>
        </w:rPr>
        <w:t xml:space="preserve">5 % bias to </w:t>
      </w:r>
      <w:r>
        <w:rPr>
          <w:rFonts w:cs="Times New Roman"/>
          <w:i/>
        </w:rPr>
        <w:t>N</w:t>
      </w:r>
      <w:r>
        <w:rPr>
          <w:rFonts w:cs="Times New Roman"/>
          <w:vertAlign w:val="subscript"/>
        </w:rPr>
        <w:t>CPC</w:t>
      </w:r>
      <w:r>
        <w:rPr>
          <w:rFonts w:cs="Times New Roman"/>
        </w:rPr>
        <w:t>, noting that previous bias attribution studies have assumed 5 % biases in CPC-measured aerosol number concentrations.</w:t>
      </w:r>
      <w:r>
        <w:rPr>
          <w:rFonts w:cs="Times New Roman"/>
        </w:rPr>
        <w:fldChar w:fldCharType="begin" w:fldLock="1"/>
      </w:r>
      <w:r w:rsidR="002F2263">
        <w:rPr>
          <w:rFonts w:cs="Times New Roman"/>
        </w:rPr>
        <w:instrText>ADDIN CSL_CITATION {"citationItems":[{"id":"ITEM-1","itemData":{"DOI":"10.1080/02786826.2014.963498","ISSN":"0278-6826","author":[{"dropping-particle":"","family":"Zarzana","given":"Kyle J.","non-dropping-particle":"","parse-names":false,"suffix":""},{"dropping-particle":"","family":"Cappa","given":"Christopher D.","non-dropping-particle":"","parse-names":false,"suffix":""},{"dropping-particle":"","family":"Tolbert","given":"Margaret A.","non-dropping-particle":"","parse-names":false,"suffix":""}],"container-title":"Aerosol Science and Technology","id":"ITEM-1","issue":"11","issued":{"date-parts":[["2014","10","7"]]},"page":"1133-1144","title":"Sensitivity of Aerosol Refractive Index Retrievals Using Optical Spectroscopy","type":"article-journal","volume":"48"},"uris":["http://www.mendeley.com/documents/?uuid=2b6e3933-0245-46c6-accd-2681412bb1b5"]}],"mendeley":{"formattedCitation":"&lt;sup&gt;9&lt;/sup&gt;","plainTextFormattedCitation":"9","previouslyFormattedCitation":"&lt;sup&gt;32&lt;/sup&gt;"},"properties":{"noteIndex":0},"schema":"https://github.com/citation-style-language/schema/raw/master/csl-citation.json"}</w:instrText>
      </w:r>
      <w:r>
        <w:rPr>
          <w:rFonts w:cs="Times New Roman"/>
        </w:rPr>
        <w:fldChar w:fldCharType="separate"/>
      </w:r>
      <w:r w:rsidR="002F2263" w:rsidRPr="002F2263">
        <w:rPr>
          <w:rFonts w:cs="Times New Roman"/>
          <w:noProof/>
          <w:vertAlign w:val="superscript"/>
        </w:rPr>
        <w:t>9</w:t>
      </w:r>
      <w:r>
        <w:rPr>
          <w:rFonts w:cs="Times New Roman"/>
        </w:rPr>
        <w:fldChar w:fldCharType="end"/>
      </w:r>
    </w:p>
    <w:p w14:paraId="6EBD0127" w14:textId="77777777" w:rsidR="005A13CB" w:rsidRDefault="005A13CB" w:rsidP="005A13CB">
      <w:pPr>
        <w:rPr>
          <w:rFonts w:cs="Times New Roman"/>
        </w:rPr>
      </w:pPr>
    </w:p>
    <w:p w14:paraId="63E21B98" w14:textId="337E67DA" w:rsidR="005A13CB" w:rsidRDefault="005A13CB" w:rsidP="005A13CB">
      <w:r>
        <w:t xml:space="preserve">Section </w:t>
      </w:r>
      <w:r w:rsidR="002F2263">
        <w:t xml:space="preserve">2.5 of the main text </w:t>
      </w:r>
      <w:r>
        <w:t xml:space="preserve">shown that the ratio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governs the aerosol charge distribution. While Sect. </w:t>
      </w:r>
      <w:r w:rsidR="002F2263">
        <w:t xml:space="preserve">2.5 </w:t>
      </w:r>
      <w:r>
        <w:t xml:space="preserve">determined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rPr>
          <w:vertAlign w:val="subscript"/>
        </w:rPr>
        <w:t xml:space="preserve"> </w:t>
      </w:r>
      <w:r>
        <w:t xml:space="preserve">using a calibration data set of </w:t>
      </w:r>
      <w:r w:rsidRPr="00021D2A">
        <w:rPr>
          <w:i/>
        </w:rPr>
        <w:sym w:font="Symbol" w:char="F073"/>
      </w:r>
      <w:proofErr w:type="spellStart"/>
      <w:r>
        <w:rPr>
          <w:vertAlign w:val="subscript"/>
        </w:rPr>
        <w:t>ext</w:t>
      </w:r>
      <w:proofErr w:type="spellEnd"/>
      <w:r>
        <w:t xml:space="preserve"> measured for mobility-selected AS, we also measured </w:t>
      </w:r>
      <w:r>
        <w:lastRenderedPageBreak/>
        <w:t xml:space="preserve">five additional AS data sets for the RI retrievals discussed in Sect. </w:t>
      </w:r>
      <w:r w:rsidR="002F2263">
        <w:t>3.1</w:t>
      </w:r>
      <w:r>
        <w:t xml:space="preserve">. Optimising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for each of these five AS data sets in the</w:t>
      </w:r>
      <w:r w:rsidR="002F2263">
        <w:t xml:space="preserve"> same way as performed in Sect. 2.5 </w:t>
      </w:r>
      <w:r>
        <w:t xml:space="preserve">facilitated estimation of uncertainty in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for each spectroscopy wavelength. In this way, we estimate uncertainties in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of 0.08 and 0.02 at the 405 and 658 nm spectroscopy wavelengths, respectively.</w:t>
      </w:r>
    </w:p>
    <w:p w14:paraId="74497BBE" w14:textId="77777777" w:rsidR="005A13CB" w:rsidRDefault="005A13CB" w:rsidP="005A13CB"/>
    <w:p w14:paraId="421D2CF2" w14:textId="77777777" w:rsidR="005A13CB" w:rsidRDefault="005A13CB" w:rsidP="005A13CB">
      <w:r>
        <w:t xml:space="preserve">The diffusion-corrected transfer function for the DMA column depends on the aerosol and sheath flow rates. The sheath flow was constant at 3.5 L </w:t>
      </w:r>
      <w:r w:rsidRPr="00745919">
        <w:t>min</w:t>
      </w:r>
      <w:r w:rsidRPr="00745919">
        <w:rPr>
          <w:vertAlign w:val="superscript"/>
        </w:rPr>
        <w:t>-1</w:t>
      </w:r>
      <w:r>
        <w:t xml:space="preserve"> and there was no evidence to suggest bias in this value. The aerosol flow rate, however, varied during experiments. The aerosol flow rate was set to a value in the range 0.32 – 0.34 L min</w:t>
      </w:r>
      <w:r>
        <w:rPr>
          <w:vertAlign w:val="superscript"/>
        </w:rPr>
        <w:t>-1</w:t>
      </w:r>
      <w:r>
        <w:t xml:space="preserve"> at the beginning of a measurement data set, but this flow could increase over the course (~ 90 minutes) of the measurement by up to 10 % caused by gradual build-up up of liquid in the drain line from the atomiser. Therefore, we attribute a 10 % bias to the aerosol flow rate.</w:t>
      </w:r>
    </w:p>
    <w:p w14:paraId="745222BE" w14:textId="77777777" w:rsidR="005A13CB" w:rsidRDefault="005A13CB" w:rsidP="005A13CB"/>
    <w:p w14:paraId="3CFF2C95" w14:textId="332B45D8" w:rsidR="004E2BED" w:rsidRDefault="005A13CB" w:rsidP="005A13CB">
      <w:r>
        <w:t xml:space="preserve">To estimate error in the SMPS-measured particle size distribution input to the DMA, we assumed that the manufacturer calibration of the particle size bins </w:t>
      </w:r>
      <w:proofErr w:type="gramStart"/>
      <w:r>
        <w:t>could be</w:t>
      </w:r>
      <w:r w:rsidR="00F52639">
        <w:t xml:space="preserve"> attributed</w:t>
      </w:r>
      <w:proofErr w:type="gramEnd"/>
      <w:r>
        <w:t xml:space="preserve"> incorrectly by one bin width. Because the bin centres </w:t>
      </w:r>
      <w:proofErr w:type="gramStart"/>
      <w:r>
        <w:t>are distributed</w:t>
      </w:r>
      <w:proofErr w:type="gramEnd"/>
      <w:r>
        <w:t xml:space="preserve"> equally in the log-diameter domain, one bin width corresponds to a 3.66% error in the particle diameter for the bin width distribution used. Therefore, we assigned a 3.66 % bias to the SMPS bin diameters. Additional uncertainty in the SMPS-measured size distribution arises from errors in the description of aerosol charge distribution, but propagating the attributed uncertainty in </w:t>
      </w:r>
      <w:proofErr w:type="spellStart"/>
      <w:r>
        <w:rPr>
          <w:i/>
        </w:rPr>
        <w:t>c</w:t>
      </w:r>
      <w:r>
        <w:rPr>
          <w:vertAlign w:val="subscript"/>
        </w:rPr>
        <w:t>+</w:t>
      </w:r>
      <w:r>
        <w:rPr>
          <w:i/>
        </w:rPr>
        <w:t>Z</w:t>
      </w:r>
      <w:proofErr w:type="spellEnd"/>
      <w:r>
        <w:rPr>
          <w:vertAlign w:val="subscript"/>
        </w:rPr>
        <w:t>+</w:t>
      </w:r>
      <w:r>
        <w:t>/</w:t>
      </w:r>
      <w:r>
        <w:rPr>
          <w:i/>
        </w:rPr>
        <w:t>c</w:t>
      </w:r>
      <w:r>
        <w:rPr>
          <w:vertAlign w:val="subscript"/>
        </w:rPr>
        <w:sym w:font="Symbol" w:char="F02D"/>
      </w:r>
      <w:r>
        <w:rPr>
          <w:i/>
        </w:rPr>
        <w:t>Z</w:t>
      </w:r>
      <w:r>
        <w:rPr>
          <w:vertAlign w:val="subscript"/>
        </w:rPr>
        <w:sym w:font="Symbol" w:char="F02D"/>
      </w:r>
      <w:r>
        <w:t xml:space="preserve"> through the SMPS inversion routine to a particle size distribution is difficult and we ignore this contribution to the SMPS measurement uncertainty.</w:t>
      </w:r>
    </w:p>
    <w:p w14:paraId="4893E720" w14:textId="77777777" w:rsidR="004E2BED" w:rsidRDefault="004E2BED">
      <w:pPr>
        <w:spacing w:before="0" w:after="160" w:line="259" w:lineRule="auto"/>
        <w:jc w:val="left"/>
      </w:pPr>
      <w:r>
        <w:br w:type="page"/>
      </w:r>
    </w:p>
    <w:p w14:paraId="6FBFCB3F" w14:textId="0DDA8A1B" w:rsidR="004E2BED" w:rsidRDefault="004E2BED" w:rsidP="004E2BED">
      <w:pPr>
        <w:pStyle w:val="Heading1"/>
        <w:rPr>
          <w:noProof/>
          <w:lang w:eastAsia="en-GB"/>
        </w:rPr>
      </w:pPr>
      <w:bookmarkStart w:id="21" w:name="_Toc33176030"/>
      <w:r>
        <w:lastRenderedPageBreak/>
        <w:t>S12</w:t>
      </w:r>
      <w:r w:rsidRPr="00626BD6">
        <w:t xml:space="preserve">. </w:t>
      </w:r>
      <w:r>
        <w:t>Results from a Monte Carlo analysis of RI retrieval uncertainties</w:t>
      </w:r>
      <w:bookmarkEnd w:id="21"/>
    </w:p>
    <w:p w14:paraId="51F5FB0F" w14:textId="77777777" w:rsidR="003A3BBA" w:rsidRDefault="003A3BBA" w:rsidP="003A3BBA">
      <w:pPr>
        <w:keepNext/>
        <w:jc w:val="center"/>
      </w:pPr>
      <w:r>
        <w:rPr>
          <w:noProof/>
          <w:lang w:eastAsia="en-GB"/>
        </w:rPr>
        <w:drawing>
          <wp:inline distT="0" distB="0" distL="0" distR="0" wp14:anchorId="45F68030" wp14:editId="395E2B7C">
            <wp:extent cx="3960000" cy="6588193"/>
            <wp:effectExtent l="0" t="0" r="2540" b="3175"/>
            <wp:docPr id="14" name="Picture 14" descr="C:\Users\mc628\Local Documents\1 UoE - Met Office Research\1_EXPERIMENTAL\size_selection_experiments\AS\20190219\analysis_run2 MonteCarloAnalysis_bdry\analysis after 200 simu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628\Local Documents\1 UoE - Met Office Research\1_EXPERIMENTAL\size_selection_experiments\AS\20190219\analysis_run2 MonteCarloAnalysis_bdry\analysis after 200 simulation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6588193"/>
                    </a:xfrm>
                    <a:prstGeom prst="rect">
                      <a:avLst/>
                    </a:prstGeom>
                    <a:noFill/>
                    <a:ln>
                      <a:noFill/>
                    </a:ln>
                  </pic:spPr>
                </pic:pic>
              </a:graphicData>
            </a:graphic>
          </wp:inline>
        </w:drawing>
      </w:r>
    </w:p>
    <w:p w14:paraId="70A31F81" w14:textId="0344FD64" w:rsidR="003A3BBA" w:rsidRDefault="005F0E1A" w:rsidP="003A3BBA">
      <w:pPr>
        <w:pStyle w:val="Caption"/>
      </w:pPr>
      <w:bookmarkStart w:id="22" w:name="_Ref16855003"/>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11</w:t>
      </w:r>
      <w:r w:rsidR="00D9155D">
        <w:rPr>
          <w:noProof/>
        </w:rPr>
        <w:fldChar w:fldCharType="end"/>
      </w:r>
      <w:bookmarkEnd w:id="22"/>
      <w:r w:rsidR="003A3BBA">
        <w:t>. Monte Carlo error analysis for AS refractive index retrievals at the 405 nm spectroscopy wavelength.</w:t>
      </w:r>
      <w:r w:rsidR="008B03C2" w:rsidRPr="008B03C2">
        <w:t xml:space="preserve"> </w:t>
      </w:r>
      <w:r w:rsidR="008B03C2">
        <w:t xml:space="preserve">The top four panels show the randomly-distribute biases applied to the PAS calibration coefficient, CPC counting efficiency,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and the SMPS diameter (</w:t>
      </w:r>
      <w:proofErr w:type="spellStart"/>
      <w:r w:rsidR="008B03C2">
        <w:rPr>
          <w:i/>
        </w:rPr>
        <w:t>D</w:t>
      </w:r>
      <w:r w:rsidR="008B03C2">
        <w:rPr>
          <w:i/>
          <w:vertAlign w:val="subscript"/>
        </w:rPr>
        <w:t>smps</w:t>
      </w:r>
      <w:proofErr w:type="spellEnd"/>
      <w:r w:rsidR="008B03C2">
        <w:t xml:space="preserve">). For the PAS calibration coefficient, CPC counting efficiency and </w:t>
      </w:r>
      <w:proofErr w:type="spellStart"/>
      <w:r w:rsidR="008B03C2">
        <w:rPr>
          <w:i/>
        </w:rPr>
        <w:t>D</w:t>
      </w:r>
      <w:r w:rsidR="008B03C2">
        <w:rPr>
          <w:i/>
          <w:vertAlign w:val="subscript"/>
        </w:rPr>
        <w:t>smps</w:t>
      </w:r>
      <w:proofErr w:type="spellEnd"/>
      <w:r w:rsidR="008B03C2">
        <w:t xml:space="preserve">, these biases </w:t>
      </w:r>
      <w:proofErr w:type="gramStart"/>
      <w:r w:rsidR="008B03C2">
        <w:t>are represented</w:t>
      </w:r>
      <w:proofErr w:type="gramEnd"/>
      <w:r w:rsidR="008B03C2">
        <w:t xml:space="preserve"> as a multiplicative factor that were applied to the recorded values. For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the bias is a factor that </w:t>
      </w:r>
      <w:proofErr w:type="gramStart"/>
      <w:r w:rsidR="008B03C2">
        <w:t>was added or subtracted to the optimal value</w:t>
      </w:r>
      <w:proofErr w:type="gramEnd"/>
      <w:r w:rsidR="008B03C2">
        <w:t xml:space="preserve">. The bottom two panels show the distribution in the retrieved </w:t>
      </w:r>
      <w:r w:rsidR="008B03C2">
        <w:rPr>
          <w:i/>
        </w:rPr>
        <w:t>n</w:t>
      </w:r>
      <w:r w:rsidR="008B03C2">
        <w:t xml:space="preserve"> and </w:t>
      </w:r>
      <w:r w:rsidR="008B03C2">
        <w:rPr>
          <w:i/>
        </w:rPr>
        <w:t>k</w:t>
      </w:r>
      <w:r w:rsidR="008B03C2">
        <w:t>, with these distribution fit to a Gaussian distribution to determine the mean and standard deviation in the retrieval distributions.</w:t>
      </w:r>
    </w:p>
    <w:p w14:paraId="649CA10D" w14:textId="77777777" w:rsidR="003A3BBA" w:rsidRDefault="003A3BBA" w:rsidP="003A3BBA">
      <w:pPr>
        <w:keepNext/>
        <w:jc w:val="center"/>
      </w:pPr>
      <w:r>
        <w:rPr>
          <w:noProof/>
          <w:lang w:eastAsia="en-GB"/>
        </w:rPr>
        <w:lastRenderedPageBreak/>
        <w:drawing>
          <wp:inline distT="0" distB="0" distL="0" distR="0" wp14:anchorId="0ED44451" wp14:editId="5777EAB0">
            <wp:extent cx="3960000" cy="6588193"/>
            <wp:effectExtent l="0" t="0" r="2540" b="3175"/>
            <wp:docPr id="15" name="Picture 15" descr="C:\Users\mc628\Local Documents\1 UoE - Met Office Research\1_EXPERIMENTAL\size_selection_experiments\AS\20190219\ analysis_run2 MonteCarloAnalysis_rdry\AS rdry analysis after 200 simu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628\Local Documents\1 UoE - Met Office Research\1_EXPERIMENTAL\size_selection_experiments\AS\20190219\ analysis_run2 MonteCarloAnalysis_rdry\AS rdry analysis after 200 simulation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6588193"/>
                    </a:xfrm>
                    <a:prstGeom prst="rect">
                      <a:avLst/>
                    </a:prstGeom>
                    <a:noFill/>
                    <a:ln>
                      <a:noFill/>
                    </a:ln>
                  </pic:spPr>
                </pic:pic>
              </a:graphicData>
            </a:graphic>
          </wp:inline>
        </w:drawing>
      </w:r>
    </w:p>
    <w:p w14:paraId="58475C3F" w14:textId="55EC9993" w:rsidR="003A3BBA" w:rsidRDefault="005F0E1A" w:rsidP="003A3BBA">
      <w:pPr>
        <w:pStyle w:val="Caption"/>
      </w:pPr>
      <w:bookmarkStart w:id="23" w:name="_Ref16855022"/>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12</w:t>
      </w:r>
      <w:r w:rsidR="00D9155D">
        <w:rPr>
          <w:noProof/>
        </w:rPr>
        <w:fldChar w:fldCharType="end"/>
      </w:r>
      <w:bookmarkEnd w:id="23"/>
      <w:r w:rsidR="003A3BBA">
        <w:t>. Monte Carlo error analysis for AS refractive index retrievals at the 658 nm spectroscopy wavelength.</w:t>
      </w:r>
      <w:r w:rsidR="008B03C2" w:rsidRPr="008B03C2">
        <w:t xml:space="preserve"> </w:t>
      </w:r>
      <w:r w:rsidR="008B03C2">
        <w:t xml:space="preserve">The top four panels show the randomly-distribute biases applied to the PAS calibration coefficient, CPC counting efficiency,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and the SMPS diameter (</w:t>
      </w:r>
      <w:proofErr w:type="spellStart"/>
      <w:r w:rsidR="008B03C2">
        <w:rPr>
          <w:i/>
        </w:rPr>
        <w:t>D</w:t>
      </w:r>
      <w:r w:rsidR="008B03C2">
        <w:rPr>
          <w:i/>
          <w:vertAlign w:val="subscript"/>
        </w:rPr>
        <w:t>smps</w:t>
      </w:r>
      <w:proofErr w:type="spellEnd"/>
      <w:r w:rsidR="008B03C2">
        <w:t xml:space="preserve">). For the PAS calibration coefficient, CPC counting efficiency and </w:t>
      </w:r>
      <w:proofErr w:type="spellStart"/>
      <w:r w:rsidR="008B03C2">
        <w:rPr>
          <w:i/>
        </w:rPr>
        <w:t>D</w:t>
      </w:r>
      <w:r w:rsidR="008B03C2">
        <w:rPr>
          <w:i/>
          <w:vertAlign w:val="subscript"/>
        </w:rPr>
        <w:t>smps</w:t>
      </w:r>
      <w:proofErr w:type="spellEnd"/>
      <w:r w:rsidR="008B03C2">
        <w:t xml:space="preserve">, these biases </w:t>
      </w:r>
      <w:proofErr w:type="gramStart"/>
      <w:r w:rsidR="008B03C2">
        <w:t>are represented</w:t>
      </w:r>
      <w:proofErr w:type="gramEnd"/>
      <w:r w:rsidR="008B03C2">
        <w:t xml:space="preserve"> as a multiplicative factor that were applied to the recorded values. For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the bias is a factor that </w:t>
      </w:r>
      <w:proofErr w:type="gramStart"/>
      <w:r w:rsidR="008B03C2">
        <w:t>was added or subtracted to the optimal value</w:t>
      </w:r>
      <w:proofErr w:type="gramEnd"/>
      <w:r w:rsidR="008B03C2">
        <w:t xml:space="preserve">. The bottom two panels show the distribution in the retrieved </w:t>
      </w:r>
      <w:r w:rsidR="008B03C2">
        <w:rPr>
          <w:i/>
        </w:rPr>
        <w:t>n</w:t>
      </w:r>
      <w:r w:rsidR="008B03C2">
        <w:t xml:space="preserve"> and </w:t>
      </w:r>
      <w:r w:rsidR="008B03C2">
        <w:rPr>
          <w:i/>
        </w:rPr>
        <w:t>k</w:t>
      </w:r>
      <w:r w:rsidR="008B03C2">
        <w:t>, with these distribution fit to a Gaussian distribution to determine the mean and standard deviation in the retrieval distributions.</w:t>
      </w:r>
    </w:p>
    <w:p w14:paraId="10AE8AA1" w14:textId="77777777" w:rsidR="003D1FFB" w:rsidRDefault="003D1FFB" w:rsidP="003D1FFB">
      <w:pPr>
        <w:pStyle w:val="Caption"/>
        <w:keepNext/>
        <w:jc w:val="center"/>
      </w:pPr>
      <w:r>
        <w:rPr>
          <w:noProof/>
          <w:lang w:eastAsia="en-GB"/>
        </w:rPr>
        <w:lastRenderedPageBreak/>
        <w:drawing>
          <wp:inline distT="0" distB="0" distL="0" distR="0" wp14:anchorId="7B2510B2" wp14:editId="4FBF5EED">
            <wp:extent cx="3960000" cy="6583502"/>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628\Local Documents\1 UoE - Met Office Research\1_EXPERIMENTAL\size_selection_experiments\Nig\20190318\ analysis_run1 MonteCarloAnalysis_bdry\analysis nig bdry 200 simulations.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0000" cy="6583502"/>
                    </a:xfrm>
                    <a:prstGeom prst="rect">
                      <a:avLst/>
                    </a:prstGeom>
                    <a:noFill/>
                    <a:ln>
                      <a:noFill/>
                    </a:ln>
                  </pic:spPr>
                </pic:pic>
              </a:graphicData>
            </a:graphic>
          </wp:inline>
        </w:drawing>
      </w:r>
    </w:p>
    <w:p w14:paraId="15BF860B" w14:textId="011AE588" w:rsidR="003D1FFB" w:rsidRPr="008B03C2" w:rsidRDefault="003D1FFB" w:rsidP="003D1FFB">
      <w:pPr>
        <w:pStyle w:val="Caption"/>
      </w:pPr>
      <w:bookmarkStart w:id="24" w:name="_Ref16855288"/>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13</w:t>
      </w:r>
      <w:r w:rsidR="00D9155D">
        <w:rPr>
          <w:noProof/>
        </w:rPr>
        <w:fldChar w:fldCharType="end"/>
      </w:r>
      <w:bookmarkEnd w:id="24"/>
      <w:r>
        <w:t xml:space="preserve">. </w:t>
      </w:r>
      <w:r w:rsidR="008B03C2">
        <w:t xml:space="preserve">Summary of the </w:t>
      </w:r>
      <w:r>
        <w:t>Monte Carlo error analysis for nigrosin refractive index retrievals at the 405 nm spectroscopy wavelength.</w:t>
      </w:r>
      <w:r w:rsidR="008B03C2">
        <w:t xml:space="preserve"> The top four panels show the randomly-distribute biases applied to the PAS calibration coefficient, CPC counting efficiency,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and the SMPS diameter (</w:t>
      </w:r>
      <w:proofErr w:type="spellStart"/>
      <w:r w:rsidR="008B03C2">
        <w:rPr>
          <w:i/>
        </w:rPr>
        <w:t>D</w:t>
      </w:r>
      <w:r w:rsidR="008B03C2">
        <w:rPr>
          <w:i/>
          <w:vertAlign w:val="subscript"/>
        </w:rPr>
        <w:t>smps</w:t>
      </w:r>
      <w:proofErr w:type="spellEnd"/>
      <w:r w:rsidR="008B03C2">
        <w:t xml:space="preserve">). For the PAS calibration coefficient, CPC counting efficiency and </w:t>
      </w:r>
      <w:proofErr w:type="spellStart"/>
      <w:r w:rsidR="008B03C2">
        <w:rPr>
          <w:i/>
        </w:rPr>
        <w:t>D</w:t>
      </w:r>
      <w:r w:rsidR="008B03C2">
        <w:rPr>
          <w:i/>
          <w:vertAlign w:val="subscript"/>
        </w:rPr>
        <w:t>smps</w:t>
      </w:r>
      <w:proofErr w:type="spellEnd"/>
      <w:r w:rsidR="008B03C2">
        <w:t xml:space="preserve">, these biases </w:t>
      </w:r>
      <w:proofErr w:type="gramStart"/>
      <w:r w:rsidR="008B03C2">
        <w:t>are represented</w:t>
      </w:r>
      <w:proofErr w:type="gramEnd"/>
      <w:r w:rsidR="008B03C2">
        <w:t xml:space="preserve"> as a multiplicative factor that were applied to the recorded values. For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the bias is a factor that </w:t>
      </w:r>
      <w:proofErr w:type="gramStart"/>
      <w:r w:rsidR="008B03C2">
        <w:t>was added or subtracted to the optimal value</w:t>
      </w:r>
      <w:proofErr w:type="gramEnd"/>
      <w:r w:rsidR="008B03C2">
        <w:t xml:space="preserve">. The bottom two panels show the distribution in the retrieved </w:t>
      </w:r>
      <w:r w:rsidR="008B03C2">
        <w:rPr>
          <w:i/>
        </w:rPr>
        <w:t>n</w:t>
      </w:r>
      <w:r w:rsidR="008B03C2">
        <w:t xml:space="preserve"> and </w:t>
      </w:r>
      <w:r w:rsidR="008B03C2">
        <w:rPr>
          <w:i/>
        </w:rPr>
        <w:t>k</w:t>
      </w:r>
      <w:r w:rsidR="008B03C2">
        <w:t>, with these distribution fit to a Gaussian distribution to determine the mean and standard deviation in the retrieval distributions.</w:t>
      </w:r>
    </w:p>
    <w:p w14:paraId="4655B9AD" w14:textId="77777777" w:rsidR="003D1FFB" w:rsidRDefault="003D1FFB" w:rsidP="003D1FFB">
      <w:pPr>
        <w:keepNext/>
        <w:jc w:val="center"/>
      </w:pPr>
      <w:r>
        <w:rPr>
          <w:noProof/>
          <w:lang w:eastAsia="en-GB"/>
        </w:rPr>
        <w:lastRenderedPageBreak/>
        <w:drawing>
          <wp:inline distT="0" distB="0" distL="0" distR="0" wp14:anchorId="32BDCB55" wp14:editId="0F497E65">
            <wp:extent cx="3960000" cy="6583502"/>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628\Local Documents\1 UoE - Met Office Research\1_EXPERIMENTAL\size_selection_experiments\Nig\20190318\ analysis_run1 MonteCarloAnalysis_rdry\analysis nig rdry 200 runs.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60000" cy="6583502"/>
                    </a:xfrm>
                    <a:prstGeom prst="rect">
                      <a:avLst/>
                    </a:prstGeom>
                    <a:noFill/>
                    <a:ln>
                      <a:noFill/>
                    </a:ln>
                  </pic:spPr>
                </pic:pic>
              </a:graphicData>
            </a:graphic>
          </wp:inline>
        </w:drawing>
      </w:r>
    </w:p>
    <w:p w14:paraId="0A71DAAB" w14:textId="705B2375" w:rsidR="003D1FFB" w:rsidRDefault="005F0E1A" w:rsidP="003D1FFB">
      <w:pPr>
        <w:pStyle w:val="Caption"/>
      </w:pPr>
      <w:bookmarkStart w:id="25" w:name="_Ref16855295"/>
      <w:r>
        <w:t>Figure S</w:t>
      </w:r>
      <w:r w:rsidR="00D9155D">
        <w:rPr>
          <w:noProof/>
        </w:rPr>
        <w:fldChar w:fldCharType="begin"/>
      </w:r>
      <w:r w:rsidR="00D9155D">
        <w:rPr>
          <w:noProof/>
        </w:rPr>
        <w:instrText xml:space="preserve"> SEQ Figure_S \* ARABIC </w:instrText>
      </w:r>
      <w:r w:rsidR="00D9155D">
        <w:rPr>
          <w:noProof/>
        </w:rPr>
        <w:fldChar w:fldCharType="separate"/>
      </w:r>
      <w:r w:rsidR="00715CF2">
        <w:rPr>
          <w:noProof/>
        </w:rPr>
        <w:t>14</w:t>
      </w:r>
      <w:r w:rsidR="00D9155D">
        <w:rPr>
          <w:noProof/>
        </w:rPr>
        <w:fldChar w:fldCharType="end"/>
      </w:r>
      <w:bookmarkEnd w:id="25"/>
      <w:r w:rsidR="003D1FFB">
        <w:t>. Monte Carlo error analysis for nigrosin refractive index retrievals at the 658 nm spectroscopy wavelength.</w:t>
      </w:r>
      <w:r w:rsidR="008B03C2" w:rsidRPr="008B03C2">
        <w:t xml:space="preserve"> </w:t>
      </w:r>
      <w:r w:rsidR="008B03C2">
        <w:t xml:space="preserve">The top four panels show the randomly-distribute biases applied to the PAS calibration coefficient, CPC counting efficiency,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and the SMPS diameter (</w:t>
      </w:r>
      <w:proofErr w:type="spellStart"/>
      <w:r w:rsidR="008B03C2">
        <w:rPr>
          <w:i/>
        </w:rPr>
        <w:t>D</w:t>
      </w:r>
      <w:r w:rsidR="008B03C2">
        <w:rPr>
          <w:i/>
          <w:vertAlign w:val="subscript"/>
        </w:rPr>
        <w:t>smps</w:t>
      </w:r>
      <w:proofErr w:type="spellEnd"/>
      <w:r w:rsidR="008B03C2">
        <w:t xml:space="preserve">). For the PAS calibration coefficient, CPC counting efficiency and </w:t>
      </w:r>
      <w:proofErr w:type="spellStart"/>
      <w:r w:rsidR="008B03C2">
        <w:rPr>
          <w:i/>
        </w:rPr>
        <w:t>D</w:t>
      </w:r>
      <w:r w:rsidR="008B03C2">
        <w:rPr>
          <w:i/>
          <w:vertAlign w:val="subscript"/>
        </w:rPr>
        <w:t>smps</w:t>
      </w:r>
      <w:proofErr w:type="spellEnd"/>
      <w:r w:rsidR="008B03C2">
        <w:t xml:space="preserve">, these biases </w:t>
      </w:r>
      <w:proofErr w:type="gramStart"/>
      <w:r w:rsidR="008B03C2">
        <w:t>are represented</w:t>
      </w:r>
      <w:proofErr w:type="gramEnd"/>
      <w:r w:rsidR="008B03C2">
        <w:t xml:space="preserve"> as a multiplicative factor that were applied to the recorded values. For </w:t>
      </w:r>
      <w:proofErr w:type="spellStart"/>
      <w:r w:rsidR="008B03C2" w:rsidRPr="005850FD">
        <w:rPr>
          <w:i/>
        </w:rPr>
        <w:t>c</w:t>
      </w:r>
      <w:r w:rsidR="008B03C2" w:rsidRPr="005850FD">
        <w:rPr>
          <w:vertAlign w:val="subscript"/>
        </w:rPr>
        <w:t>+</w:t>
      </w:r>
      <w:r w:rsidR="008B03C2" w:rsidRPr="005850FD">
        <w:rPr>
          <w:i/>
        </w:rPr>
        <w:t>Z</w:t>
      </w:r>
      <w:proofErr w:type="spellEnd"/>
      <w:r w:rsidR="008B03C2" w:rsidRPr="005850FD">
        <w:rPr>
          <w:vertAlign w:val="subscript"/>
        </w:rPr>
        <w:t>+</w:t>
      </w:r>
      <w:r w:rsidR="008B03C2">
        <w:t>/</w:t>
      </w:r>
      <w:r w:rsidR="008B03C2" w:rsidRPr="005850FD">
        <w:rPr>
          <w:i/>
        </w:rPr>
        <w:t>c</w:t>
      </w:r>
      <w:r w:rsidR="008B03C2" w:rsidRPr="005850FD">
        <w:rPr>
          <w:vertAlign w:val="subscript"/>
        </w:rPr>
        <w:noBreakHyphen/>
      </w:r>
      <w:r w:rsidR="008B03C2" w:rsidRPr="005850FD">
        <w:rPr>
          <w:i/>
        </w:rPr>
        <w:t>Z</w:t>
      </w:r>
      <w:r w:rsidR="008B03C2">
        <w:t xml:space="preserve">, the bias is a factor that </w:t>
      </w:r>
      <w:proofErr w:type="gramStart"/>
      <w:r w:rsidR="008B03C2">
        <w:t>was added or subtracted to the optimal value</w:t>
      </w:r>
      <w:proofErr w:type="gramEnd"/>
      <w:r w:rsidR="008B03C2">
        <w:t xml:space="preserve">. The bottom two panels show the distribution in the retrieved </w:t>
      </w:r>
      <w:r w:rsidR="008B03C2">
        <w:rPr>
          <w:i/>
        </w:rPr>
        <w:t>n</w:t>
      </w:r>
      <w:r w:rsidR="008B03C2">
        <w:t xml:space="preserve"> and </w:t>
      </w:r>
      <w:r w:rsidR="008B03C2">
        <w:rPr>
          <w:i/>
        </w:rPr>
        <w:t>k</w:t>
      </w:r>
      <w:r w:rsidR="008B03C2">
        <w:t>, with these distribution fit to a Gaussian distribution to determine the mean and standard deviation in the retrieval distributions.</w:t>
      </w:r>
    </w:p>
    <w:p w14:paraId="1182ADC7" w14:textId="5D5170E6" w:rsidR="004E2BED" w:rsidRDefault="004E2BED">
      <w:pPr>
        <w:spacing w:before="0" w:after="160" w:line="259" w:lineRule="auto"/>
        <w:jc w:val="left"/>
      </w:pPr>
      <w:r>
        <w:br w:type="page"/>
      </w:r>
    </w:p>
    <w:p w14:paraId="18651DF2" w14:textId="77777777" w:rsidR="004E2BED" w:rsidRPr="004E2BED" w:rsidRDefault="004E2BED" w:rsidP="004E2BED"/>
    <w:p w14:paraId="3D6AB8A7" w14:textId="423AA2A1" w:rsidR="002D7137" w:rsidRDefault="002D7137" w:rsidP="000D5AA0">
      <w:pPr>
        <w:pStyle w:val="Heading1"/>
      </w:pPr>
      <w:bookmarkStart w:id="26" w:name="_Toc33176031"/>
      <w:r>
        <w:t>References</w:t>
      </w:r>
      <w:bookmarkEnd w:id="26"/>
    </w:p>
    <w:p w14:paraId="008B0AA4" w14:textId="53D4F213" w:rsidR="002F2263" w:rsidRPr="002F2263" w:rsidRDefault="002D7137" w:rsidP="002F2263">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2F2263" w:rsidRPr="002F2263">
        <w:rPr>
          <w:rFonts w:cs="Times New Roman"/>
          <w:noProof/>
          <w:szCs w:val="24"/>
        </w:rPr>
        <w:t>1</w:t>
      </w:r>
      <w:r w:rsidR="002F2263" w:rsidRPr="002F2263">
        <w:rPr>
          <w:rFonts w:cs="Times New Roman"/>
          <w:noProof/>
          <w:szCs w:val="24"/>
        </w:rPr>
        <w:tab/>
        <w:t xml:space="preserve">D. A. Lack, E. R. Lovejoy, T. Baynard, A. Pettersson and A. R. Ravishankara, </w:t>
      </w:r>
      <w:r w:rsidR="002F2263" w:rsidRPr="002F2263">
        <w:rPr>
          <w:rFonts w:cs="Times New Roman"/>
          <w:i/>
          <w:iCs/>
          <w:noProof/>
          <w:szCs w:val="24"/>
        </w:rPr>
        <w:t>Aerosol Sci. Technol.</w:t>
      </w:r>
      <w:r w:rsidR="002F2263" w:rsidRPr="002F2263">
        <w:rPr>
          <w:rFonts w:cs="Times New Roman"/>
          <w:noProof/>
          <w:szCs w:val="24"/>
        </w:rPr>
        <w:t xml:space="preserve">, 2006, </w:t>
      </w:r>
      <w:r w:rsidR="002F2263" w:rsidRPr="002F2263">
        <w:rPr>
          <w:rFonts w:cs="Times New Roman"/>
          <w:b/>
          <w:bCs/>
          <w:noProof/>
          <w:szCs w:val="24"/>
        </w:rPr>
        <w:t>40</w:t>
      </w:r>
      <w:r w:rsidR="002F2263" w:rsidRPr="002F2263">
        <w:rPr>
          <w:rFonts w:cs="Times New Roman"/>
          <w:noProof/>
          <w:szCs w:val="24"/>
        </w:rPr>
        <w:t>, 697–708.</w:t>
      </w:r>
    </w:p>
    <w:p w14:paraId="7123E77A"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2</w:t>
      </w:r>
      <w:r w:rsidRPr="002F2263">
        <w:rPr>
          <w:rFonts w:cs="Times New Roman"/>
          <w:noProof/>
          <w:szCs w:val="24"/>
        </w:rPr>
        <w:tab/>
        <w:t xml:space="preserve">N. W. Davies, M. I. Cotterell, C. Fox, K. Szpek, J. M. Haywood and J. M. Langridge, </w:t>
      </w:r>
      <w:r w:rsidRPr="002F2263">
        <w:rPr>
          <w:rFonts w:cs="Times New Roman"/>
          <w:i/>
          <w:iCs/>
          <w:noProof/>
          <w:szCs w:val="24"/>
        </w:rPr>
        <w:t>Atmos. Meas. Tech.</w:t>
      </w:r>
      <w:r w:rsidRPr="002F2263">
        <w:rPr>
          <w:rFonts w:cs="Times New Roman"/>
          <w:noProof/>
          <w:szCs w:val="24"/>
        </w:rPr>
        <w:t xml:space="preserve">, 2018, </w:t>
      </w:r>
      <w:r w:rsidRPr="002F2263">
        <w:rPr>
          <w:rFonts w:cs="Times New Roman"/>
          <w:b/>
          <w:bCs/>
          <w:noProof/>
          <w:szCs w:val="24"/>
        </w:rPr>
        <w:t>11</w:t>
      </w:r>
      <w:r w:rsidRPr="002F2263">
        <w:rPr>
          <w:rFonts w:cs="Times New Roman"/>
          <w:noProof/>
          <w:szCs w:val="24"/>
        </w:rPr>
        <w:t>, 2313–2324.</w:t>
      </w:r>
    </w:p>
    <w:p w14:paraId="0974327A"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3</w:t>
      </w:r>
      <w:r w:rsidRPr="002F2263">
        <w:rPr>
          <w:rFonts w:cs="Times New Roman"/>
          <w:noProof/>
          <w:szCs w:val="24"/>
        </w:rPr>
        <w:tab/>
        <w:t xml:space="preserve">K. Foster, R. Pokhrel, M. Burkhart and S. Murphy, </w:t>
      </w:r>
      <w:r w:rsidRPr="002F2263">
        <w:rPr>
          <w:rFonts w:cs="Times New Roman"/>
          <w:i/>
          <w:iCs/>
          <w:noProof/>
          <w:szCs w:val="24"/>
        </w:rPr>
        <w:t>Atmos. Meas. Tech.</w:t>
      </w:r>
      <w:r w:rsidRPr="002F2263">
        <w:rPr>
          <w:rFonts w:cs="Times New Roman"/>
          <w:noProof/>
          <w:szCs w:val="24"/>
        </w:rPr>
        <w:t xml:space="preserve">, 2019, </w:t>
      </w:r>
      <w:r w:rsidRPr="002F2263">
        <w:rPr>
          <w:rFonts w:cs="Times New Roman"/>
          <w:b/>
          <w:bCs/>
          <w:noProof/>
          <w:szCs w:val="24"/>
        </w:rPr>
        <w:t>12</w:t>
      </w:r>
      <w:r w:rsidRPr="002F2263">
        <w:rPr>
          <w:rFonts w:cs="Times New Roman"/>
          <w:noProof/>
          <w:szCs w:val="24"/>
        </w:rPr>
        <w:t>, 3351–3363.</w:t>
      </w:r>
    </w:p>
    <w:p w14:paraId="49C13AC7"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4</w:t>
      </w:r>
      <w:r w:rsidRPr="002F2263">
        <w:rPr>
          <w:rFonts w:cs="Times New Roman"/>
          <w:noProof/>
          <w:szCs w:val="24"/>
        </w:rPr>
        <w:tab/>
        <w:t xml:space="preserve">N. Bluvshtein, J. M. Flores, Q. He, E. Segre, L. Segev, N. Hong, A. Donohue, J. N. Hilfiker and Y. Rudich, </w:t>
      </w:r>
      <w:r w:rsidRPr="002F2263">
        <w:rPr>
          <w:rFonts w:cs="Times New Roman"/>
          <w:i/>
          <w:iCs/>
          <w:noProof/>
          <w:szCs w:val="24"/>
        </w:rPr>
        <w:t>Atmos. Meas. Tech.</w:t>
      </w:r>
      <w:r w:rsidRPr="002F2263">
        <w:rPr>
          <w:rFonts w:cs="Times New Roman"/>
          <w:noProof/>
          <w:szCs w:val="24"/>
        </w:rPr>
        <w:t xml:space="preserve">, 2017, </w:t>
      </w:r>
      <w:r w:rsidRPr="002F2263">
        <w:rPr>
          <w:rFonts w:cs="Times New Roman"/>
          <w:b/>
          <w:bCs/>
          <w:noProof/>
          <w:szCs w:val="24"/>
        </w:rPr>
        <w:t>10</w:t>
      </w:r>
      <w:r w:rsidRPr="002F2263">
        <w:rPr>
          <w:rFonts w:cs="Times New Roman"/>
          <w:noProof/>
          <w:szCs w:val="24"/>
        </w:rPr>
        <w:t>, 1203–1213.</w:t>
      </w:r>
    </w:p>
    <w:p w14:paraId="14F8B093"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5</w:t>
      </w:r>
      <w:r w:rsidRPr="002F2263">
        <w:rPr>
          <w:rFonts w:cs="Times New Roman"/>
          <w:noProof/>
          <w:szCs w:val="24"/>
        </w:rPr>
        <w:tab/>
        <w:t xml:space="preserve">D. Fischer and G. D. Smith, </w:t>
      </w:r>
      <w:r w:rsidRPr="002F2263">
        <w:rPr>
          <w:rFonts w:cs="Times New Roman"/>
          <w:i/>
          <w:iCs/>
          <w:noProof/>
          <w:szCs w:val="24"/>
        </w:rPr>
        <w:t>Aerosol Sci. Technol.</w:t>
      </w:r>
      <w:r w:rsidRPr="002F2263">
        <w:rPr>
          <w:rFonts w:cs="Times New Roman"/>
          <w:noProof/>
          <w:szCs w:val="24"/>
        </w:rPr>
        <w:t xml:space="preserve">, 2018, </w:t>
      </w:r>
      <w:r w:rsidRPr="002F2263">
        <w:rPr>
          <w:rFonts w:cs="Times New Roman"/>
          <w:b/>
          <w:bCs/>
          <w:noProof/>
          <w:szCs w:val="24"/>
        </w:rPr>
        <w:t>52</w:t>
      </w:r>
      <w:r w:rsidRPr="002F2263">
        <w:rPr>
          <w:rFonts w:cs="Times New Roman"/>
          <w:noProof/>
          <w:szCs w:val="24"/>
        </w:rPr>
        <w:t>, 393–406.</w:t>
      </w:r>
    </w:p>
    <w:p w14:paraId="239AA76F"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6</w:t>
      </w:r>
      <w:r w:rsidRPr="002F2263">
        <w:rPr>
          <w:rFonts w:cs="Times New Roman"/>
          <w:noProof/>
          <w:szCs w:val="24"/>
        </w:rPr>
        <w:tab/>
        <w:t xml:space="preserve">M. I. Cotterell, G. P. Ward, A. P. Hibbins, J. M. Haywood, A. Wilson and J. M. Langridge, </w:t>
      </w:r>
      <w:r w:rsidRPr="002F2263">
        <w:rPr>
          <w:rFonts w:cs="Times New Roman"/>
          <w:i/>
          <w:iCs/>
          <w:noProof/>
          <w:szCs w:val="24"/>
        </w:rPr>
        <w:t>Aerosol Sci. Technol.</w:t>
      </w:r>
      <w:r w:rsidRPr="002F2263">
        <w:rPr>
          <w:rFonts w:cs="Times New Roman"/>
          <w:noProof/>
          <w:szCs w:val="24"/>
        </w:rPr>
        <w:t xml:space="preserve">, 2019, </w:t>
      </w:r>
      <w:r w:rsidRPr="002F2263">
        <w:rPr>
          <w:rFonts w:cs="Times New Roman"/>
          <w:b/>
          <w:bCs/>
          <w:noProof/>
          <w:szCs w:val="24"/>
        </w:rPr>
        <w:t>53</w:t>
      </w:r>
      <w:r w:rsidRPr="002F2263">
        <w:rPr>
          <w:rFonts w:cs="Times New Roman"/>
          <w:noProof/>
          <w:szCs w:val="24"/>
        </w:rPr>
        <w:t>, 1107–1127.</w:t>
      </w:r>
    </w:p>
    <w:p w14:paraId="7F16115B"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7</w:t>
      </w:r>
      <w:r w:rsidRPr="002F2263">
        <w:rPr>
          <w:rFonts w:cs="Times New Roman"/>
          <w:noProof/>
          <w:szCs w:val="24"/>
        </w:rPr>
        <w:tab/>
        <w:t xml:space="preserve">M. I. Cotterell, A. J. Orr-Ewing, K. Szpek, J. M. Haywood and J. M. Langridge, </w:t>
      </w:r>
      <w:r w:rsidRPr="002F2263">
        <w:rPr>
          <w:rFonts w:cs="Times New Roman"/>
          <w:i/>
          <w:iCs/>
          <w:noProof/>
          <w:szCs w:val="24"/>
        </w:rPr>
        <w:t>Atmos. Meas. Tech.</w:t>
      </w:r>
      <w:r w:rsidRPr="002F2263">
        <w:rPr>
          <w:rFonts w:cs="Times New Roman"/>
          <w:noProof/>
          <w:szCs w:val="24"/>
        </w:rPr>
        <w:t xml:space="preserve">, 2019, </w:t>
      </w:r>
      <w:r w:rsidRPr="002F2263">
        <w:rPr>
          <w:rFonts w:cs="Times New Roman"/>
          <w:b/>
          <w:bCs/>
          <w:noProof/>
          <w:szCs w:val="24"/>
        </w:rPr>
        <w:t>12</w:t>
      </w:r>
      <w:r w:rsidRPr="002F2263">
        <w:rPr>
          <w:rFonts w:cs="Times New Roman"/>
          <w:noProof/>
          <w:szCs w:val="24"/>
        </w:rPr>
        <w:t>, 2371–2385.</w:t>
      </w:r>
    </w:p>
    <w:p w14:paraId="0CA4CD91"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8</w:t>
      </w:r>
      <w:r w:rsidRPr="002F2263">
        <w:rPr>
          <w:rFonts w:cs="Times New Roman"/>
          <w:noProof/>
          <w:szCs w:val="24"/>
        </w:rPr>
        <w:tab/>
        <w:t xml:space="preserve">R. E. H. Miles, S. Rudić, A. J. Orr-Ewing and J. P. Reid, </w:t>
      </w:r>
      <w:r w:rsidRPr="002F2263">
        <w:rPr>
          <w:rFonts w:cs="Times New Roman"/>
          <w:i/>
          <w:iCs/>
          <w:noProof/>
          <w:szCs w:val="24"/>
        </w:rPr>
        <w:t>Aerosol Sci. Technol.</w:t>
      </w:r>
      <w:r w:rsidRPr="002F2263">
        <w:rPr>
          <w:rFonts w:cs="Times New Roman"/>
          <w:noProof/>
          <w:szCs w:val="24"/>
        </w:rPr>
        <w:t xml:space="preserve">, 2011, </w:t>
      </w:r>
      <w:r w:rsidRPr="002F2263">
        <w:rPr>
          <w:rFonts w:cs="Times New Roman"/>
          <w:b/>
          <w:bCs/>
          <w:noProof/>
          <w:szCs w:val="24"/>
        </w:rPr>
        <w:t>45</w:t>
      </w:r>
      <w:r w:rsidRPr="002F2263">
        <w:rPr>
          <w:rFonts w:cs="Times New Roman"/>
          <w:noProof/>
          <w:szCs w:val="24"/>
        </w:rPr>
        <w:t>, 1360–1375.</w:t>
      </w:r>
    </w:p>
    <w:p w14:paraId="296EF0BE"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9</w:t>
      </w:r>
      <w:r w:rsidRPr="002F2263">
        <w:rPr>
          <w:rFonts w:cs="Times New Roman"/>
          <w:noProof/>
          <w:szCs w:val="24"/>
        </w:rPr>
        <w:tab/>
        <w:t xml:space="preserve">K. J. Zarzana, C. D. Cappa and M. A. Tolbert, </w:t>
      </w:r>
      <w:r w:rsidRPr="002F2263">
        <w:rPr>
          <w:rFonts w:cs="Times New Roman"/>
          <w:i/>
          <w:iCs/>
          <w:noProof/>
          <w:szCs w:val="24"/>
        </w:rPr>
        <w:t>Aerosol Sci. Technol.</w:t>
      </w:r>
      <w:r w:rsidRPr="002F2263">
        <w:rPr>
          <w:rFonts w:cs="Times New Roman"/>
          <w:noProof/>
          <w:szCs w:val="24"/>
        </w:rPr>
        <w:t xml:space="preserve">, 2014, </w:t>
      </w:r>
      <w:r w:rsidRPr="002F2263">
        <w:rPr>
          <w:rFonts w:cs="Times New Roman"/>
          <w:b/>
          <w:bCs/>
          <w:noProof/>
          <w:szCs w:val="24"/>
        </w:rPr>
        <w:t>48</w:t>
      </w:r>
      <w:r w:rsidRPr="002F2263">
        <w:rPr>
          <w:rFonts w:cs="Times New Roman"/>
          <w:noProof/>
          <w:szCs w:val="24"/>
        </w:rPr>
        <w:t>, 1133–1144.</w:t>
      </w:r>
    </w:p>
    <w:p w14:paraId="2016844A"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10</w:t>
      </w:r>
      <w:r w:rsidRPr="002F2263">
        <w:rPr>
          <w:rFonts w:cs="Times New Roman"/>
          <w:noProof/>
          <w:szCs w:val="24"/>
        </w:rPr>
        <w:tab/>
        <w:t xml:space="preserve">R. A. Fletcher, G. W. Mulholland, M. R. Winchester, R. L. King and D. B. Klinedinst, 2009, </w:t>
      </w:r>
      <w:r w:rsidRPr="002F2263">
        <w:rPr>
          <w:rFonts w:cs="Times New Roman"/>
          <w:b/>
          <w:bCs/>
          <w:noProof/>
          <w:szCs w:val="24"/>
        </w:rPr>
        <w:t>6826</w:t>
      </w:r>
      <w:r w:rsidRPr="002F2263">
        <w:rPr>
          <w:rFonts w:cs="Times New Roman"/>
          <w:noProof/>
          <w:szCs w:val="24"/>
        </w:rPr>
        <w:t>.</w:t>
      </w:r>
    </w:p>
    <w:p w14:paraId="1ADDC781"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11</w:t>
      </w:r>
      <w:r w:rsidRPr="002F2263">
        <w:rPr>
          <w:rFonts w:cs="Times New Roman"/>
          <w:noProof/>
          <w:szCs w:val="24"/>
        </w:rPr>
        <w:tab/>
        <w:t xml:space="preserve">L. Tigges, A. Wiedensohler, K. Weinhold, J. Gandhi and H. J. Schmid, </w:t>
      </w:r>
      <w:r w:rsidRPr="002F2263">
        <w:rPr>
          <w:rFonts w:cs="Times New Roman"/>
          <w:i/>
          <w:iCs/>
          <w:noProof/>
          <w:szCs w:val="24"/>
        </w:rPr>
        <w:t>J. Aerosol Sci.</w:t>
      </w:r>
      <w:r w:rsidRPr="002F2263">
        <w:rPr>
          <w:rFonts w:cs="Times New Roman"/>
          <w:noProof/>
          <w:szCs w:val="24"/>
        </w:rPr>
        <w:t xml:space="preserve">, 2015, </w:t>
      </w:r>
      <w:r w:rsidRPr="002F2263">
        <w:rPr>
          <w:rFonts w:cs="Times New Roman"/>
          <w:b/>
          <w:bCs/>
          <w:noProof/>
          <w:szCs w:val="24"/>
        </w:rPr>
        <w:t>90</w:t>
      </w:r>
      <w:r w:rsidRPr="002F2263">
        <w:rPr>
          <w:rFonts w:cs="Times New Roman"/>
          <w:noProof/>
          <w:szCs w:val="24"/>
        </w:rPr>
        <w:t>, 77–86.</w:t>
      </w:r>
    </w:p>
    <w:p w14:paraId="493B5151"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12</w:t>
      </w:r>
      <w:r w:rsidRPr="002F2263">
        <w:rPr>
          <w:rFonts w:cs="Times New Roman"/>
          <w:noProof/>
          <w:szCs w:val="24"/>
        </w:rPr>
        <w:tab/>
        <w:t xml:space="preserve">A. Wiedensohler, </w:t>
      </w:r>
      <w:r w:rsidRPr="002F2263">
        <w:rPr>
          <w:rFonts w:cs="Times New Roman"/>
          <w:i/>
          <w:iCs/>
          <w:noProof/>
          <w:szCs w:val="24"/>
        </w:rPr>
        <w:t>J. Aerosol Sci.</w:t>
      </w:r>
      <w:r w:rsidRPr="002F2263">
        <w:rPr>
          <w:rFonts w:cs="Times New Roman"/>
          <w:noProof/>
          <w:szCs w:val="24"/>
        </w:rPr>
        <w:t xml:space="preserve">, 1988, </w:t>
      </w:r>
      <w:r w:rsidRPr="002F2263">
        <w:rPr>
          <w:rFonts w:cs="Times New Roman"/>
          <w:b/>
          <w:bCs/>
          <w:noProof/>
          <w:szCs w:val="24"/>
        </w:rPr>
        <w:t>19</w:t>
      </w:r>
      <w:r w:rsidRPr="002F2263">
        <w:rPr>
          <w:rFonts w:cs="Times New Roman"/>
          <w:noProof/>
          <w:szCs w:val="24"/>
        </w:rPr>
        <w:t>, 387–389.</w:t>
      </w:r>
    </w:p>
    <w:p w14:paraId="03AB65C6"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13</w:t>
      </w:r>
      <w:r w:rsidRPr="002F2263">
        <w:rPr>
          <w:rFonts w:cs="Times New Roman"/>
          <w:noProof/>
          <w:szCs w:val="24"/>
        </w:rPr>
        <w:tab/>
        <w:t xml:space="preserve">L. Tigges, A. Jain and H. J. Schmid, </w:t>
      </w:r>
      <w:r w:rsidRPr="002F2263">
        <w:rPr>
          <w:rFonts w:cs="Times New Roman"/>
          <w:i/>
          <w:iCs/>
          <w:noProof/>
          <w:szCs w:val="24"/>
        </w:rPr>
        <w:t>J. Aerosol Sci.</w:t>
      </w:r>
      <w:r w:rsidRPr="002F2263">
        <w:rPr>
          <w:rFonts w:cs="Times New Roman"/>
          <w:noProof/>
          <w:szCs w:val="24"/>
        </w:rPr>
        <w:t xml:space="preserve">, 2015, </w:t>
      </w:r>
      <w:r w:rsidRPr="002F2263">
        <w:rPr>
          <w:rFonts w:cs="Times New Roman"/>
          <w:b/>
          <w:bCs/>
          <w:noProof/>
          <w:szCs w:val="24"/>
        </w:rPr>
        <w:t>88</w:t>
      </w:r>
      <w:r w:rsidRPr="002F2263">
        <w:rPr>
          <w:rFonts w:cs="Times New Roman"/>
          <w:noProof/>
          <w:szCs w:val="24"/>
        </w:rPr>
        <w:t>, 119–134.</w:t>
      </w:r>
    </w:p>
    <w:p w14:paraId="616C0C22"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14</w:t>
      </w:r>
      <w:r w:rsidRPr="002F2263">
        <w:rPr>
          <w:rFonts w:cs="Times New Roman"/>
          <w:noProof/>
          <w:szCs w:val="24"/>
        </w:rPr>
        <w:tab/>
        <w:t xml:space="preserve">H. M. Lee, C. Soo Kim, M. Shimada and K. Okuyama, </w:t>
      </w:r>
      <w:r w:rsidRPr="002F2263">
        <w:rPr>
          <w:rFonts w:cs="Times New Roman"/>
          <w:i/>
          <w:iCs/>
          <w:noProof/>
          <w:szCs w:val="24"/>
        </w:rPr>
        <w:t>J. Aerosol Sci.</w:t>
      </w:r>
      <w:r w:rsidRPr="002F2263">
        <w:rPr>
          <w:rFonts w:cs="Times New Roman"/>
          <w:noProof/>
          <w:szCs w:val="24"/>
        </w:rPr>
        <w:t xml:space="preserve">, 2005, </w:t>
      </w:r>
      <w:r w:rsidRPr="002F2263">
        <w:rPr>
          <w:rFonts w:cs="Times New Roman"/>
          <w:b/>
          <w:bCs/>
          <w:noProof/>
          <w:szCs w:val="24"/>
        </w:rPr>
        <w:t>36</w:t>
      </w:r>
      <w:r w:rsidRPr="002F2263">
        <w:rPr>
          <w:rFonts w:cs="Times New Roman"/>
          <w:noProof/>
          <w:szCs w:val="24"/>
        </w:rPr>
        <w:t>, 813–829.</w:t>
      </w:r>
    </w:p>
    <w:p w14:paraId="091A5ED4" w14:textId="77777777" w:rsidR="002F2263" w:rsidRPr="002F2263" w:rsidRDefault="002F2263" w:rsidP="002F2263">
      <w:pPr>
        <w:widowControl w:val="0"/>
        <w:autoSpaceDE w:val="0"/>
        <w:autoSpaceDN w:val="0"/>
        <w:adjustRightInd w:val="0"/>
        <w:ind w:left="640" w:hanging="640"/>
        <w:rPr>
          <w:rFonts w:cs="Times New Roman"/>
          <w:noProof/>
          <w:szCs w:val="24"/>
        </w:rPr>
      </w:pPr>
      <w:r w:rsidRPr="002F2263">
        <w:rPr>
          <w:rFonts w:cs="Times New Roman"/>
          <w:noProof/>
          <w:szCs w:val="24"/>
        </w:rPr>
        <w:t>15</w:t>
      </w:r>
      <w:r w:rsidRPr="002F2263">
        <w:rPr>
          <w:rFonts w:cs="Times New Roman"/>
          <w:noProof/>
          <w:szCs w:val="24"/>
        </w:rPr>
        <w:tab/>
        <w:t xml:space="preserve">O. B. Toon, J. B. Pollack and B. N. Khare, </w:t>
      </w:r>
      <w:r w:rsidRPr="002F2263">
        <w:rPr>
          <w:rFonts w:cs="Times New Roman"/>
          <w:i/>
          <w:iCs/>
          <w:noProof/>
          <w:szCs w:val="24"/>
        </w:rPr>
        <w:t>J. Geophys. Res.</w:t>
      </w:r>
      <w:r w:rsidRPr="002F2263">
        <w:rPr>
          <w:rFonts w:cs="Times New Roman"/>
          <w:noProof/>
          <w:szCs w:val="24"/>
        </w:rPr>
        <w:t xml:space="preserve">, 1976, </w:t>
      </w:r>
      <w:r w:rsidRPr="002F2263">
        <w:rPr>
          <w:rFonts w:cs="Times New Roman"/>
          <w:b/>
          <w:bCs/>
          <w:noProof/>
          <w:szCs w:val="24"/>
        </w:rPr>
        <w:t>81</w:t>
      </w:r>
      <w:r w:rsidRPr="002F2263">
        <w:rPr>
          <w:rFonts w:cs="Times New Roman"/>
          <w:noProof/>
          <w:szCs w:val="24"/>
        </w:rPr>
        <w:t>, 5733–5748.</w:t>
      </w:r>
    </w:p>
    <w:p w14:paraId="53B4A2C3" w14:textId="77777777" w:rsidR="002F2263" w:rsidRPr="002F2263" w:rsidRDefault="002F2263" w:rsidP="002F2263">
      <w:pPr>
        <w:widowControl w:val="0"/>
        <w:autoSpaceDE w:val="0"/>
        <w:autoSpaceDN w:val="0"/>
        <w:adjustRightInd w:val="0"/>
        <w:ind w:left="640" w:hanging="640"/>
        <w:rPr>
          <w:rFonts w:cs="Times New Roman"/>
          <w:noProof/>
        </w:rPr>
      </w:pPr>
      <w:r w:rsidRPr="002F2263">
        <w:rPr>
          <w:rFonts w:cs="Times New Roman"/>
          <w:noProof/>
          <w:szCs w:val="24"/>
        </w:rPr>
        <w:t>16</w:t>
      </w:r>
      <w:r w:rsidRPr="002F2263">
        <w:rPr>
          <w:rFonts w:cs="Times New Roman"/>
          <w:noProof/>
          <w:szCs w:val="24"/>
        </w:rPr>
        <w:tab/>
        <w:t xml:space="preserve">J. G. Radney and C. D. Zangmeister, </w:t>
      </w:r>
      <w:r w:rsidRPr="002F2263">
        <w:rPr>
          <w:rFonts w:cs="Times New Roman"/>
          <w:i/>
          <w:iCs/>
          <w:noProof/>
          <w:szCs w:val="24"/>
        </w:rPr>
        <w:t>J. Quant. Spectrosc. Radiat. Transf.</w:t>
      </w:r>
      <w:r w:rsidRPr="002F2263">
        <w:rPr>
          <w:rFonts w:cs="Times New Roman"/>
          <w:noProof/>
          <w:szCs w:val="24"/>
        </w:rPr>
        <w:t xml:space="preserve">, 2018, </w:t>
      </w:r>
      <w:r w:rsidRPr="002F2263">
        <w:rPr>
          <w:rFonts w:cs="Times New Roman"/>
          <w:b/>
          <w:bCs/>
          <w:noProof/>
          <w:szCs w:val="24"/>
        </w:rPr>
        <w:t>220</w:t>
      </w:r>
      <w:r w:rsidRPr="002F2263">
        <w:rPr>
          <w:rFonts w:cs="Times New Roman"/>
          <w:noProof/>
          <w:szCs w:val="24"/>
        </w:rPr>
        <w:t>, 52–66.</w:t>
      </w:r>
    </w:p>
    <w:p w14:paraId="5E7DCAA9" w14:textId="10A48A26" w:rsidR="002D7137" w:rsidRPr="002D7137" w:rsidRDefault="002D7137" w:rsidP="002D7137">
      <w:r>
        <w:fldChar w:fldCharType="end"/>
      </w:r>
    </w:p>
    <w:sectPr w:rsidR="002D7137" w:rsidRPr="002D7137" w:rsidSect="00731005">
      <w:type w:val="continuous"/>
      <w:pgSz w:w="11906" w:h="16838"/>
      <w:pgMar w:top="1440" w:right="1440" w:bottom="1440" w:left="1440" w:header="709" w:footer="215"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5DD6B" w14:textId="77777777" w:rsidR="00937DAA" w:rsidRDefault="00937DAA" w:rsidP="00DB1B3D">
      <w:pPr>
        <w:spacing w:after="0" w:line="240" w:lineRule="auto"/>
      </w:pPr>
      <w:r>
        <w:separator/>
      </w:r>
    </w:p>
  </w:endnote>
  <w:endnote w:type="continuationSeparator" w:id="0">
    <w:p w14:paraId="60487DDC" w14:textId="77777777" w:rsidR="00937DAA" w:rsidRDefault="00937DAA" w:rsidP="00DB1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263403"/>
      <w:docPartObj>
        <w:docPartGallery w:val="Page Numbers (Bottom of Page)"/>
        <w:docPartUnique/>
      </w:docPartObj>
    </w:sdtPr>
    <w:sdtEndPr>
      <w:rPr>
        <w:noProof/>
      </w:rPr>
    </w:sdtEndPr>
    <w:sdtContent>
      <w:p w14:paraId="5355EE94" w14:textId="1EA1CC1E" w:rsidR="00753C18" w:rsidRDefault="00753C18">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BAE0E82" w14:textId="77777777" w:rsidR="00715CF2" w:rsidRDefault="00715C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1CF97" w14:textId="77777777" w:rsidR="00937DAA" w:rsidRDefault="00937DAA" w:rsidP="00DB1B3D">
      <w:pPr>
        <w:spacing w:after="0" w:line="240" w:lineRule="auto"/>
      </w:pPr>
      <w:r>
        <w:separator/>
      </w:r>
    </w:p>
  </w:footnote>
  <w:footnote w:type="continuationSeparator" w:id="0">
    <w:p w14:paraId="03BCE33D" w14:textId="77777777" w:rsidR="00937DAA" w:rsidRDefault="00937DAA" w:rsidP="00DB1B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F0CA9"/>
    <w:multiLevelType w:val="hybridMultilevel"/>
    <w:tmpl w:val="AC92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E35676"/>
    <w:multiLevelType w:val="hybridMultilevel"/>
    <w:tmpl w:val="68003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6F0F4E"/>
    <w:multiLevelType w:val="multilevel"/>
    <w:tmpl w:val="5E789C6C"/>
    <w:lvl w:ilvl="0">
      <w:start w:val="1"/>
      <w:numFmt w:val="decimal"/>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
  </w:num>
  <w:num w:numId="3">
    <w:abstractNumId w:val="0"/>
  </w:num>
  <w:num w:numId="4">
    <w:abstractNumId w:val="2"/>
    <w:lvlOverride w:ilvl="0">
      <w:lvl w:ilvl="0">
        <w:start w:val="1"/>
        <w:numFmt w:val="none"/>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10E"/>
    <w:rsid w:val="000008EF"/>
    <w:rsid w:val="00000CDD"/>
    <w:rsid w:val="00000E70"/>
    <w:rsid w:val="00002909"/>
    <w:rsid w:val="00003FDC"/>
    <w:rsid w:val="00005913"/>
    <w:rsid w:val="00006FB5"/>
    <w:rsid w:val="00007157"/>
    <w:rsid w:val="0001073A"/>
    <w:rsid w:val="00010B55"/>
    <w:rsid w:val="00015201"/>
    <w:rsid w:val="00015FAD"/>
    <w:rsid w:val="00016806"/>
    <w:rsid w:val="000169F7"/>
    <w:rsid w:val="000172CC"/>
    <w:rsid w:val="00020861"/>
    <w:rsid w:val="00021D60"/>
    <w:rsid w:val="000226C9"/>
    <w:rsid w:val="0002457F"/>
    <w:rsid w:val="00024A26"/>
    <w:rsid w:val="00024BFC"/>
    <w:rsid w:val="0002613F"/>
    <w:rsid w:val="0002715F"/>
    <w:rsid w:val="00027375"/>
    <w:rsid w:val="00027377"/>
    <w:rsid w:val="00027A49"/>
    <w:rsid w:val="00030492"/>
    <w:rsid w:val="00031B76"/>
    <w:rsid w:val="000337E3"/>
    <w:rsid w:val="00034FBD"/>
    <w:rsid w:val="00036B6A"/>
    <w:rsid w:val="00037828"/>
    <w:rsid w:val="00040461"/>
    <w:rsid w:val="00040630"/>
    <w:rsid w:val="0004112D"/>
    <w:rsid w:val="00041423"/>
    <w:rsid w:val="00042E13"/>
    <w:rsid w:val="00045ABF"/>
    <w:rsid w:val="00045EFD"/>
    <w:rsid w:val="00045F9D"/>
    <w:rsid w:val="000466A5"/>
    <w:rsid w:val="000468F2"/>
    <w:rsid w:val="00046A6D"/>
    <w:rsid w:val="00047F4F"/>
    <w:rsid w:val="00051039"/>
    <w:rsid w:val="0005106B"/>
    <w:rsid w:val="00051CBC"/>
    <w:rsid w:val="00052B4C"/>
    <w:rsid w:val="0005316E"/>
    <w:rsid w:val="0005426D"/>
    <w:rsid w:val="00054712"/>
    <w:rsid w:val="0005595E"/>
    <w:rsid w:val="00056408"/>
    <w:rsid w:val="0005791B"/>
    <w:rsid w:val="00057F52"/>
    <w:rsid w:val="00062913"/>
    <w:rsid w:val="00063A0D"/>
    <w:rsid w:val="0006422E"/>
    <w:rsid w:val="000647C2"/>
    <w:rsid w:val="00064B5E"/>
    <w:rsid w:val="00064C65"/>
    <w:rsid w:val="0006511C"/>
    <w:rsid w:val="00065DDF"/>
    <w:rsid w:val="000703DB"/>
    <w:rsid w:val="00071181"/>
    <w:rsid w:val="000728B6"/>
    <w:rsid w:val="00072964"/>
    <w:rsid w:val="00072C1B"/>
    <w:rsid w:val="00072FF3"/>
    <w:rsid w:val="000735CD"/>
    <w:rsid w:val="00073736"/>
    <w:rsid w:val="00073F3D"/>
    <w:rsid w:val="000745F9"/>
    <w:rsid w:val="000761D8"/>
    <w:rsid w:val="0007657F"/>
    <w:rsid w:val="000769ED"/>
    <w:rsid w:val="00076CEC"/>
    <w:rsid w:val="00077821"/>
    <w:rsid w:val="00077F98"/>
    <w:rsid w:val="000800D0"/>
    <w:rsid w:val="00082C54"/>
    <w:rsid w:val="00082CB4"/>
    <w:rsid w:val="000849C2"/>
    <w:rsid w:val="00084BC8"/>
    <w:rsid w:val="00084CFF"/>
    <w:rsid w:val="00084FC9"/>
    <w:rsid w:val="000853E0"/>
    <w:rsid w:val="0008545A"/>
    <w:rsid w:val="00085F28"/>
    <w:rsid w:val="00086396"/>
    <w:rsid w:val="00086823"/>
    <w:rsid w:val="000877D9"/>
    <w:rsid w:val="00087C77"/>
    <w:rsid w:val="00087CDB"/>
    <w:rsid w:val="00091116"/>
    <w:rsid w:val="00091AAE"/>
    <w:rsid w:val="00091CEA"/>
    <w:rsid w:val="00092FD8"/>
    <w:rsid w:val="0009346E"/>
    <w:rsid w:val="00093877"/>
    <w:rsid w:val="00094214"/>
    <w:rsid w:val="00094DEF"/>
    <w:rsid w:val="0009512C"/>
    <w:rsid w:val="0009564A"/>
    <w:rsid w:val="000974AC"/>
    <w:rsid w:val="000A12B2"/>
    <w:rsid w:val="000A13FA"/>
    <w:rsid w:val="000A297B"/>
    <w:rsid w:val="000A60CE"/>
    <w:rsid w:val="000A6782"/>
    <w:rsid w:val="000A6FDD"/>
    <w:rsid w:val="000B086C"/>
    <w:rsid w:val="000B0A13"/>
    <w:rsid w:val="000B0B8E"/>
    <w:rsid w:val="000B1116"/>
    <w:rsid w:val="000B1439"/>
    <w:rsid w:val="000B16F2"/>
    <w:rsid w:val="000B3668"/>
    <w:rsid w:val="000B480F"/>
    <w:rsid w:val="000B48FA"/>
    <w:rsid w:val="000B537A"/>
    <w:rsid w:val="000B6B9A"/>
    <w:rsid w:val="000B7D40"/>
    <w:rsid w:val="000C06D7"/>
    <w:rsid w:val="000C1139"/>
    <w:rsid w:val="000C2725"/>
    <w:rsid w:val="000C2990"/>
    <w:rsid w:val="000C33EF"/>
    <w:rsid w:val="000C382C"/>
    <w:rsid w:val="000C43E5"/>
    <w:rsid w:val="000C4A01"/>
    <w:rsid w:val="000C4F87"/>
    <w:rsid w:val="000C54C4"/>
    <w:rsid w:val="000C5746"/>
    <w:rsid w:val="000C623A"/>
    <w:rsid w:val="000C700F"/>
    <w:rsid w:val="000C71C6"/>
    <w:rsid w:val="000C7A2C"/>
    <w:rsid w:val="000D1516"/>
    <w:rsid w:val="000D292C"/>
    <w:rsid w:val="000D2A68"/>
    <w:rsid w:val="000D334A"/>
    <w:rsid w:val="000D5667"/>
    <w:rsid w:val="000D5812"/>
    <w:rsid w:val="000D5AA0"/>
    <w:rsid w:val="000D66E9"/>
    <w:rsid w:val="000D6FDE"/>
    <w:rsid w:val="000E01F1"/>
    <w:rsid w:val="000E0F2B"/>
    <w:rsid w:val="000E1E6A"/>
    <w:rsid w:val="000E2A55"/>
    <w:rsid w:val="000E3EB7"/>
    <w:rsid w:val="000E64DA"/>
    <w:rsid w:val="000E7CC3"/>
    <w:rsid w:val="000F2A8C"/>
    <w:rsid w:val="000F3870"/>
    <w:rsid w:val="000F44AD"/>
    <w:rsid w:val="000F549C"/>
    <w:rsid w:val="000F6497"/>
    <w:rsid w:val="000F6E82"/>
    <w:rsid w:val="000F7F8C"/>
    <w:rsid w:val="00100465"/>
    <w:rsid w:val="001007D5"/>
    <w:rsid w:val="001016A2"/>
    <w:rsid w:val="001016D2"/>
    <w:rsid w:val="0010337F"/>
    <w:rsid w:val="00103992"/>
    <w:rsid w:val="0010418F"/>
    <w:rsid w:val="001047DE"/>
    <w:rsid w:val="00106618"/>
    <w:rsid w:val="0010739C"/>
    <w:rsid w:val="00107552"/>
    <w:rsid w:val="001100D8"/>
    <w:rsid w:val="00110957"/>
    <w:rsid w:val="00111338"/>
    <w:rsid w:val="00111F8B"/>
    <w:rsid w:val="00112614"/>
    <w:rsid w:val="00113B0D"/>
    <w:rsid w:val="001140A6"/>
    <w:rsid w:val="001148B2"/>
    <w:rsid w:val="00115380"/>
    <w:rsid w:val="00116336"/>
    <w:rsid w:val="001164F5"/>
    <w:rsid w:val="00117BFC"/>
    <w:rsid w:val="00120598"/>
    <w:rsid w:val="00121A63"/>
    <w:rsid w:val="001233EC"/>
    <w:rsid w:val="00124306"/>
    <w:rsid w:val="00124864"/>
    <w:rsid w:val="00126E5F"/>
    <w:rsid w:val="00127C90"/>
    <w:rsid w:val="001305E5"/>
    <w:rsid w:val="00134BBF"/>
    <w:rsid w:val="0013509F"/>
    <w:rsid w:val="0013548A"/>
    <w:rsid w:val="00135771"/>
    <w:rsid w:val="00136192"/>
    <w:rsid w:val="001404FF"/>
    <w:rsid w:val="00143128"/>
    <w:rsid w:val="0014326C"/>
    <w:rsid w:val="00143736"/>
    <w:rsid w:val="00143C9B"/>
    <w:rsid w:val="00143CDB"/>
    <w:rsid w:val="001447AE"/>
    <w:rsid w:val="00145267"/>
    <w:rsid w:val="001455A4"/>
    <w:rsid w:val="0014795E"/>
    <w:rsid w:val="00150042"/>
    <w:rsid w:val="0015058A"/>
    <w:rsid w:val="0015152C"/>
    <w:rsid w:val="00151F14"/>
    <w:rsid w:val="001562ED"/>
    <w:rsid w:val="00157534"/>
    <w:rsid w:val="00161E65"/>
    <w:rsid w:val="00163B78"/>
    <w:rsid w:val="00164625"/>
    <w:rsid w:val="00164762"/>
    <w:rsid w:val="001654D1"/>
    <w:rsid w:val="001658EA"/>
    <w:rsid w:val="001672F7"/>
    <w:rsid w:val="0017290A"/>
    <w:rsid w:val="00173982"/>
    <w:rsid w:val="001739C6"/>
    <w:rsid w:val="00173C27"/>
    <w:rsid w:val="001749A8"/>
    <w:rsid w:val="00177431"/>
    <w:rsid w:val="00181416"/>
    <w:rsid w:val="00183145"/>
    <w:rsid w:val="00183693"/>
    <w:rsid w:val="00183797"/>
    <w:rsid w:val="001846B1"/>
    <w:rsid w:val="0018606F"/>
    <w:rsid w:val="001865C3"/>
    <w:rsid w:val="001871B9"/>
    <w:rsid w:val="00187C82"/>
    <w:rsid w:val="001904F3"/>
    <w:rsid w:val="00190EBF"/>
    <w:rsid w:val="00190FFF"/>
    <w:rsid w:val="001920DC"/>
    <w:rsid w:val="00193309"/>
    <w:rsid w:val="00193F43"/>
    <w:rsid w:val="00194D58"/>
    <w:rsid w:val="00194FC1"/>
    <w:rsid w:val="001955BF"/>
    <w:rsid w:val="00195AEC"/>
    <w:rsid w:val="00197267"/>
    <w:rsid w:val="001A16F1"/>
    <w:rsid w:val="001A22AA"/>
    <w:rsid w:val="001A38F3"/>
    <w:rsid w:val="001A3D5F"/>
    <w:rsid w:val="001A478F"/>
    <w:rsid w:val="001A4895"/>
    <w:rsid w:val="001A5BDC"/>
    <w:rsid w:val="001A6CC3"/>
    <w:rsid w:val="001A764A"/>
    <w:rsid w:val="001A7E33"/>
    <w:rsid w:val="001B0C56"/>
    <w:rsid w:val="001B2E02"/>
    <w:rsid w:val="001B4363"/>
    <w:rsid w:val="001B4F43"/>
    <w:rsid w:val="001B51EB"/>
    <w:rsid w:val="001B5BF0"/>
    <w:rsid w:val="001B6615"/>
    <w:rsid w:val="001B7589"/>
    <w:rsid w:val="001B789C"/>
    <w:rsid w:val="001C05D4"/>
    <w:rsid w:val="001C0788"/>
    <w:rsid w:val="001C078F"/>
    <w:rsid w:val="001C1099"/>
    <w:rsid w:val="001C13A7"/>
    <w:rsid w:val="001C1EBC"/>
    <w:rsid w:val="001C20AB"/>
    <w:rsid w:val="001C269C"/>
    <w:rsid w:val="001C290F"/>
    <w:rsid w:val="001C417D"/>
    <w:rsid w:val="001C4719"/>
    <w:rsid w:val="001C499C"/>
    <w:rsid w:val="001C4A4F"/>
    <w:rsid w:val="001C4BA7"/>
    <w:rsid w:val="001C5E50"/>
    <w:rsid w:val="001C6AD0"/>
    <w:rsid w:val="001C6C00"/>
    <w:rsid w:val="001D1E33"/>
    <w:rsid w:val="001D437D"/>
    <w:rsid w:val="001D69CB"/>
    <w:rsid w:val="001D7A16"/>
    <w:rsid w:val="001E046A"/>
    <w:rsid w:val="001E0C30"/>
    <w:rsid w:val="001E16D6"/>
    <w:rsid w:val="001E28FC"/>
    <w:rsid w:val="001E32D2"/>
    <w:rsid w:val="001E3415"/>
    <w:rsid w:val="001E44EB"/>
    <w:rsid w:val="001E48A5"/>
    <w:rsid w:val="001E4AA8"/>
    <w:rsid w:val="001E4D45"/>
    <w:rsid w:val="001E57CA"/>
    <w:rsid w:val="001E5F84"/>
    <w:rsid w:val="001E5F96"/>
    <w:rsid w:val="001E7CE1"/>
    <w:rsid w:val="001F003F"/>
    <w:rsid w:val="001F0689"/>
    <w:rsid w:val="001F2389"/>
    <w:rsid w:val="001F24E3"/>
    <w:rsid w:val="001F2AC9"/>
    <w:rsid w:val="001F34DF"/>
    <w:rsid w:val="001F56AF"/>
    <w:rsid w:val="001F5A84"/>
    <w:rsid w:val="001F6A48"/>
    <w:rsid w:val="001F7DF8"/>
    <w:rsid w:val="00200789"/>
    <w:rsid w:val="00200C0F"/>
    <w:rsid w:val="00201095"/>
    <w:rsid w:val="00202034"/>
    <w:rsid w:val="002038E3"/>
    <w:rsid w:val="00203A76"/>
    <w:rsid w:val="00204025"/>
    <w:rsid w:val="00204BFE"/>
    <w:rsid w:val="002076C0"/>
    <w:rsid w:val="00207898"/>
    <w:rsid w:val="00207A38"/>
    <w:rsid w:val="00207C45"/>
    <w:rsid w:val="0021385F"/>
    <w:rsid w:val="00213D0D"/>
    <w:rsid w:val="00213E0F"/>
    <w:rsid w:val="00215D36"/>
    <w:rsid w:val="00216549"/>
    <w:rsid w:val="00216C41"/>
    <w:rsid w:val="00217146"/>
    <w:rsid w:val="00221846"/>
    <w:rsid w:val="00222574"/>
    <w:rsid w:val="002227A5"/>
    <w:rsid w:val="00222AC6"/>
    <w:rsid w:val="00222C1B"/>
    <w:rsid w:val="002237A9"/>
    <w:rsid w:val="002239FD"/>
    <w:rsid w:val="002262EA"/>
    <w:rsid w:val="00226E94"/>
    <w:rsid w:val="00226FFC"/>
    <w:rsid w:val="00230BC9"/>
    <w:rsid w:val="00230EAC"/>
    <w:rsid w:val="002317E3"/>
    <w:rsid w:val="00232A37"/>
    <w:rsid w:val="00233C40"/>
    <w:rsid w:val="002343B9"/>
    <w:rsid w:val="00235921"/>
    <w:rsid w:val="00236903"/>
    <w:rsid w:val="00237970"/>
    <w:rsid w:val="0024078B"/>
    <w:rsid w:val="002414B8"/>
    <w:rsid w:val="00243AE4"/>
    <w:rsid w:val="00243C15"/>
    <w:rsid w:val="00246168"/>
    <w:rsid w:val="00246FA1"/>
    <w:rsid w:val="0024713B"/>
    <w:rsid w:val="002472E0"/>
    <w:rsid w:val="00247646"/>
    <w:rsid w:val="00250F07"/>
    <w:rsid w:val="0025184B"/>
    <w:rsid w:val="00252EF4"/>
    <w:rsid w:val="00253411"/>
    <w:rsid w:val="002545BC"/>
    <w:rsid w:val="00255E82"/>
    <w:rsid w:val="00256F0F"/>
    <w:rsid w:val="002570A8"/>
    <w:rsid w:val="00257FB3"/>
    <w:rsid w:val="002617B7"/>
    <w:rsid w:val="0026334C"/>
    <w:rsid w:val="00264F5C"/>
    <w:rsid w:val="00266F80"/>
    <w:rsid w:val="0027071E"/>
    <w:rsid w:val="00270C15"/>
    <w:rsid w:val="0027100B"/>
    <w:rsid w:val="00271662"/>
    <w:rsid w:val="00272417"/>
    <w:rsid w:val="00272C9E"/>
    <w:rsid w:val="002730FE"/>
    <w:rsid w:val="0027375D"/>
    <w:rsid w:val="00274273"/>
    <w:rsid w:val="00276A73"/>
    <w:rsid w:val="00277564"/>
    <w:rsid w:val="002800BE"/>
    <w:rsid w:val="00281152"/>
    <w:rsid w:val="00281675"/>
    <w:rsid w:val="002816A5"/>
    <w:rsid w:val="002819A6"/>
    <w:rsid w:val="00282D21"/>
    <w:rsid w:val="00282F7A"/>
    <w:rsid w:val="0028418E"/>
    <w:rsid w:val="00284815"/>
    <w:rsid w:val="0028609F"/>
    <w:rsid w:val="002871D1"/>
    <w:rsid w:val="002877C8"/>
    <w:rsid w:val="002901CD"/>
    <w:rsid w:val="0029082C"/>
    <w:rsid w:val="00291CF2"/>
    <w:rsid w:val="00291FA1"/>
    <w:rsid w:val="00295D02"/>
    <w:rsid w:val="0029726E"/>
    <w:rsid w:val="00297B08"/>
    <w:rsid w:val="002A1845"/>
    <w:rsid w:val="002A1E30"/>
    <w:rsid w:val="002A3F26"/>
    <w:rsid w:val="002A58AE"/>
    <w:rsid w:val="002A6506"/>
    <w:rsid w:val="002A77D7"/>
    <w:rsid w:val="002B0546"/>
    <w:rsid w:val="002B0D61"/>
    <w:rsid w:val="002B3436"/>
    <w:rsid w:val="002B3459"/>
    <w:rsid w:val="002B3832"/>
    <w:rsid w:val="002B7017"/>
    <w:rsid w:val="002B704D"/>
    <w:rsid w:val="002B775F"/>
    <w:rsid w:val="002B7826"/>
    <w:rsid w:val="002C1266"/>
    <w:rsid w:val="002C200E"/>
    <w:rsid w:val="002C39C2"/>
    <w:rsid w:val="002C3F59"/>
    <w:rsid w:val="002C43D6"/>
    <w:rsid w:val="002C5AB2"/>
    <w:rsid w:val="002C7911"/>
    <w:rsid w:val="002D00E1"/>
    <w:rsid w:val="002D040E"/>
    <w:rsid w:val="002D04BE"/>
    <w:rsid w:val="002D083E"/>
    <w:rsid w:val="002D0F8F"/>
    <w:rsid w:val="002D3F25"/>
    <w:rsid w:val="002D53C8"/>
    <w:rsid w:val="002D5F19"/>
    <w:rsid w:val="002D6184"/>
    <w:rsid w:val="002D6339"/>
    <w:rsid w:val="002D7137"/>
    <w:rsid w:val="002E02DA"/>
    <w:rsid w:val="002E05BC"/>
    <w:rsid w:val="002E350B"/>
    <w:rsid w:val="002E4924"/>
    <w:rsid w:val="002E62B3"/>
    <w:rsid w:val="002E7AEA"/>
    <w:rsid w:val="002F0845"/>
    <w:rsid w:val="002F1EA9"/>
    <w:rsid w:val="002F2263"/>
    <w:rsid w:val="002F2325"/>
    <w:rsid w:val="002F2442"/>
    <w:rsid w:val="002F2EA7"/>
    <w:rsid w:val="002F33BE"/>
    <w:rsid w:val="002F47E2"/>
    <w:rsid w:val="002F4C06"/>
    <w:rsid w:val="002F66A4"/>
    <w:rsid w:val="002F6CF0"/>
    <w:rsid w:val="002F7923"/>
    <w:rsid w:val="002F7C0E"/>
    <w:rsid w:val="003011B6"/>
    <w:rsid w:val="00301E21"/>
    <w:rsid w:val="00306D8B"/>
    <w:rsid w:val="00307294"/>
    <w:rsid w:val="00307B69"/>
    <w:rsid w:val="0031210E"/>
    <w:rsid w:val="003126A2"/>
    <w:rsid w:val="00313B92"/>
    <w:rsid w:val="00314C0C"/>
    <w:rsid w:val="00316674"/>
    <w:rsid w:val="00320183"/>
    <w:rsid w:val="003215C9"/>
    <w:rsid w:val="0032186F"/>
    <w:rsid w:val="00321DD7"/>
    <w:rsid w:val="003226DF"/>
    <w:rsid w:val="003255F7"/>
    <w:rsid w:val="00325F72"/>
    <w:rsid w:val="00327C41"/>
    <w:rsid w:val="00330B60"/>
    <w:rsid w:val="00331C51"/>
    <w:rsid w:val="00331D7F"/>
    <w:rsid w:val="0033337D"/>
    <w:rsid w:val="00333477"/>
    <w:rsid w:val="003343FD"/>
    <w:rsid w:val="003345B0"/>
    <w:rsid w:val="00334C44"/>
    <w:rsid w:val="00334E71"/>
    <w:rsid w:val="00335012"/>
    <w:rsid w:val="00335840"/>
    <w:rsid w:val="00336416"/>
    <w:rsid w:val="00337193"/>
    <w:rsid w:val="00337686"/>
    <w:rsid w:val="00340D3F"/>
    <w:rsid w:val="003429F5"/>
    <w:rsid w:val="00342D33"/>
    <w:rsid w:val="003438C8"/>
    <w:rsid w:val="00343D14"/>
    <w:rsid w:val="00344EB5"/>
    <w:rsid w:val="0034568A"/>
    <w:rsid w:val="00346291"/>
    <w:rsid w:val="00347333"/>
    <w:rsid w:val="003473C1"/>
    <w:rsid w:val="00354825"/>
    <w:rsid w:val="003548FE"/>
    <w:rsid w:val="00355302"/>
    <w:rsid w:val="0035573A"/>
    <w:rsid w:val="0035676E"/>
    <w:rsid w:val="00356B23"/>
    <w:rsid w:val="00357544"/>
    <w:rsid w:val="00357B5E"/>
    <w:rsid w:val="00357C7A"/>
    <w:rsid w:val="00360067"/>
    <w:rsid w:val="003601DF"/>
    <w:rsid w:val="00361956"/>
    <w:rsid w:val="00362FD3"/>
    <w:rsid w:val="003643E6"/>
    <w:rsid w:val="0036750E"/>
    <w:rsid w:val="003676B3"/>
    <w:rsid w:val="003678E1"/>
    <w:rsid w:val="00367A01"/>
    <w:rsid w:val="00370A6E"/>
    <w:rsid w:val="00370CA4"/>
    <w:rsid w:val="00371A94"/>
    <w:rsid w:val="003721BF"/>
    <w:rsid w:val="00374A92"/>
    <w:rsid w:val="00374B85"/>
    <w:rsid w:val="00375BE1"/>
    <w:rsid w:val="00375C52"/>
    <w:rsid w:val="00376EA3"/>
    <w:rsid w:val="0037723B"/>
    <w:rsid w:val="003772CF"/>
    <w:rsid w:val="00377459"/>
    <w:rsid w:val="00380969"/>
    <w:rsid w:val="0038346E"/>
    <w:rsid w:val="00383526"/>
    <w:rsid w:val="00383F1D"/>
    <w:rsid w:val="00384269"/>
    <w:rsid w:val="00384B22"/>
    <w:rsid w:val="00384DFE"/>
    <w:rsid w:val="003861CD"/>
    <w:rsid w:val="00386EF3"/>
    <w:rsid w:val="003878A4"/>
    <w:rsid w:val="0039087A"/>
    <w:rsid w:val="00391613"/>
    <w:rsid w:val="00392042"/>
    <w:rsid w:val="003926D2"/>
    <w:rsid w:val="00392E45"/>
    <w:rsid w:val="0039425F"/>
    <w:rsid w:val="00395614"/>
    <w:rsid w:val="00395BC9"/>
    <w:rsid w:val="00396DBF"/>
    <w:rsid w:val="003A22E9"/>
    <w:rsid w:val="003A2307"/>
    <w:rsid w:val="003A38ED"/>
    <w:rsid w:val="003A3AB3"/>
    <w:rsid w:val="003A3BBA"/>
    <w:rsid w:val="003A7D9F"/>
    <w:rsid w:val="003B0F1E"/>
    <w:rsid w:val="003B134A"/>
    <w:rsid w:val="003B17C8"/>
    <w:rsid w:val="003B1DEE"/>
    <w:rsid w:val="003B2C65"/>
    <w:rsid w:val="003B6971"/>
    <w:rsid w:val="003B7EB3"/>
    <w:rsid w:val="003C00FA"/>
    <w:rsid w:val="003C0FC2"/>
    <w:rsid w:val="003C0FD0"/>
    <w:rsid w:val="003C16AE"/>
    <w:rsid w:val="003C19FD"/>
    <w:rsid w:val="003C28AC"/>
    <w:rsid w:val="003C44C7"/>
    <w:rsid w:val="003C46B1"/>
    <w:rsid w:val="003C6EC0"/>
    <w:rsid w:val="003C7721"/>
    <w:rsid w:val="003D0150"/>
    <w:rsid w:val="003D01A9"/>
    <w:rsid w:val="003D0EAA"/>
    <w:rsid w:val="003D11CF"/>
    <w:rsid w:val="003D1FFB"/>
    <w:rsid w:val="003D2433"/>
    <w:rsid w:val="003D2706"/>
    <w:rsid w:val="003D36FC"/>
    <w:rsid w:val="003D377C"/>
    <w:rsid w:val="003D6148"/>
    <w:rsid w:val="003D6939"/>
    <w:rsid w:val="003E00D7"/>
    <w:rsid w:val="003E199C"/>
    <w:rsid w:val="003E1C30"/>
    <w:rsid w:val="003E214D"/>
    <w:rsid w:val="003E328F"/>
    <w:rsid w:val="003E3E05"/>
    <w:rsid w:val="003E3F6E"/>
    <w:rsid w:val="003E6212"/>
    <w:rsid w:val="003E65AE"/>
    <w:rsid w:val="003E7352"/>
    <w:rsid w:val="003E76A7"/>
    <w:rsid w:val="003F283D"/>
    <w:rsid w:val="003F2A5F"/>
    <w:rsid w:val="003F4773"/>
    <w:rsid w:val="003F48EC"/>
    <w:rsid w:val="003F5523"/>
    <w:rsid w:val="003F5CB0"/>
    <w:rsid w:val="003F600A"/>
    <w:rsid w:val="003F6487"/>
    <w:rsid w:val="003F64CA"/>
    <w:rsid w:val="00402150"/>
    <w:rsid w:val="00405937"/>
    <w:rsid w:val="00406E76"/>
    <w:rsid w:val="00407653"/>
    <w:rsid w:val="00410660"/>
    <w:rsid w:val="00410F59"/>
    <w:rsid w:val="0041152B"/>
    <w:rsid w:val="00411A2C"/>
    <w:rsid w:val="0041201E"/>
    <w:rsid w:val="0041348F"/>
    <w:rsid w:val="00413F03"/>
    <w:rsid w:val="004159AD"/>
    <w:rsid w:val="00416E42"/>
    <w:rsid w:val="004176DA"/>
    <w:rsid w:val="0042172D"/>
    <w:rsid w:val="00423508"/>
    <w:rsid w:val="004239A9"/>
    <w:rsid w:val="00424508"/>
    <w:rsid w:val="00424C9C"/>
    <w:rsid w:val="00425131"/>
    <w:rsid w:val="0042579D"/>
    <w:rsid w:val="00425C36"/>
    <w:rsid w:val="00426493"/>
    <w:rsid w:val="0042749C"/>
    <w:rsid w:val="004279C0"/>
    <w:rsid w:val="00427D99"/>
    <w:rsid w:val="00430515"/>
    <w:rsid w:val="00431153"/>
    <w:rsid w:val="0043190B"/>
    <w:rsid w:val="00431F44"/>
    <w:rsid w:val="004320F6"/>
    <w:rsid w:val="00433929"/>
    <w:rsid w:val="004350FD"/>
    <w:rsid w:val="00435466"/>
    <w:rsid w:val="004359C3"/>
    <w:rsid w:val="00435F3E"/>
    <w:rsid w:val="0043765E"/>
    <w:rsid w:val="00437FCE"/>
    <w:rsid w:val="004401FE"/>
    <w:rsid w:val="004403BD"/>
    <w:rsid w:val="00440E36"/>
    <w:rsid w:val="004419E5"/>
    <w:rsid w:val="00441AB2"/>
    <w:rsid w:val="00442AA2"/>
    <w:rsid w:val="00445DA9"/>
    <w:rsid w:val="00446101"/>
    <w:rsid w:val="00447C07"/>
    <w:rsid w:val="004507E4"/>
    <w:rsid w:val="004519C7"/>
    <w:rsid w:val="00453DC8"/>
    <w:rsid w:val="00455F7B"/>
    <w:rsid w:val="0045630A"/>
    <w:rsid w:val="00456952"/>
    <w:rsid w:val="00456E32"/>
    <w:rsid w:val="0045747C"/>
    <w:rsid w:val="00457C4C"/>
    <w:rsid w:val="0046080B"/>
    <w:rsid w:val="00460837"/>
    <w:rsid w:val="00462CE1"/>
    <w:rsid w:val="00463C68"/>
    <w:rsid w:val="00463CE9"/>
    <w:rsid w:val="0046426F"/>
    <w:rsid w:val="00464510"/>
    <w:rsid w:val="00464A88"/>
    <w:rsid w:val="00466E69"/>
    <w:rsid w:val="00467304"/>
    <w:rsid w:val="00471532"/>
    <w:rsid w:val="00471EDA"/>
    <w:rsid w:val="00471F7B"/>
    <w:rsid w:val="00472FF2"/>
    <w:rsid w:val="0047391A"/>
    <w:rsid w:val="004760F0"/>
    <w:rsid w:val="004777B5"/>
    <w:rsid w:val="00481435"/>
    <w:rsid w:val="00481FC5"/>
    <w:rsid w:val="00482276"/>
    <w:rsid w:val="00482B7C"/>
    <w:rsid w:val="00482C5F"/>
    <w:rsid w:val="00483FE7"/>
    <w:rsid w:val="00484A39"/>
    <w:rsid w:val="0048580E"/>
    <w:rsid w:val="00485F1D"/>
    <w:rsid w:val="00486467"/>
    <w:rsid w:val="004866E4"/>
    <w:rsid w:val="00491103"/>
    <w:rsid w:val="00491517"/>
    <w:rsid w:val="00491753"/>
    <w:rsid w:val="004921F9"/>
    <w:rsid w:val="00492B5B"/>
    <w:rsid w:val="00493DC2"/>
    <w:rsid w:val="00494828"/>
    <w:rsid w:val="0049657B"/>
    <w:rsid w:val="004969C0"/>
    <w:rsid w:val="00497725"/>
    <w:rsid w:val="004A1A0D"/>
    <w:rsid w:val="004A39E7"/>
    <w:rsid w:val="004A75C9"/>
    <w:rsid w:val="004B14FF"/>
    <w:rsid w:val="004B213D"/>
    <w:rsid w:val="004B3265"/>
    <w:rsid w:val="004B3F43"/>
    <w:rsid w:val="004B4E74"/>
    <w:rsid w:val="004B54C8"/>
    <w:rsid w:val="004B5BC9"/>
    <w:rsid w:val="004B5E1B"/>
    <w:rsid w:val="004B69D6"/>
    <w:rsid w:val="004B7118"/>
    <w:rsid w:val="004B7967"/>
    <w:rsid w:val="004B79C0"/>
    <w:rsid w:val="004C05E4"/>
    <w:rsid w:val="004C06B1"/>
    <w:rsid w:val="004C0B17"/>
    <w:rsid w:val="004C1A5E"/>
    <w:rsid w:val="004C1A73"/>
    <w:rsid w:val="004C2657"/>
    <w:rsid w:val="004C48F8"/>
    <w:rsid w:val="004C4C8D"/>
    <w:rsid w:val="004C6997"/>
    <w:rsid w:val="004C6EA8"/>
    <w:rsid w:val="004C7168"/>
    <w:rsid w:val="004C7C04"/>
    <w:rsid w:val="004D1A45"/>
    <w:rsid w:val="004D24F9"/>
    <w:rsid w:val="004D277F"/>
    <w:rsid w:val="004D2F5D"/>
    <w:rsid w:val="004D3219"/>
    <w:rsid w:val="004D32AF"/>
    <w:rsid w:val="004D3AD8"/>
    <w:rsid w:val="004D4A9C"/>
    <w:rsid w:val="004D5209"/>
    <w:rsid w:val="004D71F6"/>
    <w:rsid w:val="004D7D46"/>
    <w:rsid w:val="004D7FE0"/>
    <w:rsid w:val="004E041D"/>
    <w:rsid w:val="004E09EA"/>
    <w:rsid w:val="004E1CE5"/>
    <w:rsid w:val="004E21C0"/>
    <w:rsid w:val="004E28CD"/>
    <w:rsid w:val="004E2BED"/>
    <w:rsid w:val="004E3467"/>
    <w:rsid w:val="004E3D74"/>
    <w:rsid w:val="004E44AB"/>
    <w:rsid w:val="004E470E"/>
    <w:rsid w:val="004E4871"/>
    <w:rsid w:val="004E5E5D"/>
    <w:rsid w:val="004E6140"/>
    <w:rsid w:val="004E79B8"/>
    <w:rsid w:val="004F2765"/>
    <w:rsid w:val="004F290A"/>
    <w:rsid w:val="004F2A1A"/>
    <w:rsid w:val="004F2B81"/>
    <w:rsid w:val="004F3323"/>
    <w:rsid w:val="004F3941"/>
    <w:rsid w:val="004F4030"/>
    <w:rsid w:val="004F4339"/>
    <w:rsid w:val="004F6146"/>
    <w:rsid w:val="004F6749"/>
    <w:rsid w:val="004F6ADC"/>
    <w:rsid w:val="00501E16"/>
    <w:rsid w:val="005027C2"/>
    <w:rsid w:val="00507087"/>
    <w:rsid w:val="00511730"/>
    <w:rsid w:val="005124C7"/>
    <w:rsid w:val="0051286E"/>
    <w:rsid w:val="00512EA5"/>
    <w:rsid w:val="00514491"/>
    <w:rsid w:val="005161BA"/>
    <w:rsid w:val="005175CF"/>
    <w:rsid w:val="0051780F"/>
    <w:rsid w:val="00521BC7"/>
    <w:rsid w:val="005221C8"/>
    <w:rsid w:val="00524844"/>
    <w:rsid w:val="005248D5"/>
    <w:rsid w:val="00525040"/>
    <w:rsid w:val="00525091"/>
    <w:rsid w:val="00525803"/>
    <w:rsid w:val="00526155"/>
    <w:rsid w:val="0052700C"/>
    <w:rsid w:val="00527BBE"/>
    <w:rsid w:val="00530916"/>
    <w:rsid w:val="0053223C"/>
    <w:rsid w:val="0053236C"/>
    <w:rsid w:val="00534744"/>
    <w:rsid w:val="00535355"/>
    <w:rsid w:val="0053593B"/>
    <w:rsid w:val="00537953"/>
    <w:rsid w:val="0054093A"/>
    <w:rsid w:val="00540A9D"/>
    <w:rsid w:val="005412C9"/>
    <w:rsid w:val="00541840"/>
    <w:rsid w:val="00541A2B"/>
    <w:rsid w:val="00541B7E"/>
    <w:rsid w:val="00542E39"/>
    <w:rsid w:val="005434AA"/>
    <w:rsid w:val="00544288"/>
    <w:rsid w:val="005444B6"/>
    <w:rsid w:val="0054669D"/>
    <w:rsid w:val="0054675C"/>
    <w:rsid w:val="005477D2"/>
    <w:rsid w:val="00547C1F"/>
    <w:rsid w:val="005500EF"/>
    <w:rsid w:val="00552488"/>
    <w:rsid w:val="00552618"/>
    <w:rsid w:val="00555116"/>
    <w:rsid w:val="00556DA8"/>
    <w:rsid w:val="00560731"/>
    <w:rsid w:val="005612CC"/>
    <w:rsid w:val="00561565"/>
    <w:rsid w:val="005616D0"/>
    <w:rsid w:val="00561C54"/>
    <w:rsid w:val="00562F36"/>
    <w:rsid w:val="00564018"/>
    <w:rsid w:val="005660F8"/>
    <w:rsid w:val="00566B11"/>
    <w:rsid w:val="00567030"/>
    <w:rsid w:val="00567785"/>
    <w:rsid w:val="005703DE"/>
    <w:rsid w:val="00571574"/>
    <w:rsid w:val="00571FF5"/>
    <w:rsid w:val="005724C1"/>
    <w:rsid w:val="00572BDC"/>
    <w:rsid w:val="00574109"/>
    <w:rsid w:val="00574B84"/>
    <w:rsid w:val="00574D71"/>
    <w:rsid w:val="00575A3E"/>
    <w:rsid w:val="00575C51"/>
    <w:rsid w:val="00576C9E"/>
    <w:rsid w:val="0057742B"/>
    <w:rsid w:val="00580DAA"/>
    <w:rsid w:val="0058225A"/>
    <w:rsid w:val="005823A4"/>
    <w:rsid w:val="0058383C"/>
    <w:rsid w:val="00584183"/>
    <w:rsid w:val="005850FD"/>
    <w:rsid w:val="005867AF"/>
    <w:rsid w:val="00586DC2"/>
    <w:rsid w:val="00590894"/>
    <w:rsid w:val="005915B3"/>
    <w:rsid w:val="005933F4"/>
    <w:rsid w:val="0059510D"/>
    <w:rsid w:val="00595956"/>
    <w:rsid w:val="00597D2F"/>
    <w:rsid w:val="005A13CB"/>
    <w:rsid w:val="005A1860"/>
    <w:rsid w:val="005A1B3F"/>
    <w:rsid w:val="005A1D5A"/>
    <w:rsid w:val="005A1ED3"/>
    <w:rsid w:val="005A34A0"/>
    <w:rsid w:val="005A3C94"/>
    <w:rsid w:val="005A4623"/>
    <w:rsid w:val="005A70A7"/>
    <w:rsid w:val="005A74FD"/>
    <w:rsid w:val="005A75B9"/>
    <w:rsid w:val="005A7EF4"/>
    <w:rsid w:val="005B1DD1"/>
    <w:rsid w:val="005B2869"/>
    <w:rsid w:val="005B29E6"/>
    <w:rsid w:val="005B3E6D"/>
    <w:rsid w:val="005B44DD"/>
    <w:rsid w:val="005B46DF"/>
    <w:rsid w:val="005B4F29"/>
    <w:rsid w:val="005B4F8B"/>
    <w:rsid w:val="005B563E"/>
    <w:rsid w:val="005B6690"/>
    <w:rsid w:val="005B7C3B"/>
    <w:rsid w:val="005B7CC6"/>
    <w:rsid w:val="005C007B"/>
    <w:rsid w:val="005C016C"/>
    <w:rsid w:val="005C0AB8"/>
    <w:rsid w:val="005C1A23"/>
    <w:rsid w:val="005C2959"/>
    <w:rsid w:val="005C3675"/>
    <w:rsid w:val="005C3C16"/>
    <w:rsid w:val="005C3DAD"/>
    <w:rsid w:val="005C4D21"/>
    <w:rsid w:val="005C6536"/>
    <w:rsid w:val="005C6573"/>
    <w:rsid w:val="005C7C5C"/>
    <w:rsid w:val="005D1C7C"/>
    <w:rsid w:val="005D4EB7"/>
    <w:rsid w:val="005D51A2"/>
    <w:rsid w:val="005D69F5"/>
    <w:rsid w:val="005E10D7"/>
    <w:rsid w:val="005E1A03"/>
    <w:rsid w:val="005E2147"/>
    <w:rsid w:val="005E27A8"/>
    <w:rsid w:val="005E2958"/>
    <w:rsid w:val="005E3DBD"/>
    <w:rsid w:val="005E3FCF"/>
    <w:rsid w:val="005E4DA0"/>
    <w:rsid w:val="005E6328"/>
    <w:rsid w:val="005F007C"/>
    <w:rsid w:val="005F0E1A"/>
    <w:rsid w:val="005F1AA5"/>
    <w:rsid w:val="005F1FE7"/>
    <w:rsid w:val="005F27A2"/>
    <w:rsid w:val="005F2846"/>
    <w:rsid w:val="005F5F99"/>
    <w:rsid w:val="005F609F"/>
    <w:rsid w:val="005F68F9"/>
    <w:rsid w:val="005F6B42"/>
    <w:rsid w:val="005F71C5"/>
    <w:rsid w:val="005F795B"/>
    <w:rsid w:val="0060196F"/>
    <w:rsid w:val="00602141"/>
    <w:rsid w:val="00602307"/>
    <w:rsid w:val="00603C70"/>
    <w:rsid w:val="006047F7"/>
    <w:rsid w:val="00604B1E"/>
    <w:rsid w:val="00604F8B"/>
    <w:rsid w:val="00605E9F"/>
    <w:rsid w:val="00606584"/>
    <w:rsid w:val="0061187A"/>
    <w:rsid w:val="00611EFA"/>
    <w:rsid w:val="0061287A"/>
    <w:rsid w:val="00613DB4"/>
    <w:rsid w:val="00615888"/>
    <w:rsid w:val="0061711E"/>
    <w:rsid w:val="00617557"/>
    <w:rsid w:val="0061773E"/>
    <w:rsid w:val="00621D73"/>
    <w:rsid w:val="00623228"/>
    <w:rsid w:val="00623AE5"/>
    <w:rsid w:val="0062504D"/>
    <w:rsid w:val="006251BA"/>
    <w:rsid w:val="006265C6"/>
    <w:rsid w:val="00626BD6"/>
    <w:rsid w:val="006276E4"/>
    <w:rsid w:val="00627E90"/>
    <w:rsid w:val="00627FAF"/>
    <w:rsid w:val="006312E4"/>
    <w:rsid w:val="006314B7"/>
    <w:rsid w:val="00633333"/>
    <w:rsid w:val="00633B02"/>
    <w:rsid w:val="00633FBD"/>
    <w:rsid w:val="00634472"/>
    <w:rsid w:val="00634AB5"/>
    <w:rsid w:val="006358CA"/>
    <w:rsid w:val="00635F76"/>
    <w:rsid w:val="00636123"/>
    <w:rsid w:val="00637D3F"/>
    <w:rsid w:val="006401F2"/>
    <w:rsid w:val="00641395"/>
    <w:rsid w:val="00643180"/>
    <w:rsid w:val="0064518E"/>
    <w:rsid w:val="00646241"/>
    <w:rsid w:val="006463B8"/>
    <w:rsid w:val="0064723D"/>
    <w:rsid w:val="00647A50"/>
    <w:rsid w:val="00650929"/>
    <w:rsid w:val="00652028"/>
    <w:rsid w:val="00652D3E"/>
    <w:rsid w:val="00652E22"/>
    <w:rsid w:val="00653024"/>
    <w:rsid w:val="006534DE"/>
    <w:rsid w:val="00653B37"/>
    <w:rsid w:val="0065489B"/>
    <w:rsid w:val="00654C9B"/>
    <w:rsid w:val="00655F10"/>
    <w:rsid w:val="006578A4"/>
    <w:rsid w:val="006618C0"/>
    <w:rsid w:val="00661E57"/>
    <w:rsid w:val="0066205D"/>
    <w:rsid w:val="0066350E"/>
    <w:rsid w:val="00665188"/>
    <w:rsid w:val="006656C4"/>
    <w:rsid w:val="006716BE"/>
    <w:rsid w:val="006726B4"/>
    <w:rsid w:val="00672C6D"/>
    <w:rsid w:val="00673CAE"/>
    <w:rsid w:val="006742A0"/>
    <w:rsid w:val="00674641"/>
    <w:rsid w:val="00676D2D"/>
    <w:rsid w:val="006808B8"/>
    <w:rsid w:val="00681CCB"/>
    <w:rsid w:val="00682134"/>
    <w:rsid w:val="00683C86"/>
    <w:rsid w:val="0068457F"/>
    <w:rsid w:val="006847AD"/>
    <w:rsid w:val="006847CC"/>
    <w:rsid w:val="00686350"/>
    <w:rsid w:val="0069003D"/>
    <w:rsid w:val="00691938"/>
    <w:rsid w:val="006927DC"/>
    <w:rsid w:val="00695D59"/>
    <w:rsid w:val="00695E22"/>
    <w:rsid w:val="00696020"/>
    <w:rsid w:val="00696244"/>
    <w:rsid w:val="00696C89"/>
    <w:rsid w:val="00697D61"/>
    <w:rsid w:val="006A15EC"/>
    <w:rsid w:val="006A37A7"/>
    <w:rsid w:val="006A3B36"/>
    <w:rsid w:val="006A6337"/>
    <w:rsid w:val="006A72DE"/>
    <w:rsid w:val="006B21AC"/>
    <w:rsid w:val="006B2E7A"/>
    <w:rsid w:val="006B3219"/>
    <w:rsid w:val="006B4242"/>
    <w:rsid w:val="006B4C96"/>
    <w:rsid w:val="006B544A"/>
    <w:rsid w:val="006B616C"/>
    <w:rsid w:val="006B66EC"/>
    <w:rsid w:val="006B6720"/>
    <w:rsid w:val="006B7770"/>
    <w:rsid w:val="006B77AF"/>
    <w:rsid w:val="006B78B1"/>
    <w:rsid w:val="006C1E8C"/>
    <w:rsid w:val="006C3C77"/>
    <w:rsid w:val="006C43A2"/>
    <w:rsid w:val="006C5C54"/>
    <w:rsid w:val="006C606E"/>
    <w:rsid w:val="006C6439"/>
    <w:rsid w:val="006C6A85"/>
    <w:rsid w:val="006C6A91"/>
    <w:rsid w:val="006C7712"/>
    <w:rsid w:val="006C79A1"/>
    <w:rsid w:val="006D0C3C"/>
    <w:rsid w:val="006D0ECE"/>
    <w:rsid w:val="006D2DF3"/>
    <w:rsid w:val="006D2F0E"/>
    <w:rsid w:val="006D3422"/>
    <w:rsid w:val="006D378D"/>
    <w:rsid w:val="006D455C"/>
    <w:rsid w:val="006D4F14"/>
    <w:rsid w:val="006D5287"/>
    <w:rsid w:val="006D718D"/>
    <w:rsid w:val="006D7220"/>
    <w:rsid w:val="006D723F"/>
    <w:rsid w:val="006E0495"/>
    <w:rsid w:val="006E0C43"/>
    <w:rsid w:val="006E0DE4"/>
    <w:rsid w:val="006E155E"/>
    <w:rsid w:val="006E25FD"/>
    <w:rsid w:val="006E28C5"/>
    <w:rsid w:val="006E3037"/>
    <w:rsid w:val="006E36F1"/>
    <w:rsid w:val="006E3733"/>
    <w:rsid w:val="006E3CEA"/>
    <w:rsid w:val="006E48A4"/>
    <w:rsid w:val="006E520C"/>
    <w:rsid w:val="006E52F8"/>
    <w:rsid w:val="006E636D"/>
    <w:rsid w:val="006E79AA"/>
    <w:rsid w:val="006E7D59"/>
    <w:rsid w:val="006F01D1"/>
    <w:rsid w:val="006F071D"/>
    <w:rsid w:val="006F1ACF"/>
    <w:rsid w:val="006F20E0"/>
    <w:rsid w:val="006F23DD"/>
    <w:rsid w:val="006F271D"/>
    <w:rsid w:val="006F322F"/>
    <w:rsid w:val="006F3613"/>
    <w:rsid w:val="006F443B"/>
    <w:rsid w:val="006F5582"/>
    <w:rsid w:val="006F6743"/>
    <w:rsid w:val="006F782D"/>
    <w:rsid w:val="006F7BA3"/>
    <w:rsid w:val="007001DF"/>
    <w:rsid w:val="007007A9"/>
    <w:rsid w:val="00701A9B"/>
    <w:rsid w:val="00701FFD"/>
    <w:rsid w:val="0070515F"/>
    <w:rsid w:val="00705403"/>
    <w:rsid w:val="00706157"/>
    <w:rsid w:val="00710A80"/>
    <w:rsid w:val="00710B7A"/>
    <w:rsid w:val="00711468"/>
    <w:rsid w:val="007123F0"/>
    <w:rsid w:val="00713161"/>
    <w:rsid w:val="0071562F"/>
    <w:rsid w:val="00715C06"/>
    <w:rsid w:val="00715CF2"/>
    <w:rsid w:val="00716CDE"/>
    <w:rsid w:val="0072051D"/>
    <w:rsid w:val="00723FE0"/>
    <w:rsid w:val="0072415B"/>
    <w:rsid w:val="00725622"/>
    <w:rsid w:val="007259A4"/>
    <w:rsid w:val="0072603D"/>
    <w:rsid w:val="00726540"/>
    <w:rsid w:val="0072765B"/>
    <w:rsid w:val="00727B0D"/>
    <w:rsid w:val="00731005"/>
    <w:rsid w:val="00731E8E"/>
    <w:rsid w:val="00731F61"/>
    <w:rsid w:val="00732541"/>
    <w:rsid w:val="00732E5E"/>
    <w:rsid w:val="00734068"/>
    <w:rsid w:val="0073778A"/>
    <w:rsid w:val="00737F2B"/>
    <w:rsid w:val="007402A1"/>
    <w:rsid w:val="00740844"/>
    <w:rsid w:val="00741592"/>
    <w:rsid w:val="00741ED7"/>
    <w:rsid w:val="0074208B"/>
    <w:rsid w:val="0074366D"/>
    <w:rsid w:val="00743A42"/>
    <w:rsid w:val="00745919"/>
    <w:rsid w:val="00745AFB"/>
    <w:rsid w:val="00745E9E"/>
    <w:rsid w:val="007466A1"/>
    <w:rsid w:val="007505B5"/>
    <w:rsid w:val="00751D07"/>
    <w:rsid w:val="007526F7"/>
    <w:rsid w:val="00752FB3"/>
    <w:rsid w:val="00753C0C"/>
    <w:rsid w:val="00753C18"/>
    <w:rsid w:val="00754356"/>
    <w:rsid w:val="0075475D"/>
    <w:rsid w:val="00754CFA"/>
    <w:rsid w:val="00755896"/>
    <w:rsid w:val="00755DB1"/>
    <w:rsid w:val="00756583"/>
    <w:rsid w:val="00756929"/>
    <w:rsid w:val="0075713D"/>
    <w:rsid w:val="0075761E"/>
    <w:rsid w:val="007577C5"/>
    <w:rsid w:val="007608EA"/>
    <w:rsid w:val="0076095C"/>
    <w:rsid w:val="00760A3C"/>
    <w:rsid w:val="0076217D"/>
    <w:rsid w:val="00763A89"/>
    <w:rsid w:val="007658AD"/>
    <w:rsid w:val="00767729"/>
    <w:rsid w:val="00770CA4"/>
    <w:rsid w:val="0077141E"/>
    <w:rsid w:val="007756AD"/>
    <w:rsid w:val="0078008C"/>
    <w:rsid w:val="00780AE1"/>
    <w:rsid w:val="00780D39"/>
    <w:rsid w:val="0078140D"/>
    <w:rsid w:val="00782C47"/>
    <w:rsid w:val="00783396"/>
    <w:rsid w:val="00783612"/>
    <w:rsid w:val="0078638D"/>
    <w:rsid w:val="007906A1"/>
    <w:rsid w:val="00790EE4"/>
    <w:rsid w:val="00791D4B"/>
    <w:rsid w:val="007927D0"/>
    <w:rsid w:val="00793063"/>
    <w:rsid w:val="00794DE9"/>
    <w:rsid w:val="007A11F2"/>
    <w:rsid w:val="007A2478"/>
    <w:rsid w:val="007A2775"/>
    <w:rsid w:val="007A29C4"/>
    <w:rsid w:val="007A3092"/>
    <w:rsid w:val="007A325B"/>
    <w:rsid w:val="007A4045"/>
    <w:rsid w:val="007A4567"/>
    <w:rsid w:val="007A4EDF"/>
    <w:rsid w:val="007A5560"/>
    <w:rsid w:val="007A5AD4"/>
    <w:rsid w:val="007A5D3F"/>
    <w:rsid w:val="007A62F9"/>
    <w:rsid w:val="007A6E37"/>
    <w:rsid w:val="007A6FA3"/>
    <w:rsid w:val="007A7720"/>
    <w:rsid w:val="007B0660"/>
    <w:rsid w:val="007B1449"/>
    <w:rsid w:val="007B1669"/>
    <w:rsid w:val="007B2669"/>
    <w:rsid w:val="007B39CD"/>
    <w:rsid w:val="007B4510"/>
    <w:rsid w:val="007B4754"/>
    <w:rsid w:val="007B5B3F"/>
    <w:rsid w:val="007B6C02"/>
    <w:rsid w:val="007B7A9E"/>
    <w:rsid w:val="007C0C33"/>
    <w:rsid w:val="007C235A"/>
    <w:rsid w:val="007C2B5D"/>
    <w:rsid w:val="007C32DC"/>
    <w:rsid w:val="007C4872"/>
    <w:rsid w:val="007C48B7"/>
    <w:rsid w:val="007C6378"/>
    <w:rsid w:val="007C641F"/>
    <w:rsid w:val="007C672E"/>
    <w:rsid w:val="007C761B"/>
    <w:rsid w:val="007D004F"/>
    <w:rsid w:val="007D06FF"/>
    <w:rsid w:val="007D3459"/>
    <w:rsid w:val="007D3C57"/>
    <w:rsid w:val="007D4D11"/>
    <w:rsid w:val="007D5093"/>
    <w:rsid w:val="007D539C"/>
    <w:rsid w:val="007D6795"/>
    <w:rsid w:val="007D6880"/>
    <w:rsid w:val="007E0170"/>
    <w:rsid w:val="007E0556"/>
    <w:rsid w:val="007E0EBC"/>
    <w:rsid w:val="007E2183"/>
    <w:rsid w:val="007E45DC"/>
    <w:rsid w:val="007E46E8"/>
    <w:rsid w:val="007E5F36"/>
    <w:rsid w:val="007E6E35"/>
    <w:rsid w:val="007F05F6"/>
    <w:rsid w:val="007F0B46"/>
    <w:rsid w:val="007F4A28"/>
    <w:rsid w:val="007F4FDF"/>
    <w:rsid w:val="007F6D56"/>
    <w:rsid w:val="0080025C"/>
    <w:rsid w:val="008008D5"/>
    <w:rsid w:val="00801C99"/>
    <w:rsid w:val="008034BA"/>
    <w:rsid w:val="008034F5"/>
    <w:rsid w:val="008037E7"/>
    <w:rsid w:val="008041FF"/>
    <w:rsid w:val="00804FB8"/>
    <w:rsid w:val="008066CA"/>
    <w:rsid w:val="00806DB7"/>
    <w:rsid w:val="00807629"/>
    <w:rsid w:val="00811737"/>
    <w:rsid w:val="008121FD"/>
    <w:rsid w:val="00812B68"/>
    <w:rsid w:val="00814506"/>
    <w:rsid w:val="0081483C"/>
    <w:rsid w:val="008149B2"/>
    <w:rsid w:val="00817A1F"/>
    <w:rsid w:val="00817F11"/>
    <w:rsid w:val="00820487"/>
    <w:rsid w:val="00820DE7"/>
    <w:rsid w:val="00822D84"/>
    <w:rsid w:val="00823099"/>
    <w:rsid w:val="008236A2"/>
    <w:rsid w:val="00824F2E"/>
    <w:rsid w:val="008259B6"/>
    <w:rsid w:val="0082697E"/>
    <w:rsid w:val="00826E96"/>
    <w:rsid w:val="00827C4C"/>
    <w:rsid w:val="00830B2C"/>
    <w:rsid w:val="008324AD"/>
    <w:rsid w:val="0083373B"/>
    <w:rsid w:val="00833B58"/>
    <w:rsid w:val="0083485F"/>
    <w:rsid w:val="00835B20"/>
    <w:rsid w:val="00836619"/>
    <w:rsid w:val="00837468"/>
    <w:rsid w:val="00840C4C"/>
    <w:rsid w:val="00841019"/>
    <w:rsid w:val="00841A2C"/>
    <w:rsid w:val="00842838"/>
    <w:rsid w:val="00842B4E"/>
    <w:rsid w:val="00843246"/>
    <w:rsid w:val="00846BC3"/>
    <w:rsid w:val="00846CB4"/>
    <w:rsid w:val="008516D2"/>
    <w:rsid w:val="008526E7"/>
    <w:rsid w:val="008536B3"/>
    <w:rsid w:val="008550A2"/>
    <w:rsid w:val="00855E32"/>
    <w:rsid w:val="00856123"/>
    <w:rsid w:val="008569A3"/>
    <w:rsid w:val="00856A81"/>
    <w:rsid w:val="00857F9A"/>
    <w:rsid w:val="008607A9"/>
    <w:rsid w:val="0086177C"/>
    <w:rsid w:val="00861E9B"/>
    <w:rsid w:val="008632E8"/>
    <w:rsid w:val="008633F6"/>
    <w:rsid w:val="00863CA4"/>
    <w:rsid w:val="008648AC"/>
    <w:rsid w:val="008648D8"/>
    <w:rsid w:val="00864947"/>
    <w:rsid w:val="00865EC2"/>
    <w:rsid w:val="008667B3"/>
    <w:rsid w:val="00867CC2"/>
    <w:rsid w:val="00870750"/>
    <w:rsid w:val="00871FC2"/>
    <w:rsid w:val="00872E8C"/>
    <w:rsid w:val="00873B5E"/>
    <w:rsid w:val="0087564B"/>
    <w:rsid w:val="00875B95"/>
    <w:rsid w:val="00875FEF"/>
    <w:rsid w:val="0087765F"/>
    <w:rsid w:val="00877662"/>
    <w:rsid w:val="00881F2A"/>
    <w:rsid w:val="00883EAF"/>
    <w:rsid w:val="00886443"/>
    <w:rsid w:val="00886ABD"/>
    <w:rsid w:val="00886B9B"/>
    <w:rsid w:val="008870CC"/>
    <w:rsid w:val="0089039F"/>
    <w:rsid w:val="008910E4"/>
    <w:rsid w:val="00891401"/>
    <w:rsid w:val="00891576"/>
    <w:rsid w:val="008919F4"/>
    <w:rsid w:val="00892779"/>
    <w:rsid w:val="00892802"/>
    <w:rsid w:val="008A0810"/>
    <w:rsid w:val="008A115A"/>
    <w:rsid w:val="008A4BD1"/>
    <w:rsid w:val="008A5856"/>
    <w:rsid w:val="008A5A2B"/>
    <w:rsid w:val="008A68CD"/>
    <w:rsid w:val="008A6C0F"/>
    <w:rsid w:val="008A6EC9"/>
    <w:rsid w:val="008B03C2"/>
    <w:rsid w:val="008B06C7"/>
    <w:rsid w:val="008B0842"/>
    <w:rsid w:val="008B16D3"/>
    <w:rsid w:val="008B19D4"/>
    <w:rsid w:val="008B1D46"/>
    <w:rsid w:val="008B2B5D"/>
    <w:rsid w:val="008B2C39"/>
    <w:rsid w:val="008B51E3"/>
    <w:rsid w:val="008B6140"/>
    <w:rsid w:val="008B61E3"/>
    <w:rsid w:val="008B7E2B"/>
    <w:rsid w:val="008C22E1"/>
    <w:rsid w:val="008C2B9C"/>
    <w:rsid w:val="008C3AEB"/>
    <w:rsid w:val="008C6A53"/>
    <w:rsid w:val="008C7C68"/>
    <w:rsid w:val="008D0A50"/>
    <w:rsid w:val="008D1DC9"/>
    <w:rsid w:val="008D2542"/>
    <w:rsid w:val="008D4D51"/>
    <w:rsid w:val="008D59BE"/>
    <w:rsid w:val="008D67C9"/>
    <w:rsid w:val="008D70E6"/>
    <w:rsid w:val="008D7358"/>
    <w:rsid w:val="008D7C3E"/>
    <w:rsid w:val="008D7E02"/>
    <w:rsid w:val="008E2F8C"/>
    <w:rsid w:val="008E5317"/>
    <w:rsid w:val="008E58D7"/>
    <w:rsid w:val="008E62D5"/>
    <w:rsid w:val="008E6321"/>
    <w:rsid w:val="008E6B0B"/>
    <w:rsid w:val="008E70C7"/>
    <w:rsid w:val="008F0829"/>
    <w:rsid w:val="008F1298"/>
    <w:rsid w:val="008F2035"/>
    <w:rsid w:val="008F2B99"/>
    <w:rsid w:val="008F46D5"/>
    <w:rsid w:val="008F4E61"/>
    <w:rsid w:val="008F6909"/>
    <w:rsid w:val="008F710D"/>
    <w:rsid w:val="00900677"/>
    <w:rsid w:val="009006E9"/>
    <w:rsid w:val="00901286"/>
    <w:rsid w:val="00901F85"/>
    <w:rsid w:val="009023CA"/>
    <w:rsid w:val="009028F9"/>
    <w:rsid w:val="009048F4"/>
    <w:rsid w:val="00906B7A"/>
    <w:rsid w:val="00907EE4"/>
    <w:rsid w:val="00910F50"/>
    <w:rsid w:val="00910FC2"/>
    <w:rsid w:val="009110A3"/>
    <w:rsid w:val="00911EB5"/>
    <w:rsid w:val="009123BD"/>
    <w:rsid w:val="0091252C"/>
    <w:rsid w:val="00913ECF"/>
    <w:rsid w:val="009140D0"/>
    <w:rsid w:val="00914C97"/>
    <w:rsid w:val="009157E7"/>
    <w:rsid w:val="0091677A"/>
    <w:rsid w:val="0091724F"/>
    <w:rsid w:val="009179B9"/>
    <w:rsid w:val="009205FC"/>
    <w:rsid w:val="00921C37"/>
    <w:rsid w:val="00923128"/>
    <w:rsid w:val="0092356D"/>
    <w:rsid w:val="00923A1F"/>
    <w:rsid w:val="0092485A"/>
    <w:rsid w:val="00926431"/>
    <w:rsid w:val="0092718C"/>
    <w:rsid w:val="009309FC"/>
    <w:rsid w:val="00930AC5"/>
    <w:rsid w:val="009330AF"/>
    <w:rsid w:val="009339A7"/>
    <w:rsid w:val="00933B8A"/>
    <w:rsid w:val="00934615"/>
    <w:rsid w:val="00934670"/>
    <w:rsid w:val="00934A00"/>
    <w:rsid w:val="00934D0B"/>
    <w:rsid w:val="009364FA"/>
    <w:rsid w:val="00936CFA"/>
    <w:rsid w:val="00937735"/>
    <w:rsid w:val="00937DAA"/>
    <w:rsid w:val="00941366"/>
    <w:rsid w:val="0094242E"/>
    <w:rsid w:val="0094330F"/>
    <w:rsid w:val="0094350D"/>
    <w:rsid w:val="0094359D"/>
    <w:rsid w:val="00943F11"/>
    <w:rsid w:val="0094458B"/>
    <w:rsid w:val="009457E2"/>
    <w:rsid w:val="009473FB"/>
    <w:rsid w:val="00951107"/>
    <w:rsid w:val="009518B6"/>
    <w:rsid w:val="009530BA"/>
    <w:rsid w:val="00953CA1"/>
    <w:rsid w:val="009552DA"/>
    <w:rsid w:val="009561D3"/>
    <w:rsid w:val="00960CF1"/>
    <w:rsid w:val="00962FC4"/>
    <w:rsid w:val="0096325F"/>
    <w:rsid w:val="00963D4B"/>
    <w:rsid w:val="00964D73"/>
    <w:rsid w:val="0096635F"/>
    <w:rsid w:val="00970C3F"/>
    <w:rsid w:val="00970D38"/>
    <w:rsid w:val="00971B0A"/>
    <w:rsid w:val="00972EB5"/>
    <w:rsid w:val="0097374F"/>
    <w:rsid w:val="009750C7"/>
    <w:rsid w:val="009757B6"/>
    <w:rsid w:val="009757C9"/>
    <w:rsid w:val="00976F8C"/>
    <w:rsid w:val="0098071F"/>
    <w:rsid w:val="009809AB"/>
    <w:rsid w:val="009814A7"/>
    <w:rsid w:val="009814BF"/>
    <w:rsid w:val="00982053"/>
    <w:rsid w:val="00983311"/>
    <w:rsid w:val="009833C1"/>
    <w:rsid w:val="00983D2B"/>
    <w:rsid w:val="00984504"/>
    <w:rsid w:val="0098496F"/>
    <w:rsid w:val="00984E2A"/>
    <w:rsid w:val="009876E6"/>
    <w:rsid w:val="00987747"/>
    <w:rsid w:val="0099031C"/>
    <w:rsid w:val="00990535"/>
    <w:rsid w:val="0099065B"/>
    <w:rsid w:val="00991DFD"/>
    <w:rsid w:val="00991FB0"/>
    <w:rsid w:val="009924AD"/>
    <w:rsid w:val="009935D0"/>
    <w:rsid w:val="009939F1"/>
    <w:rsid w:val="00993C99"/>
    <w:rsid w:val="00994467"/>
    <w:rsid w:val="0099486E"/>
    <w:rsid w:val="0099488C"/>
    <w:rsid w:val="00994D35"/>
    <w:rsid w:val="0099789D"/>
    <w:rsid w:val="009A143E"/>
    <w:rsid w:val="009A2C97"/>
    <w:rsid w:val="009A336E"/>
    <w:rsid w:val="009A4164"/>
    <w:rsid w:val="009A4C7C"/>
    <w:rsid w:val="009B03ED"/>
    <w:rsid w:val="009B1F46"/>
    <w:rsid w:val="009B2034"/>
    <w:rsid w:val="009B339D"/>
    <w:rsid w:val="009B3DF8"/>
    <w:rsid w:val="009B4E83"/>
    <w:rsid w:val="009B6B5F"/>
    <w:rsid w:val="009B6BF7"/>
    <w:rsid w:val="009B7282"/>
    <w:rsid w:val="009C0BE4"/>
    <w:rsid w:val="009C2394"/>
    <w:rsid w:val="009C28E7"/>
    <w:rsid w:val="009C2ED3"/>
    <w:rsid w:val="009C30A3"/>
    <w:rsid w:val="009C3B5F"/>
    <w:rsid w:val="009C42D5"/>
    <w:rsid w:val="009C4A10"/>
    <w:rsid w:val="009C5A53"/>
    <w:rsid w:val="009C6297"/>
    <w:rsid w:val="009C6849"/>
    <w:rsid w:val="009C6E4A"/>
    <w:rsid w:val="009D07C8"/>
    <w:rsid w:val="009D09DD"/>
    <w:rsid w:val="009D0A18"/>
    <w:rsid w:val="009D13FE"/>
    <w:rsid w:val="009D1D9C"/>
    <w:rsid w:val="009D3A3D"/>
    <w:rsid w:val="009D660D"/>
    <w:rsid w:val="009D6BE2"/>
    <w:rsid w:val="009D719F"/>
    <w:rsid w:val="009D75D0"/>
    <w:rsid w:val="009D7B5C"/>
    <w:rsid w:val="009D7CC4"/>
    <w:rsid w:val="009E05E7"/>
    <w:rsid w:val="009E10AF"/>
    <w:rsid w:val="009E1751"/>
    <w:rsid w:val="009E1FDC"/>
    <w:rsid w:val="009E207E"/>
    <w:rsid w:val="009E22F6"/>
    <w:rsid w:val="009E4F1C"/>
    <w:rsid w:val="009F11C5"/>
    <w:rsid w:val="009F295C"/>
    <w:rsid w:val="009F2CEB"/>
    <w:rsid w:val="009F4E81"/>
    <w:rsid w:val="009F7D89"/>
    <w:rsid w:val="009F7EC8"/>
    <w:rsid w:val="00A007E9"/>
    <w:rsid w:val="00A00B69"/>
    <w:rsid w:val="00A00D24"/>
    <w:rsid w:val="00A010F0"/>
    <w:rsid w:val="00A01DCC"/>
    <w:rsid w:val="00A02D51"/>
    <w:rsid w:val="00A032F6"/>
    <w:rsid w:val="00A03502"/>
    <w:rsid w:val="00A03A06"/>
    <w:rsid w:val="00A044B5"/>
    <w:rsid w:val="00A07CEF"/>
    <w:rsid w:val="00A12078"/>
    <w:rsid w:val="00A13CB3"/>
    <w:rsid w:val="00A145D9"/>
    <w:rsid w:val="00A1501A"/>
    <w:rsid w:val="00A158A2"/>
    <w:rsid w:val="00A177B5"/>
    <w:rsid w:val="00A20004"/>
    <w:rsid w:val="00A20063"/>
    <w:rsid w:val="00A202B2"/>
    <w:rsid w:val="00A20648"/>
    <w:rsid w:val="00A21B3C"/>
    <w:rsid w:val="00A21F14"/>
    <w:rsid w:val="00A22E8B"/>
    <w:rsid w:val="00A23243"/>
    <w:rsid w:val="00A23559"/>
    <w:rsid w:val="00A24F21"/>
    <w:rsid w:val="00A2573F"/>
    <w:rsid w:val="00A25BDA"/>
    <w:rsid w:val="00A25EA7"/>
    <w:rsid w:val="00A26987"/>
    <w:rsid w:val="00A2732B"/>
    <w:rsid w:val="00A27B24"/>
    <w:rsid w:val="00A3050F"/>
    <w:rsid w:val="00A30846"/>
    <w:rsid w:val="00A315CA"/>
    <w:rsid w:val="00A31C4E"/>
    <w:rsid w:val="00A34E4E"/>
    <w:rsid w:val="00A34F7D"/>
    <w:rsid w:val="00A35287"/>
    <w:rsid w:val="00A35529"/>
    <w:rsid w:val="00A35809"/>
    <w:rsid w:val="00A37966"/>
    <w:rsid w:val="00A37E6D"/>
    <w:rsid w:val="00A40027"/>
    <w:rsid w:val="00A408B5"/>
    <w:rsid w:val="00A41353"/>
    <w:rsid w:val="00A417C4"/>
    <w:rsid w:val="00A41CAB"/>
    <w:rsid w:val="00A41DCE"/>
    <w:rsid w:val="00A4212C"/>
    <w:rsid w:val="00A43232"/>
    <w:rsid w:val="00A459ED"/>
    <w:rsid w:val="00A46373"/>
    <w:rsid w:val="00A47D8E"/>
    <w:rsid w:val="00A50F1D"/>
    <w:rsid w:val="00A511A8"/>
    <w:rsid w:val="00A51258"/>
    <w:rsid w:val="00A536EE"/>
    <w:rsid w:val="00A54E14"/>
    <w:rsid w:val="00A55D5E"/>
    <w:rsid w:val="00A56AAC"/>
    <w:rsid w:val="00A57470"/>
    <w:rsid w:val="00A57A2C"/>
    <w:rsid w:val="00A57D4E"/>
    <w:rsid w:val="00A6031D"/>
    <w:rsid w:val="00A60EFD"/>
    <w:rsid w:val="00A612A2"/>
    <w:rsid w:val="00A6168D"/>
    <w:rsid w:val="00A64772"/>
    <w:rsid w:val="00A64E77"/>
    <w:rsid w:val="00A64EB4"/>
    <w:rsid w:val="00A66154"/>
    <w:rsid w:val="00A6626A"/>
    <w:rsid w:val="00A66545"/>
    <w:rsid w:val="00A66ED1"/>
    <w:rsid w:val="00A66F97"/>
    <w:rsid w:val="00A71DB0"/>
    <w:rsid w:val="00A72485"/>
    <w:rsid w:val="00A727BB"/>
    <w:rsid w:val="00A73664"/>
    <w:rsid w:val="00A73FD7"/>
    <w:rsid w:val="00A75CA1"/>
    <w:rsid w:val="00A76594"/>
    <w:rsid w:val="00A76D5E"/>
    <w:rsid w:val="00A7765C"/>
    <w:rsid w:val="00A80DAB"/>
    <w:rsid w:val="00A80F1A"/>
    <w:rsid w:val="00A80F38"/>
    <w:rsid w:val="00A81160"/>
    <w:rsid w:val="00A8207B"/>
    <w:rsid w:val="00A86ADE"/>
    <w:rsid w:val="00A900AF"/>
    <w:rsid w:val="00A9146A"/>
    <w:rsid w:val="00A91D6A"/>
    <w:rsid w:val="00A9294F"/>
    <w:rsid w:val="00A92F4E"/>
    <w:rsid w:val="00A95787"/>
    <w:rsid w:val="00A95E86"/>
    <w:rsid w:val="00A960BA"/>
    <w:rsid w:val="00A97365"/>
    <w:rsid w:val="00A974F2"/>
    <w:rsid w:val="00A974FE"/>
    <w:rsid w:val="00A97813"/>
    <w:rsid w:val="00AA0687"/>
    <w:rsid w:val="00AA117E"/>
    <w:rsid w:val="00AA2EBB"/>
    <w:rsid w:val="00AA3F5D"/>
    <w:rsid w:val="00AA4625"/>
    <w:rsid w:val="00AA511F"/>
    <w:rsid w:val="00AA5B1B"/>
    <w:rsid w:val="00AA5D1F"/>
    <w:rsid w:val="00AB1356"/>
    <w:rsid w:val="00AB1921"/>
    <w:rsid w:val="00AB2DFC"/>
    <w:rsid w:val="00AB4503"/>
    <w:rsid w:val="00AB4800"/>
    <w:rsid w:val="00AB5610"/>
    <w:rsid w:val="00AB682A"/>
    <w:rsid w:val="00AB73E9"/>
    <w:rsid w:val="00AB74A5"/>
    <w:rsid w:val="00AB78F9"/>
    <w:rsid w:val="00AC05BA"/>
    <w:rsid w:val="00AC069F"/>
    <w:rsid w:val="00AC0C58"/>
    <w:rsid w:val="00AC17E1"/>
    <w:rsid w:val="00AC1A3F"/>
    <w:rsid w:val="00AC4086"/>
    <w:rsid w:val="00AC49B4"/>
    <w:rsid w:val="00AC5823"/>
    <w:rsid w:val="00AD31B5"/>
    <w:rsid w:val="00AD3E2C"/>
    <w:rsid w:val="00AD4094"/>
    <w:rsid w:val="00AD4201"/>
    <w:rsid w:val="00AD4E31"/>
    <w:rsid w:val="00AD5EA9"/>
    <w:rsid w:val="00AE0BAE"/>
    <w:rsid w:val="00AE0FB1"/>
    <w:rsid w:val="00AE205A"/>
    <w:rsid w:val="00AE2600"/>
    <w:rsid w:val="00AE3329"/>
    <w:rsid w:val="00AE5808"/>
    <w:rsid w:val="00AF12F8"/>
    <w:rsid w:val="00AF1E2A"/>
    <w:rsid w:val="00AF207D"/>
    <w:rsid w:val="00AF244E"/>
    <w:rsid w:val="00AF245A"/>
    <w:rsid w:val="00AF24A9"/>
    <w:rsid w:val="00AF4B6A"/>
    <w:rsid w:val="00AF5078"/>
    <w:rsid w:val="00AF59C2"/>
    <w:rsid w:val="00AF66D8"/>
    <w:rsid w:val="00B00F54"/>
    <w:rsid w:val="00B01818"/>
    <w:rsid w:val="00B01EED"/>
    <w:rsid w:val="00B0287F"/>
    <w:rsid w:val="00B05782"/>
    <w:rsid w:val="00B07889"/>
    <w:rsid w:val="00B105AB"/>
    <w:rsid w:val="00B109F9"/>
    <w:rsid w:val="00B113E1"/>
    <w:rsid w:val="00B118E5"/>
    <w:rsid w:val="00B12D4E"/>
    <w:rsid w:val="00B152B0"/>
    <w:rsid w:val="00B15926"/>
    <w:rsid w:val="00B15DD9"/>
    <w:rsid w:val="00B20CB5"/>
    <w:rsid w:val="00B21579"/>
    <w:rsid w:val="00B219C3"/>
    <w:rsid w:val="00B21EF5"/>
    <w:rsid w:val="00B2243A"/>
    <w:rsid w:val="00B229D3"/>
    <w:rsid w:val="00B231B7"/>
    <w:rsid w:val="00B23367"/>
    <w:rsid w:val="00B23CEB"/>
    <w:rsid w:val="00B23E8E"/>
    <w:rsid w:val="00B23FFB"/>
    <w:rsid w:val="00B24241"/>
    <w:rsid w:val="00B24F7E"/>
    <w:rsid w:val="00B261B6"/>
    <w:rsid w:val="00B26AFB"/>
    <w:rsid w:val="00B30A6A"/>
    <w:rsid w:val="00B31582"/>
    <w:rsid w:val="00B315AA"/>
    <w:rsid w:val="00B32CFA"/>
    <w:rsid w:val="00B34341"/>
    <w:rsid w:val="00B35BA3"/>
    <w:rsid w:val="00B36CDA"/>
    <w:rsid w:val="00B37122"/>
    <w:rsid w:val="00B3755D"/>
    <w:rsid w:val="00B37E93"/>
    <w:rsid w:val="00B407AD"/>
    <w:rsid w:val="00B41632"/>
    <w:rsid w:val="00B431C1"/>
    <w:rsid w:val="00B44E01"/>
    <w:rsid w:val="00B470C7"/>
    <w:rsid w:val="00B47504"/>
    <w:rsid w:val="00B475DE"/>
    <w:rsid w:val="00B5030B"/>
    <w:rsid w:val="00B50345"/>
    <w:rsid w:val="00B51133"/>
    <w:rsid w:val="00B51680"/>
    <w:rsid w:val="00B51A25"/>
    <w:rsid w:val="00B51AEF"/>
    <w:rsid w:val="00B524E1"/>
    <w:rsid w:val="00B52917"/>
    <w:rsid w:val="00B52A0F"/>
    <w:rsid w:val="00B53065"/>
    <w:rsid w:val="00B534DC"/>
    <w:rsid w:val="00B53A8F"/>
    <w:rsid w:val="00B53D8C"/>
    <w:rsid w:val="00B55961"/>
    <w:rsid w:val="00B564B5"/>
    <w:rsid w:val="00B5796A"/>
    <w:rsid w:val="00B57DE4"/>
    <w:rsid w:val="00B6016A"/>
    <w:rsid w:val="00B6266C"/>
    <w:rsid w:val="00B641A4"/>
    <w:rsid w:val="00B65004"/>
    <w:rsid w:val="00B6520B"/>
    <w:rsid w:val="00B655EF"/>
    <w:rsid w:val="00B667FD"/>
    <w:rsid w:val="00B66F92"/>
    <w:rsid w:val="00B678DA"/>
    <w:rsid w:val="00B7110B"/>
    <w:rsid w:val="00B71B36"/>
    <w:rsid w:val="00B72E54"/>
    <w:rsid w:val="00B730DF"/>
    <w:rsid w:val="00B7348B"/>
    <w:rsid w:val="00B736F9"/>
    <w:rsid w:val="00B754F6"/>
    <w:rsid w:val="00B7788F"/>
    <w:rsid w:val="00B800E0"/>
    <w:rsid w:val="00B80CB0"/>
    <w:rsid w:val="00B835C4"/>
    <w:rsid w:val="00B83D9E"/>
    <w:rsid w:val="00B84550"/>
    <w:rsid w:val="00B845B8"/>
    <w:rsid w:val="00B849EF"/>
    <w:rsid w:val="00B84EF0"/>
    <w:rsid w:val="00B87470"/>
    <w:rsid w:val="00B914E3"/>
    <w:rsid w:val="00B929A2"/>
    <w:rsid w:val="00B93604"/>
    <w:rsid w:val="00B937AD"/>
    <w:rsid w:val="00B945C1"/>
    <w:rsid w:val="00B94857"/>
    <w:rsid w:val="00BA151D"/>
    <w:rsid w:val="00BA251A"/>
    <w:rsid w:val="00BA34B8"/>
    <w:rsid w:val="00BA4725"/>
    <w:rsid w:val="00BA4972"/>
    <w:rsid w:val="00BA5589"/>
    <w:rsid w:val="00BA5E29"/>
    <w:rsid w:val="00BA5F81"/>
    <w:rsid w:val="00BA72BA"/>
    <w:rsid w:val="00BB1465"/>
    <w:rsid w:val="00BB25AC"/>
    <w:rsid w:val="00BB2C60"/>
    <w:rsid w:val="00BB2DA2"/>
    <w:rsid w:val="00BB42D4"/>
    <w:rsid w:val="00BB4EA9"/>
    <w:rsid w:val="00BB60BA"/>
    <w:rsid w:val="00BB6712"/>
    <w:rsid w:val="00BB795F"/>
    <w:rsid w:val="00BB7ACE"/>
    <w:rsid w:val="00BC0960"/>
    <w:rsid w:val="00BC13BB"/>
    <w:rsid w:val="00BC30E7"/>
    <w:rsid w:val="00BC3992"/>
    <w:rsid w:val="00BC3FA8"/>
    <w:rsid w:val="00BC472A"/>
    <w:rsid w:val="00BC4D70"/>
    <w:rsid w:val="00BC79CA"/>
    <w:rsid w:val="00BD0098"/>
    <w:rsid w:val="00BD063C"/>
    <w:rsid w:val="00BD0E57"/>
    <w:rsid w:val="00BD180D"/>
    <w:rsid w:val="00BD2755"/>
    <w:rsid w:val="00BD27DC"/>
    <w:rsid w:val="00BD2D80"/>
    <w:rsid w:val="00BD30D1"/>
    <w:rsid w:val="00BD451C"/>
    <w:rsid w:val="00BD57FF"/>
    <w:rsid w:val="00BD5A19"/>
    <w:rsid w:val="00BD6438"/>
    <w:rsid w:val="00BD64BA"/>
    <w:rsid w:val="00BD7332"/>
    <w:rsid w:val="00BE18B0"/>
    <w:rsid w:val="00BE1C25"/>
    <w:rsid w:val="00BE2E1A"/>
    <w:rsid w:val="00BE3155"/>
    <w:rsid w:val="00BE32C1"/>
    <w:rsid w:val="00BE34E8"/>
    <w:rsid w:val="00BE38DF"/>
    <w:rsid w:val="00BE3D1D"/>
    <w:rsid w:val="00BE53C7"/>
    <w:rsid w:val="00BE53FD"/>
    <w:rsid w:val="00BE5406"/>
    <w:rsid w:val="00BE5F59"/>
    <w:rsid w:val="00BE6801"/>
    <w:rsid w:val="00BE6B1A"/>
    <w:rsid w:val="00BE7B68"/>
    <w:rsid w:val="00BF0C2D"/>
    <w:rsid w:val="00BF12FE"/>
    <w:rsid w:val="00BF25EE"/>
    <w:rsid w:val="00BF2A23"/>
    <w:rsid w:val="00BF3794"/>
    <w:rsid w:val="00BF37D3"/>
    <w:rsid w:val="00BF54DD"/>
    <w:rsid w:val="00BF5A5A"/>
    <w:rsid w:val="00BF6054"/>
    <w:rsid w:val="00BF75E8"/>
    <w:rsid w:val="00BF77F8"/>
    <w:rsid w:val="00C00F23"/>
    <w:rsid w:val="00C01316"/>
    <w:rsid w:val="00C013BD"/>
    <w:rsid w:val="00C02254"/>
    <w:rsid w:val="00C03E9F"/>
    <w:rsid w:val="00C073CC"/>
    <w:rsid w:val="00C10408"/>
    <w:rsid w:val="00C10B3F"/>
    <w:rsid w:val="00C11023"/>
    <w:rsid w:val="00C1181B"/>
    <w:rsid w:val="00C125B4"/>
    <w:rsid w:val="00C12711"/>
    <w:rsid w:val="00C17517"/>
    <w:rsid w:val="00C20BF6"/>
    <w:rsid w:val="00C212B2"/>
    <w:rsid w:val="00C217D9"/>
    <w:rsid w:val="00C22F78"/>
    <w:rsid w:val="00C23AFF"/>
    <w:rsid w:val="00C24083"/>
    <w:rsid w:val="00C26C6C"/>
    <w:rsid w:val="00C26CD6"/>
    <w:rsid w:val="00C2767D"/>
    <w:rsid w:val="00C278AC"/>
    <w:rsid w:val="00C27BA5"/>
    <w:rsid w:val="00C27C12"/>
    <w:rsid w:val="00C3008A"/>
    <w:rsid w:val="00C30B5A"/>
    <w:rsid w:val="00C3105A"/>
    <w:rsid w:val="00C31CB6"/>
    <w:rsid w:val="00C31E1E"/>
    <w:rsid w:val="00C326D7"/>
    <w:rsid w:val="00C332E2"/>
    <w:rsid w:val="00C3367B"/>
    <w:rsid w:val="00C34099"/>
    <w:rsid w:val="00C35152"/>
    <w:rsid w:val="00C363EA"/>
    <w:rsid w:val="00C36BCE"/>
    <w:rsid w:val="00C377DD"/>
    <w:rsid w:val="00C37FAA"/>
    <w:rsid w:val="00C40FEA"/>
    <w:rsid w:val="00C41489"/>
    <w:rsid w:val="00C450BA"/>
    <w:rsid w:val="00C452B6"/>
    <w:rsid w:val="00C51983"/>
    <w:rsid w:val="00C5351A"/>
    <w:rsid w:val="00C54B44"/>
    <w:rsid w:val="00C5589F"/>
    <w:rsid w:val="00C61BA9"/>
    <w:rsid w:val="00C637BB"/>
    <w:rsid w:val="00C65B78"/>
    <w:rsid w:val="00C66054"/>
    <w:rsid w:val="00C664CD"/>
    <w:rsid w:val="00C7225F"/>
    <w:rsid w:val="00C73D92"/>
    <w:rsid w:val="00C745C5"/>
    <w:rsid w:val="00C75045"/>
    <w:rsid w:val="00C7618C"/>
    <w:rsid w:val="00C7639D"/>
    <w:rsid w:val="00C7644D"/>
    <w:rsid w:val="00C7669A"/>
    <w:rsid w:val="00C7742E"/>
    <w:rsid w:val="00C7746C"/>
    <w:rsid w:val="00C800A1"/>
    <w:rsid w:val="00C8224C"/>
    <w:rsid w:val="00C82443"/>
    <w:rsid w:val="00C8386E"/>
    <w:rsid w:val="00C838D4"/>
    <w:rsid w:val="00C85BAB"/>
    <w:rsid w:val="00C862D2"/>
    <w:rsid w:val="00C863B2"/>
    <w:rsid w:val="00C86BF9"/>
    <w:rsid w:val="00C86C60"/>
    <w:rsid w:val="00C8723A"/>
    <w:rsid w:val="00C901D3"/>
    <w:rsid w:val="00C90372"/>
    <w:rsid w:val="00C90E1A"/>
    <w:rsid w:val="00C9172B"/>
    <w:rsid w:val="00C91734"/>
    <w:rsid w:val="00C91A92"/>
    <w:rsid w:val="00C92CB0"/>
    <w:rsid w:val="00C931B7"/>
    <w:rsid w:val="00C953A8"/>
    <w:rsid w:val="00C95BA0"/>
    <w:rsid w:val="00CA0100"/>
    <w:rsid w:val="00CA11E9"/>
    <w:rsid w:val="00CA13F8"/>
    <w:rsid w:val="00CA25BD"/>
    <w:rsid w:val="00CA3089"/>
    <w:rsid w:val="00CA41CB"/>
    <w:rsid w:val="00CA5C7C"/>
    <w:rsid w:val="00CA5E81"/>
    <w:rsid w:val="00CA675F"/>
    <w:rsid w:val="00CA6D39"/>
    <w:rsid w:val="00CA7124"/>
    <w:rsid w:val="00CA7BC3"/>
    <w:rsid w:val="00CB1A68"/>
    <w:rsid w:val="00CB4992"/>
    <w:rsid w:val="00CB4B72"/>
    <w:rsid w:val="00CB5328"/>
    <w:rsid w:val="00CB6B4C"/>
    <w:rsid w:val="00CB76E3"/>
    <w:rsid w:val="00CC09FC"/>
    <w:rsid w:val="00CC15D3"/>
    <w:rsid w:val="00CC1758"/>
    <w:rsid w:val="00CC1AE6"/>
    <w:rsid w:val="00CC2CA0"/>
    <w:rsid w:val="00CC31EA"/>
    <w:rsid w:val="00CC3296"/>
    <w:rsid w:val="00CC3D62"/>
    <w:rsid w:val="00CC3D9C"/>
    <w:rsid w:val="00CC69D0"/>
    <w:rsid w:val="00CC7C3B"/>
    <w:rsid w:val="00CD0E04"/>
    <w:rsid w:val="00CD1957"/>
    <w:rsid w:val="00CD1DBD"/>
    <w:rsid w:val="00CD2C69"/>
    <w:rsid w:val="00CD35CE"/>
    <w:rsid w:val="00CD373E"/>
    <w:rsid w:val="00CD38A9"/>
    <w:rsid w:val="00CD3DA8"/>
    <w:rsid w:val="00CD3F7B"/>
    <w:rsid w:val="00CD493A"/>
    <w:rsid w:val="00CD4F16"/>
    <w:rsid w:val="00CD6BB7"/>
    <w:rsid w:val="00CD7125"/>
    <w:rsid w:val="00CE1187"/>
    <w:rsid w:val="00CE2D4D"/>
    <w:rsid w:val="00CE2D50"/>
    <w:rsid w:val="00CE2FD3"/>
    <w:rsid w:val="00CE33BD"/>
    <w:rsid w:val="00CE49A7"/>
    <w:rsid w:val="00CE5B50"/>
    <w:rsid w:val="00CE6913"/>
    <w:rsid w:val="00CE6EF9"/>
    <w:rsid w:val="00CE77E8"/>
    <w:rsid w:val="00CF0193"/>
    <w:rsid w:val="00CF1B66"/>
    <w:rsid w:val="00CF27DA"/>
    <w:rsid w:val="00CF2FDC"/>
    <w:rsid w:val="00CF33BE"/>
    <w:rsid w:val="00CF3CF6"/>
    <w:rsid w:val="00CF4A4B"/>
    <w:rsid w:val="00CF5036"/>
    <w:rsid w:val="00CF53CC"/>
    <w:rsid w:val="00CF554D"/>
    <w:rsid w:val="00CF5EA8"/>
    <w:rsid w:val="00CF6A7E"/>
    <w:rsid w:val="00CF6CE2"/>
    <w:rsid w:val="00CF7D4B"/>
    <w:rsid w:val="00D00612"/>
    <w:rsid w:val="00D00696"/>
    <w:rsid w:val="00D00BD2"/>
    <w:rsid w:val="00D01C78"/>
    <w:rsid w:val="00D01F48"/>
    <w:rsid w:val="00D033E4"/>
    <w:rsid w:val="00D06990"/>
    <w:rsid w:val="00D06E85"/>
    <w:rsid w:val="00D06ECD"/>
    <w:rsid w:val="00D0774A"/>
    <w:rsid w:val="00D100A0"/>
    <w:rsid w:val="00D108B7"/>
    <w:rsid w:val="00D112BB"/>
    <w:rsid w:val="00D12565"/>
    <w:rsid w:val="00D1327F"/>
    <w:rsid w:val="00D15941"/>
    <w:rsid w:val="00D17527"/>
    <w:rsid w:val="00D2067D"/>
    <w:rsid w:val="00D21F30"/>
    <w:rsid w:val="00D223D5"/>
    <w:rsid w:val="00D225DD"/>
    <w:rsid w:val="00D2298D"/>
    <w:rsid w:val="00D245A7"/>
    <w:rsid w:val="00D25437"/>
    <w:rsid w:val="00D26A2E"/>
    <w:rsid w:val="00D276DF"/>
    <w:rsid w:val="00D27B49"/>
    <w:rsid w:val="00D308F8"/>
    <w:rsid w:val="00D31391"/>
    <w:rsid w:val="00D31A25"/>
    <w:rsid w:val="00D32334"/>
    <w:rsid w:val="00D32E89"/>
    <w:rsid w:val="00D339BB"/>
    <w:rsid w:val="00D344E9"/>
    <w:rsid w:val="00D34F4A"/>
    <w:rsid w:val="00D353BF"/>
    <w:rsid w:val="00D37533"/>
    <w:rsid w:val="00D40546"/>
    <w:rsid w:val="00D41287"/>
    <w:rsid w:val="00D44731"/>
    <w:rsid w:val="00D45EB7"/>
    <w:rsid w:val="00D47899"/>
    <w:rsid w:val="00D5022C"/>
    <w:rsid w:val="00D517C2"/>
    <w:rsid w:val="00D5205A"/>
    <w:rsid w:val="00D52307"/>
    <w:rsid w:val="00D53C07"/>
    <w:rsid w:val="00D54D20"/>
    <w:rsid w:val="00D55EF4"/>
    <w:rsid w:val="00D563B1"/>
    <w:rsid w:val="00D57C61"/>
    <w:rsid w:val="00D60EC8"/>
    <w:rsid w:val="00D61CEB"/>
    <w:rsid w:val="00D61FCF"/>
    <w:rsid w:val="00D6260A"/>
    <w:rsid w:val="00D62A86"/>
    <w:rsid w:val="00D62E42"/>
    <w:rsid w:val="00D63455"/>
    <w:rsid w:val="00D64D7A"/>
    <w:rsid w:val="00D66038"/>
    <w:rsid w:val="00D67C41"/>
    <w:rsid w:val="00D70073"/>
    <w:rsid w:val="00D7084C"/>
    <w:rsid w:val="00D714BF"/>
    <w:rsid w:val="00D734D1"/>
    <w:rsid w:val="00D73ACC"/>
    <w:rsid w:val="00D7689E"/>
    <w:rsid w:val="00D76CD5"/>
    <w:rsid w:val="00D76E18"/>
    <w:rsid w:val="00D77C09"/>
    <w:rsid w:val="00D77F46"/>
    <w:rsid w:val="00D803DE"/>
    <w:rsid w:val="00D80A14"/>
    <w:rsid w:val="00D82ECF"/>
    <w:rsid w:val="00D84338"/>
    <w:rsid w:val="00D84670"/>
    <w:rsid w:val="00D84A07"/>
    <w:rsid w:val="00D86695"/>
    <w:rsid w:val="00D86DB6"/>
    <w:rsid w:val="00D8718D"/>
    <w:rsid w:val="00D90B72"/>
    <w:rsid w:val="00D90F62"/>
    <w:rsid w:val="00D9155D"/>
    <w:rsid w:val="00D926D1"/>
    <w:rsid w:val="00D92B0A"/>
    <w:rsid w:val="00D9384F"/>
    <w:rsid w:val="00D94E58"/>
    <w:rsid w:val="00D952A0"/>
    <w:rsid w:val="00D9535E"/>
    <w:rsid w:val="00D95811"/>
    <w:rsid w:val="00D97D5B"/>
    <w:rsid w:val="00D97DEA"/>
    <w:rsid w:val="00DA02F3"/>
    <w:rsid w:val="00DA0681"/>
    <w:rsid w:val="00DA087A"/>
    <w:rsid w:val="00DA1A53"/>
    <w:rsid w:val="00DA1ED3"/>
    <w:rsid w:val="00DA2C24"/>
    <w:rsid w:val="00DA3213"/>
    <w:rsid w:val="00DA36B9"/>
    <w:rsid w:val="00DA4344"/>
    <w:rsid w:val="00DA45B4"/>
    <w:rsid w:val="00DA47CA"/>
    <w:rsid w:val="00DA4F5A"/>
    <w:rsid w:val="00DA75A3"/>
    <w:rsid w:val="00DA7706"/>
    <w:rsid w:val="00DA7CBE"/>
    <w:rsid w:val="00DA7F6E"/>
    <w:rsid w:val="00DB0621"/>
    <w:rsid w:val="00DB12CA"/>
    <w:rsid w:val="00DB1557"/>
    <w:rsid w:val="00DB1B3D"/>
    <w:rsid w:val="00DB200A"/>
    <w:rsid w:val="00DB3791"/>
    <w:rsid w:val="00DB3A17"/>
    <w:rsid w:val="00DB55BC"/>
    <w:rsid w:val="00DB704E"/>
    <w:rsid w:val="00DC14D9"/>
    <w:rsid w:val="00DC33CD"/>
    <w:rsid w:val="00DC43F8"/>
    <w:rsid w:val="00DC4F08"/>
    <w:rsid w:val="00DC5099"/>
    <w:rsid w:val="00DC66B2"/>
    <w:rsid w:val="00DD03E0"/>
    <w:rsid w:val="00DD11B1"/>
    <w:rsid w:val="00DD3646"/>
    <w:rsid w:val="00DD4D27"/>
    <w:rsid w:val="00DD4E9B"/>
    <w:rsid w:val="00DD5788"/>
    <w:rsid w:val="00DD6349"/>
    <w:rsid w:val="00DD6599"/>
    <w:rsid w:val="00DD67D7"/>
    <w:rsid w:val="00DD72AD"/>
    <w:rsid w:val="00DD7F65"/>
    <w:rsid w:val="00DE1515"/>
    <w:rsid w:val="00DE1573"/>
    <w:rsid w:val="00DE1BA2"/>
    <w:rsid w:val="00DE22A9"/>
    <w:rsid w:val="00DE3D6F"/>
    <w:rsid w:val="00DE5AD2"/>
    <w:rsid w:val="00DE6247"/>
    <w:rsid w:val="00DF229C"/>
    <w:rsid w:val="00DF27A8"/>
    <w:rsid w:val="00DF32AF"/>
    <w:rsid w:val="00DF35C5"/>
    <w:rsid w:val="00DF5192"/>
    <w:rsid w:val="00DF6A5F"/>
    <w:rsid w:val="00DF7A33"/>
    <w:rsid w:val="00E00673"/>
    <w:rsid w:val="00E00D4A"/>
    <w:rsid w:val="00E00E3A"/>
    <w:rsid w:val="00E00E46"/>
    <w:rsid w:val="00E014D3"/>
    <w:rsid w:val="00E01A89"/>
    <w:rsid w:val="00E01DEC"/>
    <w:rsid w:val="00E04A6C"/>
    <w:rsid w:val="00E06165"/>
    <w:rsid w:val="00E06681"/>
    <w:rsid w:val="00E06684"/>
    <w:rsid w:val="00E069DF"/>
    <w:rsid w:val="00E1002F"/>
    <w:rsid w:val="00E118F4"/>
    <w:rsid w:val="00E13BFF"/>
    <w:rsid w:val="00E174F1"/>
    <w:rsid w:val="00E20585"/>
    <w:rsid w:val="00E20AB6"/>
    <w:rsid w:val="00E22EA4"/>
    <w:rsid w:val="00E235E5"/>
    <w:rsid w:val="00E23C4F"/>
    <w:rsid w:val="00E23E4F"/>
    <w:rsid w:val="00E23EDD"/>
    <w:rsid w:val="00E24153"/>
    <w:rsid w:val="00E258BA"/>
    <w:rsid w:val="00E25B42"/>
    <w:rsid w:val="00E30807"/>
    <w:rsid w:val="00E308FB"/>
    <w:rsid w:val="00E341F4"/>
    <w:rsid w:val="00E34325"/>
    <w:rsid w:val="00E34671"/>
    <w:rsid w:val="00E34C8D"/>
    <w:rsid w:val="00E35CE0"/>
    <w:rsid w:val="00E420C9"/>
    <w:rsid w:val="00E42802"/>
    <w:rsid w:val="00E42B94"/>
    <w:rsid w:val="00E4314D"/>
    <w:rsid w:val="00E444B4"/>
    <w:rsid w:val="00E4529C"/>
    <w:rsid w:val="00E457A0"/>
    <w:rsid w:val="00E45C16"/>
    <w:rsid w:val="00E501CC"/>
    <w:rsid w:val="00E50AD7"/>
    <w:rsid w:val="00E5144B"/>
    <w:rsid w:val="00E51807"/>
    <w:rsid w:val="00E52486"/>
    <w:rsid w:val="00E535BE"/>
    <w:rsid w:val="00E53F5B"/>
    <w:rsid w:val="00E54E82"/>
    <w:rsid w:val="00E557A2"/>
    <w:rsid w:val="00E55DB0"/>
    <w:rsid w:val="00E5645D"/>
    <w:rsid w:val="00E568E9"/>
    <w:rsid w:val="00E56BED"/>
    <w:rsid w:val="00E57328"/>
    <w:rsid w:val="00E57CB9"/>
    <w:rsid w:val="00E57E2F"/>
    <w:rsid w:val="00E61079"/>
    <w:rsid w:val="00E62761"/>
    <w:rsid w:val="00E62CF4"/>
    <w:rsid w:val="00E6379B"/>
    <w:rsid w:val="00E6458E"/>
    <w:rsid w:val="00E645FE"/>
    <w:rsid w:val="00E6591D"/>
    <w:rsid w:val="00E66C5F"/>
    <w:rsid w:val="00E67288"/>
    <w:rsid w:val="00E67458"/>
    <w:rsid w:val="00E71CB8"/>
    <w:rsid w:val="00E75709"/>
    <w:rsid w:val="00E75DE9"/>
    <w:rsid w:val="00E76396"/>
    <w:rsid w:val="00E80090"/>
    <w:rsid w:val="00E8026A"/>
    <w:rsid w:val="00E82330"/>
    <w:rsid w:val="00E82714"/>
    <w:rsid w:val="00E82885"/>
    <w:rsid w:val="00E83601"/>
    <w:rsid w:val="00E84C9E"/>
    <w:rsid w:val="00E84FA7"/>
    <w:rsid w:val="00E858F4"/>
    <w:rsid w:val="00E915BA"/>
    <w:rsid w:val="00E91613"/>
    <w:rsid w:val="00E91A59"/>
    <w:rsid w:val="00E91BCE"/>
    <w:rsid w:val="00E93806"/>
    <w:rsid w:val="00E95B26"/>
    <w:rsid w:val="00E9686B"/>
    <w:rsid w:val="00E96C57"/>
    <w:rsid w:val="00EA07CD"/>
    <w:rsid w:val="00EA14F4"/>
    <w:rsid w:val="00EA3F5B"/>
    <w:rsid w:val="00EA454C"/>
    <w:rsid w:val="00EA5A1D"/>
    <w:rsid w:val="00EA667A"/>
    <w:rsid w:val="00EA6FA9"/>
    <w:rsid w:val="00EA77BF"/>
    <w:rsid w:val="00EA7A8E"/>
    <w:rsid w:val="00EB2D13"/>
    <w:rsid w:val="00EB44CF"/>
    <w:rsid w:val="00EB49DA"/>
    <w:rsid w:val="00EB56CC"/>
    <w:rsid w:val="00EB68FD"/>
    <w:rsid w:val="00EB73DB"/>
    <w:rsid w:val="00EB799D"/>
    <w:rsid w:val="00EC06A4"/>
    <w:rsid w:val="00EC0C45"/>
    <w:rsid w:val="00EC0CDA"/>
    <w:rsid w:val="00EC114E"/>
    <w:rsid w:val="00EC1242"/>
    <w:rsid w:val="00EC16AE"/>
    <w:rsid w:val="00EC1B75"/>
    <w:rsid w:val="00EC281D"/>
    <w:rsid w:val="00EC3A2C"/>
    <w:rsid w:val="00EC3C0F"/>
    <w:rsid w:val="00EC5B46"/>
    <w:rsid w:val="00EC5F75"/>
    <w:rsid w:val="00EC60DC"/>
    <w:rsid w:val="00EC746E"/>
    <w:rsid w:val="00EC79F7"/>
    <w:rsid w:val="00ED004B"/>
    <w:rsid w:val="00ED0851"/>
    <w:rsid w:val="00ED27FE"/>
    <w:rsid w:val="00ED3298"/>
    <w:rsid w:val="00ED3314"/>
    <w:rsid w:val="00ED4C18"/>
    <w:rsid w:val="00ED51D4"/>
    <w:rsid w:val="00ED5BC7"/>
    <w:rsid w:val="00ED79EF"/>
    <w:rsid w:val="00ED7AC3"/>
    <w:rsid w:val="00EE0D92"/>
    <w:rsid w:val="00EE122B"/>
    <w:rsid w:val="00EE2688"/>
    <w:rsid w:val="00EE3059"/>
    <w:rsid w:val="00EE361E"/>
    <w:rsid w:val="00EE51AF"/>
    <w:rsid w:val="00EE5620"/>
    <w:rsid w:val="00EE5F6C"/>
    <w:rsid w:val="00EE621D"/>
    <w:rsid w:val="00EE63D6"/>
    <w:rsid w:val="00EE69E2"/>
    <w:rsid w:val="00EE6E98"/>
    <w:rsid w:val="00EF0194"/>
    <w:rsid w:val="00EF10EC"/>
    <w:rsid w:val="00EF210B"/>
    <w:rsid w:val="00EF27D4"/>
    <w:rsid w:val="00EF32AC"/>
    <w:rsid w:val="00EF3AE6"/>
    <w:rsid w:val="00EF459C"/>
    <w:rsid w:val="00EF4D92"/>
    <w:rsid w:val="00EF5FCC"/>
    <w:rsid w:val="00EF6648"/>
    <w:rsid w:val="00EF756D"/>
    <w:rsid w:val="00EF7D3F"/>
    <w:rsid w:val="00F01878"/>
    <w:rsid w:val="00F02AE8"/>
    <w:rsid w:val="00F032A1"/>
    <w:rsid w:val="00F03374"/>
    <w:rsid w:val="00F03696"/>
    <w:rsid w:val="00F03895"/>
    <w:rsid w:val="00F05BB3"/>
    <w:rsid w:val="00F10091"/>
    <w:rsid w:val="00F1109D"/>
    <w:rsid w:val="00F112E6"/>
    <w:rsid w:val="00F114DE"/>
    <w:rsid w:val="00F11E73"/>
    <w:rsid w:val="00F136CC"/>
    <w:rsid w:val="00F13975"/>
    <w:rsid w:val="00F14930"/>
    <w:rsid w:val="00F157D8"/>
    <w:rsid w:val="00F159BD"/>
    <w:rsid w:val="00F159C3"/>
    <w:rsid w:val="00F16465"/>
    <w:rsid w:val="00F17060"/>
    <w:rsid w:val="00F17BF7"/>
    <w:rsid w:val="00F231F8"/>
    <w:rsid w:val="00F24129"/>
    <w:rsid w:val="00F2433D"/>
    <w:rsid w:val="00F2449C"/>
    <w:rsid w:val="00F25BCF"/>
    <w:rsid w:val="00F3097B"/>
    <w:rsid w:val="00F31507"/>
    <w:rsid w:val="00F33D73"/>
    <w:rsid w:val="00F33D7A"/>
    <w:rsid w:val="00F344F7"/>
    <w:rsid w:val="00F35418"/>
    <w:rsid w:val="00F36763"/>
    <w:rsid w:val="00F37155"/>
    <w:rsid w:val="00F374C8"/>
    <w:rsid w:val="00F3798C"/>
    <w:rsid w:val="00F41B16"/>
    <w:rsid w:val="00F41D21"/>
    <w:rsid w:val="00F42D13"/>
    <w:rsid w:val="00F43CA9"/>
    <w:rsid w:val="00F44CCF"/>
    <w:rsid w:val="00F4556D"/>
    <w:rsid w:val="00F45775"/>
    <w:rsid w:val="00F45C37"/>
    <w:rsid w:val="00F4664D"/>
    <w:rsid w:val="00F47223"/>
    <w:rsid w:val="00F47FEC"/>
    <w:rsid w:val="00F50151"/>
    <w:rsid w:val="00F5064C"/>
    <w:rsid w:val="00F50797"/>
    <w:rsid w:val="00F50C06"/>
    <w:rsid w:val="00F51C7D"/>
    <w:rsid w:val="00F52639"/>
    <w:rsid w:val="00F52D79"/>
    <w:rsid w:val="00F53A96"/>
    <w:rsid w:val="00F5454C"/>
    <w:rsid w:val="00F54F97"/>
    <w:rsid w:val="00F56A3E"/>
    <w:rsid w:val="00F56A90"/>
    <w:rsid w:val="00F56B56"/>
    <w:rsid w:val="00F57C51"/>
    <w:rsid w:val="00F60C5E"/>
    <w:rsid w:val="00F60FB3"/>
    <w:rsid w:val="00F61778"/>
    <w:rsid w:val="00F61A5D"/>
    <w:rsid w:val="00F622B6"/>
    <w:rsid w:val="00F630DC"/>
    <w:rsid w:val="00F63349"/>
    <w:rsid w:val="00F635CC"/>
    <w:rsid w:val="00F63F5E"/>
    <w:rsid w:val="00F64742"/>
    <w:rsid w:val="00F65AFA"/>
    <w:rsid w:val="00F66366"/>
    <w:rsid w:val="00F67912"/>
    <w:rsid w:val="00F679AE"/>
    <w:rsid w:val="00F67BBB"/>
    <w:rsid w:val="00F67F9E"/>
    <w:rsid w:val="00F7159E"/>
    <w:rsid w:val="00F716B4"/>
    <w:rsid w:val="00F716C2"/>
    <w:rsid w:val="00F71EFF"/>
    <w:rsid w:val="00F720CB"/>
    <w:rsid w:val="00F72569"/>
    <w:rsid w:val="00F73CCC"/>
    <w:rsid w:val="00F76EDC"/>
    <w:rsid w:val="00F77C3C"/>
    <w:rsid w:val="00F80CA4"/>
    <w:rsid w:val="00F80F05"/>
    <w:rsid w:val="00F80FCD"/>
    <w:rsid w:val="00F81CE2"/>
    <w:rsid w:val="00F827F6"/>
    <w:rsid w:val="00F85099"/>
    <w:rsid w:val="00F854A3"/>
    <w:rsid w:val="00F85F8C"/>
    <w:rsid w:val="00F900BC"/>
    <w:rsid w:val="00F90FD7"/>
    <w:rsid w:val="00F91759"/>
    <w:rsid w:val="00F92612"/>
    <w:rsid w:val="00F93C93"/>
    <w:rsid w:val="00F93CD5"/>
    <w:rsid w:val="00F94137"/>
    <w:rsid w:val="00F9518B"/>
    <w:rsid w:val="00F95A9B"/>
    <w:rsid w:val="00F96026"/>
    <w:rsid w:val="00F97035"/>
    <w:rsid w:val="00FA17CA"/>
    <w:rsid w:val="00FA19DE"/>
    <w:rsid w:val="00FA1D86"/>
    <w:rsid w:val="00FA1E2F"/>
    <w:rsid w:val="00FA2AC4"/>
    <w:rsid w:val="00FA303A"/>
    <w:rsid w:val="00FA4D86"/>
    <w:rsid w:val="00FA60EA"/>
    <w:rsid w:val="00FA71AD"/>
    <w:rsid w:val="00FA7CFF"/>
    <w:rsid w:val="00FB460F"/>
    <w:rsid w:val="00FB6BB6"/>
    <w:rsid w:val="00FB7A9F"/>
    <w:rsid w:val="00FC0371"/>
    <w:rsid w:val="00FC185C"/>
    <w:rsid w:val="00FC22DC"/>
    <w:rsid w:val="00FC579F"/>
    <w:rsid w:val="00FD09FA"/>
    <w:rsid w:val="00FD10ED"/>
    <w:rsid w:val="00FD1D5C"/>
    <w:rsid w:val="00FD2077"/>
    <w:rsid w:val="00FD43CA"/>
    <w:rsid w:val="00FD451C"/>
    <w:rsid w:val="00FD553C"/>
    <w:rsid w:val="00FD641D"/>
    <w:rsid w:val="00FD7225"/>
    <w:rsid w:val="00FE103D"/>
    <w:rsid w:val="00FE4C36"/>
    <w:rsid w:val="00FE5767"/>
    <w:rsid w:val="00FE6B1F"/>
    <w:rsid w:val="00FE6B37"/>
    <w:rsid w:val="00FE7261"/>
    <w:rsid w:val="00FF2137"/>
    <w:rsid w:val="00FF2B08"/>
    <w:rsid w:val="00FF3400"/>
    <w:rsid w:val="00FF43DF"/>
    <w:rsid w:val="00FF459A"/>
    <w:rsid w:val="00FF50E7"/>
    <w:rsid w:val="00FF5178"/>
    <w:rsid w:val="00FF6A46"/>
    <w:rsid w:val="00FF6D5A"/>
    <w:rsid w:val="00FF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610F0"/>
  <w15:chartTrackingRefBased/>
  <w15:docId w15:val="{58E79639-E1CB-4823-955C-3360848D8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4AB"/>
    <w:pPr>
      <w:spacing w:before="120" w:after="120" w:line="360" w:lineRule="auto"/>
      <w:jc w:val="both"/>
    </w:pPr>
    <w:rPr>
      <w:rFonts w:ascii="Times New Roman" w:hAnsi="Times New Roman"/>
      <w:sz w:val="20"/>
    </w:rPr>
  </w:style>
  <w:style w:type="paragraph" w:styleId="Heading1">
    <w:name w:val="heading 1"/>
    <w:basedOn w:val="Normal"/>
    <w:next w:val="Normal"/>
    <w:link w:val="Heading1Char"/>
    <w:uiPriority w:val="9"/>
    <w:qFormat/>
    <w:rsid w:val="000D5AA0"/>
    <w:pPr>
      <w:keepNext/>
      <w:keepLines/>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44AB"/>
    <w:pPr>
      <w:keepNext/>
      <w:keepLines/>
      <w:numPr>
        <w:ilvl w:val="1"/>
        <w:numId w:val="1"/>
      </w:numP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30846"/>
    <w:pPr>
      <w:keepNext/>
      <w:keepLines/>
      <w:numPr>
        <w:ilvl w:val="2"/>
        <w:numId w:val="1"/>
      </w:numPr>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10E"/>
    <w:pPr>
      <w:ind w:left="720"/>
      <w:contextualSpacing/>
    </w:pPr>
  </w:style>
  <w:style w:type="character" w:styleId="PlaceholderText">
    <w:name w:val="Placeholder Text"/>
    <w:basedOn w:val="DefaultParagraphFont"/>
    <w:uiPriority w:val="99"/>
    <w:semiHidden/>
    <w:rsid w:val="00841019"/>
    <w:rPr>
      <w:color w:val="808080"/>
    </w:rPr>
  </w:style>
  <w:style w:type="table" w:styleId="TableGrid">
    <w:name w:val="Table Grid"/>
    <w:basedOn w:val="TableNormal"/>
    <w:uiPriority w:val="39"/>
    <w:rsid w:val="00D30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08B5"/>
    <w:pPr>
      <w:spacing w:after="200"/>
    </w:pPr>
    <w:rPr>
      <w:iCs/>
      <w:color w:val="000000" w:themeColor="text1"/>
      <w:szCs w:val="18"/>
    </w:rPr>
  </w:style>
  <w:style w:type="paragraph" w:styleId="Header">
    <w:name w:val="header"/>
    <w:basedOn w:val="Normal"/>
    <w:link w:val="HeaderChar"/>
    <w:uiPriority w:val="99"/>
    <w:unhideWhenUsed/>
    <w:rsid w:val="00DB1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B3D"/>
    <w:rPr>
      <w:rFonts w:ascii="Times New Roman" w:hAnsi="Times New Roman"/>
      <w:sz w:val="20"/>
    </w:rPr>
  </w:style>
  <w:style w:type="paragraph" w:styleId="Footer">
    <w:name w:val="footer"/>
    <w:basedOn w:val="Normal"/>
    <w:link w:val="FooterChar"/>
    <w:uiPriority w:val="99"/>
    <w:unhideWhenUsed/>
    <w:rsid w:val="00DB1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B3D"/>
    <w:rPr>
      <w:rFonts w:ascii="Times New Roman" w:hAnsi="Times New Roman"/>
      <w:sz w:val="20"/>
    </w:rPr>
  </w:style>
  <w:style w:type="character" w:styleId="CommentReference">
    <w:name w:val="annotation reference"/>
    <w:basedOn w:val="DefaultParagraphFont"/>
    <w:uiPriority w:val="99"/>
    <w:semiHidden/>
    <w:unhideWhenUsed/>
    <w:rsid w:val="007A2478"/>
    <w:rPr>
      <w:sz w:val="16"/>
      <w:szCs w:val="16"/>
    </w:rPr>
  </w:style>
  <w:style w:type="paragraph" w:styleId="CommentText">
    <w:name w:val="annotation text"/>
    <w:basedOn w:val="Normal"/>
    <w:link w:val="CommentTextChar"/>
    <w:uiPriority w:val="99"/>
    <w:semiHidden/>
    <w:unhideWhenUsed/>
    <w:rsid w:val="007A2478"/>
    <w:pPr>
      <w:spacing w:line="240" w:lineRule="auto"/>
    </w:pPr>
    <w:rPr>
      <w:szCs w:val="20"/>
    </w:rPr>
  </w:style>
  <w:style w:type="character" w:customStyle="1" w:styleId="CommentTextChar">
    <w:name w:val="Comment Text Char"/>
    <w:basedOn w:val="DefaultParagraphFont"/>
    <w:link w:val="CommentText"/>
    <w:uiPriority w:val="99"/>
    <w:semiHidden/>
    <w:rsid w:val="007A247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A2478"/>
    <w:rPr>
      <w:b/>
      <w:bCs/>
    </w:rPr>
  </w:style>
  <w:style w:type="character" w:customStyle="1" w:styleId="CommentSubjectChar">
    <w:name w:val="Comment Subject Char"/>
    <w:basedOn w:val="CommentTextChar"/>
    <w:link w:val="CommentSubject"/>
    <w:uiPriority w:val="99"/>
    <w:semiHidden/>
    <w:rsid w:val="007A2478"/>
    <w:rPr>
      <w:rFonts w:ascii="Times New Roman" w:hAnsi="Times New Roman"/>
      <w:b/>
      <w:bCs/>
      <w:sz w:val="20"/>
      <w:szCs w:val="20"/>
    </w:rPr>
  </w:style>
  <w:style w:type="paragraph" w:styleId="BalloonText">
    <w:name w:val="Balloon Text"/>
    <w:basedOn w:val="Normal"/>
    <w:link w:val="BalloonTextChar"/>
    <w:uiPriority w:val="99"/>
    <w:semiHidden/>
    <w:unhideWhenUsed/>
    <w:rsid w:val="007A2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478"/>
    <w:rPr>
      <w:rFonts w:ascii="Segoe UI" w:hAnsi="Segoe UI" w:cs="Segoe UI"/>
      <w:sz w:val="18"/>
      <w:szCs w:val="18"/>
    </w:rPr>
  </w:style>
  <w:style w:type="paragraph" w:styleId="NormalWeb">
    <w:name w:val="Normal (Web)"/>
    <w:basedOn w:val="Normal"/>
    <w:uiPriority w:val="99"/>
    <w:unhideWhenUsed/>
    <w:rsid w:val="00015201"/>
    <w:pPr>
      <w:spacing w:before="100" w:beforeAutospacing="1" w:after="100" w:afterAutospacing="1" w:line="240" w:lineRule="auto"/>
      <w:jc w:val="left"/>
    </w:pPr>
    <w:rPr>
      <w:rFonts w:eastAsia="Times New Roman" w:cs="Times New Roman"/>
      <w:sz w:val="24"/>
      <w:szCs w:val="24"/>
      <w:lang w:eastAsia="en-GB"/>
    </w:rPr>
  </w:style>
  <w:style w:type="character" w:customStyle="1" w:styleId="Heading1Char">
    <w:name w:val="Heading 1 Char"/>
    <w:basedOn w:val="DefaultParagraphFont"/>
    <w:link w:val="Heading1"/>
    <w:uiPriority w:val="9"/>
    <w:rsid w:val="000D5AA0"/>
    <w:rPr>
      <w:rFonts w:ascii="Times New Roman" w:eastAsiaTheme="majorEastAsia" w:hAnsi="Times New Roman" w:cstheme="majorBidi"/>
      <w:b/>
      <w:color w:val="000000" w:themeColor="text1"/>
      <w:sz w:val="20"/>
      <w:szCs w:val="32"/>
    </w:rPr>
  </w:style>
  <w:style w:type="character" w:customStyle="1" w:styleId="Heading2Char">
    <w:name w:val="Heading 2 Char"/>
    <w:basedOn w:val="DefaultParagraphFont"/>
    <w:link w:val="Heading2"/>
    <w:uiPriority w:val="9"/>
    <w:rsid w:val="004E44AB"/>
    <w:rPr>
      <w:rFonts w:ascii="Times New Roman" w:eastAsiaTheme="majorEastAsia" w:hAnsi="Times New Roman" w:cstheme="majorBidi"/>
      <w:b/>
      <w:color w:val="000000" w:themeColor="text1"/>
      <w:sz w:val="20"/>
      <w:szCs w:val="26"/>
    </w:rPr>
  </w:style>
  <w:style w:type="character" w:customStyle="1" w:styleId="Heading3Char">
    <w:name w:val="Heading 3 Char"/>
    <w:basedOn w:val="DefaultParagraphFont"/>
    <w:link w:val="Heading3"/>
    <w:uiPriority w:val="9"/>
    <w:rsid w:val="00A30846"/>
    <w:rPr>
      <w:rFonts w:ascii="Times New Roman" w:eastAsiaTheme="majorEastAsia" w:hAnsi="Times New Roman" w:cstheme="majorBidi"/>
      <w:b/>
      <w:color w:val="000000" w:themeColor="text1"/>
      <w:sz w:val="20"/>
      <w:szCs w:val="24"/>
    </w:rPr>
  </w:style>
  <w:style w:type="paragraph" w:customStyle="1" w:styleId="BATitle">
    <w:name w:val="BA_Title"/>
    <w:basedOn w:val="Normal"/>
    <w:next w:val="Normal"/>
    <w:rsid w:val="004E44AB"/>
    <w:pPr>
      <w:spacing w:before="720" w:after="360" w:line="480" w:lineRule="auto"/>
      <w:jc w:val="center"/>
    </w:pPr>
    <w:rPr>
      <w:rFonts w:eastAsia="Times New Roman" w:cs="Times New Roman"/>
      <w:sz w:val="44"/>
      <w:szCs w:val="20"/>
      <w:lang w:val="en-US"/>
    </w:rPr>
  </w:style>
  <w:style w:type="character" w:styleId="Strong">
    <w:name w:val="Strong"/>
    <w:basedOn w:val="DefaultParagraphFont"/>
    <w:uiPriority w:val="22"/>
    <w:qFormat/>
    <w:rsid w:val="00471EDA"/>
    <w:rPr>
      <w:b/>
      <w:bCs/>
    </w:rPr>
  </w:style>
  <w:style w:type="character" w:styleId="Hyperlink">
    <w:name w:val="Hyperlink"/>
    <w:basedOn w:val="DefaultParagraphFont"/>
    <w:uiPriority w:val="99"/>
    <w:unhideWhenUsed/>
    <w:rsid w:val="009F7D89"/>
    <w:rPr>
      <w:color w:val="0563C1" w:themeColor="hyperlink"/>
      <w:u w:val="single"/>
    </w:rPr>
  </w:style>
  <w:style w:type="paragraph" w:styleId="TOCHeading">
    <w:name w:val="TOC Heading"/>
    <w:basedOn w:val="Heading1"/>
    <w:next w:val="Normal"/>
    <w:uiPriority w:val="39"/>
    <w:unhideWhenUsed/>
    <w:qFormat/>
    <w:rsid w:val="00715CF2"/>
    <w:pPr>
      <w:spacing w:before="240" w:after="0" w:line="259" w:lineRule="auto"/>
      <w:jc w:val="left"/>
      <w:outlineLvl w:val="9"/>
    </w:pPr>
    <w:rPr>
      <w:sz w:val="32"/>
      <w:lang w:val="en-US"/>
    </w:rPr>
  </w:style>
  <w:style w:type="paragraph" w:styleId="TOC1">
    <w:name w:val="toc 1"/>
    <w:basedOn w:val="Normal"/>
    <w:next w:val="Normal"/>
    <w:autoRedefine/>
    <w:uiPriority w:val="39"/>
    <w:unhideWhenUsed/>
    <w:rsid w:val="00715CF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0450">
      <w:bodyDiv w:val="1"/>
      <w:marLeft w:val="0"/>
      <w:marRight w:val="0"/>
      <w:marTop w:val="0"/>
      <w:marBottom w:val="0"/>
      <w:divBdr>
        <w:top w:val="none" w:sz="0" w:space="0" w:color="auto"/>
        <w:left w:val="none" w:sz="0" w:space="0" w:color="auto"/>
        <w:bottom w:val="none" w:sz="0" w:space="0" w:color="auto"/>
        <w:right w:val="none" w:sz="0" w:space="0" w:color="auto"/>
      </w:divBdr>
    </w:div>
    <w:div w:id="185946557">
      <w:bodyDiv w:val="1"/>
      <w:marLeft w:val="0"/>
      <w:marRight w:val="0"/>
      <w:marTop w:val="0"/>
      <w:marBottom w:val="0"/>
      <w:divBdr>
        <w:top w:val="none" w:sz="0" w:space="0" w:color="auto"/>
        <w:left w:val="none" w:sz="0" w:space="0" w:color="auto"/>
        <w:bottom w:val="none" w:sz="0" w:space="0" w:color="auto"/>
        <w:right w:val="none" w:sz="0" w:space="0" w:color="auto"/>
      </w:divBdr>
    </w:div>
    <w:div w:id="283772315">
      <w:bodyDiv w:val="1"/>
      <w:marLeft w:val="0"/>
      <w:marRight w:val="0"/>
      <w:marTop w:val="0"/>
      <w:marBottom w:val="0"/>
      <w:divBdr>
        <w:top w:val="none" w:sz="0" w:space="0" w:color="auto"/>
        <w:left w:val="none" w:sz="0" w:space="0" w:color="auto"/>
        <w:bottom w:val="none" w:sz="0" w:space="0" w:color="auto"/>
        <w:right w:val="none" w:sz="0" w:space="0" w:color="auto"/>
      </w:divBdr>
    </w:div>
    <w:div w:id="345717524">
      <w:bodyDiv w:val="1"/>
      <w:marLeft w:val="0"/>
      <w:marRight w:val="0"/>
      <w:marTop w:val="0"/>
      <w:marBottom w:val="0"/>
      <w:divBdr>
        <w:top w:val="none" w:sz="0" w:space="0" w:color="auto"/>
        <w:left w:val="none" w:sz="0" w:space="0" w:color="auto"/>
        <w:bottom w:val="none" w:sz="0" w:space="0" w:color="auto"/>
        <w:right w:val="none" w:sz="0" w:space="0" w:color="auto"/>
      </w:divBdr>
    </w:div>
    <w:div w:id="526526872">
      <w:bodyDiv w:val="1"/>
      <w:marLeft w:val="0"/>
      <w:marRight w:val="0"/>
      <w:marTop w:val="0"/>
      <w:marBottom w:val="0"/>
      <w:divBdr>
        <w:top w:val="none" w:sz="0" w:space="0" w:color="auto"/>
        <w:left w:val="none" w:sz="0" w:space="0" w:color="auto"/>
        <w:bottom w:val="none" w:sz="0" w:space="0" w:color="auto"/>
        <w:right w:val="none" w:sz="0" w:space="0" w:color="auto"/>
      </w:divBdr>
    </w:div>
    <w:div w:id="594286463">
      <w:bodyDiv w:val="1"/>
      <w:marLeft w:val="0"/>
      <w:marRight w:val="0"/>
      <w:marTop w:val="0"/>
      <w:marBottom w:val="0"/>
      <w:divBdr>
        <w:top w:val="none" w:sz="0" w:space="0" w:color="auto"/>
        <w:left w:val="none" w:sz="0" w:space="0" w:color="auto"/>
        <w:bottom w:val="none" w:sz="0" w:space="0" w:color="auto"/>
        <w:right w:val="none" w:sz="0" w:space="0" w:color="auto"/>
      </w:divBdr>
    </w:div>
    <w:div w:id="682510312">
      <w:bodyDiv w:val="1"/>
      <w:marLeft w:val="0"/>
      <w:marRight w:val="0"/>
      <w:marTop w:val="0"/>
      <w:marBottom w:val="0"/>
      <w:divBdr>
        <w:top w:val="none" w:sz="0" w:space="0" w:color="auto"/>
        <w:left w:val="none" w:sz="0" w:space="0" w:color="auto"/>
        <w:bottom w:val="none" w:sz="0" w:space="0" w:color="auto"/>
        <w:right w:val="none" w:sz="0" w:space="0" w:color="auto"/>
      </w:divBdr>
    </w:div>
    <w:div w:id="728112417">
      <w:bodyDiv w:val="1"/>
      <w:marLeft w:val="0"/>
      <w:marRight w:val="0"/>
      <w:marTop w:val="0"/>
      <w:marBottom w:val="0"/>
      <w:divBdr>
        <w:top w:val="none" w:sz="0" w:space="0" w:color="auto"/>
        <w:left w:val="none" w:sz="0" w:space="0" w:color="auto"/>
        <w:bottom w:val="none" w:sz="0" w:space="0" w:color="auto"/>
        <w:right w:val="none" w:sz="0" w:space="0" w:color="auto"/>
      </w:divBdr>
      <w:divsChild>
        <w:div w:id="1693725717">
          <w:marLeft w:val="274"/>
          <w:marRight w:val="0"/>
          <w:marTop w:val="0"/>
          <w:marBottom w:val="0"/>
          <w:divBdr>
            <w:top w:val="none" w:sz="0" w:space="0" w:color="auto"/>
            <w:left w:val="none" w:sz="0" w:space="0" w:color="auto"/>
            <w:bottom w:val="none" w:sz="0" w:space="0" w:color="auto"/>
            <w:right w:val="none" w:sz="0" w:space="0" w:color="auto"/>
          </w:divBdr>
        </w:div>
        <w:div w:id="1721203315">
          <w:marLeft w:val="274"/>
          <w:marRight w:val="0"/>
          <w:marTop w:val="0"/>
          <w:marBottom w:val="0"/>
          <w:divBdr>
            <w:top w:val="none" w:sz="0" w:space="0" w:color="auto"/>
            <w:left w:val="none" w:sz="0" w:space="0" w:color="auto"/>
            <w:bottom w:val="none" w:sz="0" w:space="0" w:color="auto"/>
            <w:right w:val="none" w:sz="0" w:space="0" w:color="auto"/>
          </w:divBdr>
        </w:div>
      </w:divsChild>
    </w:div>
    <w:div w:id="1136685401">
      <w:bodyDiv w:val="1"/>
      <w:marLeft w:val="0"/>
      <w:marRight w:val="0"/>
      <w:marTop w:val="0"/>
      <w:marBottom w:val="0"/>
      <w:divBdr>
        <w:top w:val="none" w:sz="0" w:space="0" w:color="auto"/>
        <w:left w:val="none" w:sz="0" w:space="0" w:color="auto"/>
        <w:bottom w:val="none" w:sz="0" w:space="0" w:color="auto"/>
        <w:right w:val="none" w:sz="0" w:space="0" w:color="auto"/>
      </w:divBdr>
    </w:div>
    <w:div w:id="1152210642">
      <w:bodyDiv w:val="1"/>
      <w:marLeft w:val="0"/>
      <w:marRight w:val="0"/>
      <w:marTop w:val="0"/>
      <w:marBottom w:val="0"/>
      <w:divBdr>
        <w:top w:val="none" w:sz="0" w:space="0" w:color="auto"/>
        <w:left w:val="none" w:sz="0" w:space="0" w:color="auto"/>
        <w:bottom w:val="none" w:sz="0" w:space="0" w:color="auto"/>
        <w:right w:val="none" w:sz="0" w:space="0" w:color="auto"/>
      </w:divBdr>
    </w:div>
    <w:div w:id="1479372158">
      <w:bodyDiv w:val="1"/>
      <w:marLeft w:val="0"/>
      <w:marRight w:val="0"/>
      <w:marTop w:val="0"/>
      <w:marBottom w:val="0"/>
      <w:divBdr>
        <w:top w:val="none" w:sz="0" w:space="0" w:color="auto"/>
        <w:left w:val="none" w:sz="0" w:space="0" w:color="auto"/>
        <w:bottom w:val="none" w:sz="0" w:space="0" w:color="auto"/>
        <w:right w:val="none" w:sz="0" w:space="0" w:color="auto"/>
      </w:divBdr>
    </w:div>
    <w:div w:id="1544056250">
      <w:bodyDiv w:val="1"/>
      <w:marLeft w:val="0"/>
      <w:marRight w:val="0"/>
      <w:marTop w:val="0"/>
      <w:marBottom w:val="0"/>
      <w:divBdr>
        <w:top w:val="none" w:sz="0" w:space="0" w:color="auto"/>
        <w:left w:val="none" w:sz="0" w:space="0" w:color="auto"/>
        <w:bottom w:val="none" w:sz="0" w:space="0" w:color="auto"/>
        <w:right w:val="none" w:sz="0" w:space="0" w:color="auto"/>
      </w:divBdr>
    </w:div>
    <w:div w:id="1716345521">
      <w:bodyDiv w:val="1"/>
      <w:marLeft w:val="0"/>
      <w:marRight w:val="0"/>
      <w:marTop w:val="0"/>
      <w:marBottom w:val="0"/>
      <w:divBdr>
        <w:top w:val="none" w:sz="0" w:space="0" w:color="auto"/>
        <w:left w:val="none" w:sz="0" w:space="0" w:color="auto"/>
        <w:bottom w:val="none" w:sz="0" w:space="0" w:color="auto"/>
        <w:right w:val="none" w:sz="0" w:space="0" w:color="auto"/>
      </w:divBdr>
    </w:div>
    <w:div w:id="181201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otterell@bristol.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85F5C-DDE1-46D1-94C9-126B589C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69488</TotalTime>
  <Pages>22</Pages>
  <Words>14400</Words>
  <Characters>82083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Cotterell, Michael</dc:creator>
  <cp:keywords/>
  <dc:description/>
  <cp:lastModifiedBy>cotterell, michael</cp:lastModifiedBy>
  <cp:revision>953</cp:revision>
  <cp:lastPrinted>2020-01-16T09:17:00Z</cp:lastPrinted>
  <dcterms:created xsi:type="dcterms:W3CDTF">2018-06-29T10:04:00Z</dcterms:created>
  <dcterms:modified xsi:type="dcterms:W3CDTF">2020-02-21T11:18:00Z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http://www.zotero.org/styles/physical-chemistry-chemical-physics</vt:lpwstr>
  </property>
  <property fmtid="{D5CDD505-2E9C-101B-9397-08002B2CF9AE}" pid="4" name="Mendeley Recent Style Id 0_1">
    <vt:lpwstr>http://www.zotero.org/styles/aerosol-science-and-technology</vt:lpwstr>
  </property>
  <property fmtid="{D5CDD505-2E9C-101B-9397-08002B2CF9AE}" pid="5" name="Mendeley Recent Style Name 0_1">
    <vt:lpwstr>Aerosol Science and Technology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http://www.zotero.org/styles/atmospheric-chemistry-and-physics</vt:lpwstr>
  </property>
  <property fmtid="{D5CDD505-2E9C-101B-9397-08002B2CF9AE}" pid="11" name="Mendeley Recent Style Name 3_1">
    <vt:lpwstr>Atmospheric Chemistry and Physics</vt:lpwstr>
  </property>
  <property fmtid="{D5CDD505-2E9C-101B-9397-08002B2CF9AE}" pid="12" name="Mendeley Recent Style Id 4_1">
    <vt:lpwstr>http://www.zotero.org/styles/atmospheric-measurement-techniques</vt:lpwstr>
  </property>
  <property fmtid="{D5CDD505-2E9C-101B-9397-08002B2CF9AE}" pid="13" name="Mendeley Recent Style Name 4_1">
    <vt:lpwstr>Atmospheric Measurement Techniques</vt:lpwstr>
  </property>
  <property fmtid="{D5CDD505-2E9C-101B-9397-08002B2CF9AE}" pid="14" name="Mendeley Recent Style Id 5_1">
    <vt:lpwstr>http://www.zotero.org/styles/elsevier-harvard</vt:lpwstr>
  </property>
  <property fmtid="{D5CDD505-2E9C-101B-9397-08002B2CF9AE}" pid="15" name="Mendeley Recent Style Name 5_1">
    <vt:lpwstr>Elsevier Harvard (with titles)</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http://www.zotero.org/styles/physical-chemistry-chemical-physics</vt:lpwstr>
  </property>
  <property fmtid="{D5CDD505-2E9C-101B-9397-08002B2CF9AE}" pid="21" name="Mendeley Recent Style Name 8_1">
    <vt:lpwstr>Physical Chemistry Chemical Physics</vt:lpwstr>
  </property>
  <property fmtid="{D5CDD505-2E9C-101B-9397-08002B2CF9AE}" pid="22" name="Mendeley Recent Style Id 9_1">
    <vt:lpwstr>http://www.zotero.org/styles/science</vt:lpwstr>
  </property>
  <property fmtid="{D5CDD505-2E9C-101B-9397-08002B2CF9AE}" pid="23" name="Mendeley Recent Style Name 9_1">
    <vt:lpwstr>Science</vt:lpwstr>
  </property>
  <property fmtid="{D5CDD505-2E9C-101B-9397-08002B2CF9AE}" pid="24" name="Mendeley Unique User Id_1">
    <vt:lpwstr>9b79217e-dc8f-3195-93f1-627d2376e22a</vt:lpwstr>
  </property>
</Properties>
</file>