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t>Supplemental Table 1. Follow-up Time for Canagliflozin and Comparators in Propensity-score Matched Cohorts</w:t>
      </w:r>
    </w:p>
    <w:tbl>
      <w:tblPr>
        <w:tblW w:w="53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6"/>
        <w:gridCol w:w="2235"/>
        <w:gridCol w:w="1068"/>
        <w:gridCol w:w="1389"/>
        <w:gridCol w:w="628"/>
        <w:gridCol w:w="631"/>
        <w:gridCol w:w="631"/>
        <w:gridCol w:w="539"/>
        <w:gridCol w:w="733"/>
        <w:gridCol w:w="1555"/>
        <w:gridCol w:w="550"/>
        <w:gridCol w:w="528"/>
        <w:gridCol w:w="584"/>
        <w:gridCol w:w="667"/>
        <w:gridCol w:w="667"/>
      </w:tblGrid>
      <w:tr w:rsidR="00116681" w:rsidRPr="007A25D5" w:rsidTr="00330FA0">
        <w:trPr>
          <w:tblHeader/>
        </w:trPr>
        <w:tc>
          <w:tcPr>
            <w:tcW w:w="516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1645" w:type="pct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Canagliflozin</w:t>
            </w:r>
          </w:p>
        </w:tc>
        <w:tc>
          <w:tcPr>
            <w:tcW w:w="1645" w:type="pct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Comparator</w:t>
            </w:r>
          </w:p>
        </w:tc>
      </w:tr>
      <w:tr w:rsidR="00116681" w:rsidRPr="007A25D5" w:rsidTr="00330FA0">
        <w:trPr>
          <w:tblHeader/>
        </w:trPr>
        <w:tc>
          <w:tcPr>
            <w:tcW w:w="516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Time-at-risk</w:t>
            </w:r>
          </w:p>
        </w:tc>
        <w:tc>
          <w:tcPr>
            <w:tcW w:w="808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Comparator</w:t>
            </w:r>
          </w:p>
        </w:tc>
        <w:tc>
          <w:tcPr>
            <w:tcW w:w="386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Database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Mean (SD), days</w:t>
            </w:r>
          </w:p>
        </w:tc>
        <w:tc>
          <w:tcPr>
            <w:tcW w:w="227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Min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P25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Med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P75</w:t>
            </w:r>
          </w:p>
        </w:tc>
        <w:tc>
          <w:tcPr>
            <w:tcW w:w="265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Max</w:t>
            </w:r>
          </w:p>
        </w:tc>
        <w:tc>
          <w:tcPr>
            <w:tcW w:w="562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Mean (SD), days</w:t>
            </w:r>
          </w:p>
        </w:tc>
        <w:tc>
          <w:tcPr>
            <w:tcW w:w="199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Min</w:t>
            </w:r>
          </w:p>
        </w:tc>
        <w:tc>
          <w:tcPr>
            <w:tcW w:w="191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P25</w:t>
            </w:r>
          </w:p>
        </w:tc>
        <w:tc>
          <w:tcPr>
            <w:tcW w:w="211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Med</w:t>
            </w:r>
          </w:p>
        </w:tc>
        <w:tc>
          <w:tcPr>
            <w:tcW w:w="241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P75</w:t>
            </w:r>
          </w:p>
        </w:tc>
        <w:tc>
          <w:tcPr>
            <w:tcW w:w="241" w:type="pct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Max</w:t>
            </w:r>
          </w:p>
        </w:tc>
      </w:tr>
      <w:tr w:rsidR="00116681" w:rsidRPr="007A25D5" w:rsidTr="00330FA0">
        <w:tc>
          <w:tcPr>
            <w:tcW w:w="516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On-treatment</w:t>
            </w: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GLP-1 receptor agonists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201.6 (209.1)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123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262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1627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184.9 (197.4)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195.9 (214.8)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241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199.9 (224.3)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247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1635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184.9 (203.4)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115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225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1592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166.7 (186.4)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103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201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1632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DPP-4 inhibitors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221.6 (228.2)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136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293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1624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213.9 (239.7)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274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219.3 (239.0)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277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251.1 (282.8)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132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323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1660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204.9 (220.9)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256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1592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203.2 (233.6)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247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Sulfonylureas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224.3 (230.9)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138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295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1624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236.1 (258.7)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132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306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220.2 (239.2)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121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278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285.4 (305.5)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65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390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206.7 (221.8)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121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260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1592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252.5 (281.8)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138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324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TZD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207.0 (214.3)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128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268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1627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180.3 (213.2)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106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1659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211.4 (235.1)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263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206.2 (240.9)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1641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195.3 (211.5)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240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1592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195.8 (227.9)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Insulin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202.5 (213.6)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122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260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1627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171.3 (208.8)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1660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206.5 (229.6)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254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195.1 (238.6)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1660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190.1 (210.0)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118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231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1592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179.2 (221.0)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100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1635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Other AHAs</w:t>
            </w:r>
            <w:r w:rsidRPr="00BA7D74">
              <w:rPr>
                <w:vertAlign w:val="superscript"/>
              </w:rPr>
              <w:t>†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208.7 (223.8)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123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267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1546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143.0 (165.0)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1597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198.7 (222.8)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119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247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1613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165.7 (192.4)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195.5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1524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  <w:hideMark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185.3 (203.0)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115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226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1503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162.0 (196.9)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1620</w:t>
            </w:r>
          </w:p>
        </w:tc>
      </w:tr>
      <w:tr w:rsidR="00116681" w:rsidRPr="007A25D5" w:rsidTr="00330FA0">
        <w:tc>
          <w:tcPr>
            <w:tcW w:w="516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ITT</w:t>
            </w: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GLP-1 receptor agonists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587.2 (408.6)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236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519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888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1665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480.9 (390.7)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168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377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705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586.7 (412.1)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510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896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544.1 (419.7)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196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442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821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500.2 (392.4)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178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398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765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1634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455.0 (397.4)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142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325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675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DPP-4 inhibitors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611.2 (407.6)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250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564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923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1664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537.4 (416.4)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436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809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624.1 (410.3)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263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576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943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601.0 (438.4)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223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516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928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530.3 (390.4)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199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450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820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1629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562.0 (442.9)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450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879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Sulfonylureas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607.4 (407.4)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248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558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920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1658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536.4 (417.7)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432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809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619.8 (412.4)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256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567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939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594.4 (439.7)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219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502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925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526.0 (386.6)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198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446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814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1629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543.4 (430.1)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185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435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838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TZD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543.4 (401.3)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208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457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829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1656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502.3 (397.3)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182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397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747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590.0 (413.5)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516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904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550.9 (422.6)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446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838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506.8 (384.6)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185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417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780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1627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518.5 (407.4)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178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418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796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Insulin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603.2 (419.6)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236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535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924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1665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531.8 (420.8)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187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423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800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629.4 (419.7)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256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570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963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1663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572.7 (442.1)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196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469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900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  <w:vAlign w:val="center"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536.2 (399.8)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196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450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835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1634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532.9 (434.8)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173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410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829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 w:val="restar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Other AHAs</w:t>
            </w:r>
            <w:r w:rsidRPr="00BA7D74">
              <w:rPr>
                <w:vertAlign w:val="superscript"/>
              </w:rPr>
              <w:t>†</w:t>
            </w: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CCAE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582.0 (428.3)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211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480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902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1659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546.9 (431.1)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434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827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MDCR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622.8 (428.3)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247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547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956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1645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584.5 (435.5)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500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911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1667</w:t>
            </w:r>
          </w:p>
        </w:tc>
      </w:tr>
      <w:tr w:rsidR="00116681" w:rsidRPr="007A25D5" w:rsidTr="00330FA0">
        <w:tc>
          <w:tcPr>
            <w:tcW w:w="516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808" w:type="pct"/>
            <w:vMerge/>
            <w:shd w:val="clear" w:color="auto" w:fill="auto"/>
            <w:noWrap/>
          </w:tcPr>
          <w:p w:rsidR="00116681" w:rsidRPr="00BA7D74" w:rsidRDefault="00116681" w:rsidP="00330FA0">
            <w:pPr>
              <w:pStyle w:val="TableText"/>
            </w:pPr>
          </w:p>
        </w:tc>
        <w:tc>
          <w:tcPr>
            <w:tcW w:w="386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</w:pPr>
            <w:r w:rsidRPr="00BA7D74">
              <w:t>Optum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569.5 (421.7)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208</w:t>
            </w:r>
          </w:p>
        </w:tc>
        <w:tc>
          <w:tcPr>
            <w:tcW w:w="228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481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871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1627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568.4 (437.1)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2</w:t>
            </w: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191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473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878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pStyle w:val="TableText"/>
              <w:jc w:val="center"/>
            </w:pPr>
            <w:r w:rsidRPr="00BA7D74">
              <w:t>1636</w:t>
            </w:r>
          </w:p>
        </w:tc>
      </w:tr>
    </w:tbl>
    <w:p w:rsidR="00116681" w:rsidRPr="009A53F0" w:rsidRDefault="00116681" w:rsidP="0011668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12FC7">
        <w:rPr>
          <w:rFonts w:ascii="Times New Roman" w:hAnsi="Times New Roman" w:cs="Times New Roman"/>
          <w:sz w:val="24"/>
          <w:szCs w:val="24"/>
        </w:rPr>
        <w:t>SD</w:t>
      </w:r>
      <w:r w:rsidRPr="000A33DC">
        <w:rPr>
          <w:rFonts w:ascii="Times New Roman" w:hAnsi="Times New Roman" w:cs="Times New Roman"/>
          <w:sz w:val="24"/>
          <w:szCs w:val="24"/>
        </w:rPr>
        <w:t>, standard deviation; P25, 25</w:t>
      </w:r>
      <w:r w:rsidRPr="000A33D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33DC">
        <w:rPr>
          <w:rFonts w:ascii="Times New Roman" w:hAnsi="Times New Roman" w:cs="Times New Roman"/>
          <w:sz w:val="24"/>
          <w:szCs w:val="24"/>
        </w:rPr>
        <w:t xml:space="preserve"> percentile; P75, 75</w:t>
      </w:r>
      <w:r w:rsidRPr="009A53F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A53F0">
        <w:rPr>
          <w:rFonts w:ascii="Times New Roman" w:hAnsi="Times New Roman" w:cs="Times New Roman"/>
          <w:sz w:val="24"/>
          <w:szCs w:val="24"/>
        </w:rPr>
        <w:t xml:space="preserve"> percentile; GLP-1, glucagon-like peptide-1;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</w:t>
      </w:r>
      <w:r w:rsidRPr="00812FC7">
        <w:rPr>
          <w:rFonts w:ascii="Times New Roman" w:hAnsi="Times New Roman" w:cs="Times New Roman"/>
          <w:sz w:val="24"/>
          <w:szCs w:val="24"/>
        </w:rPr>
        <w:t>DPP-4</w:t>
      </w:r>
      <w:r w:rsidRPr="000A33DC">
        <w:rPr>
          <w:rFonts w:ascii="Times New Roman" w:hAnsi="Times New Roman" w:cs="Times New Roman"/>
          <w:sz w:val="24"/>
          <w:szCs w:val="24"/>
        </w:rPr>
        <w:t>, dipeptidyl peptidase-4; TZD, thiazolidinediones; AHAs, antihyperglycemic agents; ITT, intent-to-treat.</w:t>
      </w:r>
    </w:p>
    <w:p w:rsidR="00116681" w:rsidRPr="009A53F0" w:rsidRDefault="00116681" w:rsidP="0011668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A53F0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9A53F0">
        <w:rPr>
          <w:rFonts w:ascii="Times New Roman" w:hAnsi="Times New Roman" w:cs="Times New Roman"/>
          <w:sz w:val="24"/>
          <w:szCs w:val="24"/>
        </w:rPr>
        <w:t>Excluding metformin.</w:t>
      </w:r>
    </w:p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  <w:sectPr w:rsidR="00116681" w:rsidRPr="007A25D5" w:rsidSect="000A46D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>Supplemental Table 2. Comparison of Baseline Covariates Between New Users of Canagliflozin and New Users of GLP-1 Receptor Agonists Before and After PS Matching Across Three Databases</w:t>
      </w:r>
      <w:r w:rsidRPr="007A25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TableGrid"/>
        <w:tblW w:w="21865" w:type="dxa"/>
        <w:tblLook w:val="04A0" w:firstRow="1" w:lastRow="0" w:firstColumn="1" w:lastColumn="0" w:noHBand="0" w:noVBand="1"/>
      </w:tblPr>
      <w:tblGrid>
        <w:gridCol w:w="2126"/>
        <w:gridCol w:w="1363"/>
        <w:gridCol w:w="1257"/>
        <w:gridCol w:w="630"/>
        <w:gridCol w:w="1363"/>
        <w:gridCol w:w="1257"/>
        <w:gridCol w:w="633"/>
        <w:gridCol w:w="1381"/>
        <w:gridCol w:w="1274"/>
        <w:gridCol w:w="630"/>
        <w:gridCol w:w="1381"/>
        <w:gridCol w:w="1274"/>
        <w:gridCol w:w="630"/>
        <w:gridCol w:w="1381"/>
        <w:gridCol w:w="1274"/>
        <w:gridCol w:w="630"/>
        <w:gridCol w:w="1378"/>
        <w:gridCol w:w="1257"/>
        <w:gridCol w:w="746"/>
      </w:tblGrid>
      <w:tr w:rsidR="00116681" w:rsidRPr="007A25D5" w:rsidTr="00330FA0">
        <w:trPr>
          <w:trHeight w:val="300"/>
        </w:trPr>
        <w:tc>
          <w:tcPr>
            <w:tcW w:w="2126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503" w:type="dxa"/>
            <w:gridSpan w:val="6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CCAE</w:t>
            </w:r>
          </w:p>
        </w:tc>
        <w:tc>
          <w:tcPr>
            <w:tcW w:w="6570" w:type="dxa"/>
            <w:gridSpan w:val="6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MDCR</w:t>
            </w:r>
          </w:p>
        </w:tc>
        <w:tc>
          <w:tcPr>
            <w:tcW w:w="6666" w:type="dxa"/>
            <w:gridSpan w:val="6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Optum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250" w:type="dxa"/>
            <w:gridSpan w:val="3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Before matching</w:t>
            </w:r>
          </w:p>
        </w:tc>
        <w:tc>
          <w:tcPr>
            <w:tcW w:w="3253" w:type="dxa"/>
            <w:gridSpan w:val="3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After matching</w:t>
            </w:r>
          </w:p>
        </w:tc>
        <w:tc>
          <w:tcPr>
            <w:tcW w:w="3285" w:type="dxa"/>
            <w:gridSpan w:val="3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Before matching</w:t>
            </w:r>
          </w:p>
        </w:tc>
        <w:tc>
          <w:tcPr>
            <w:tcW w:w="3285" w:type="dxa"/>
            <w:gridSpan w:val="3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After matching</w:t>
            </w:r>
          </w:p>
        </w:tc>
        <w:tc>
          <w:tcPr>
            <w:tcW w:w="3285" w:type="dxa"/>
            <w:gridSpan w:val="3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Before matching</w:t>
            </w:r>
          </w:p>
        </w:tc>
        <w:tc>
          <w:tcPr>
            <w:tcW w:w="3381" w:type="dxa"/>
            <w:gridSpan w:val="3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After matching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Canagliflozin, %</w:t>
            </w:r>
          </w:p>
        </w:tc>
        <w:tc>
          <w:tcPr>
            <w:tcW w:w="1257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GLP-1 receptor agonist, %</w:t>
            </w:r>
          </w:p>
        </w:tc>
        <w:tc>
          <w:tcPr>
            <w:tcW w:w="630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Std d</w:t>
            </w:r>
          </w:p>
        </w:tc>
        <w:tc>
          <w:tcPr>
            <w:tcW w:w="1363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Canagliflozin, %</w:t>
            </w:r>
          </w:p>
        </w:tc>
        <w:tc>
          <w:tcPr>
            <w:tcW w:w="1257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GLP-1 receptor agonist, %</w:t>
            </w:r>
          </w:p>
        </w:tc>
        <w:tc>
          <w:tcPr>
            <w:tcW w:w="633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Std d</w:t>
            </w:r>
          </w:p>
        </w:tc>
        <w:tc>
          <w:tcPr>
            <w:tcW w:w="1381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Canagliflozin, %</w:t>
            </w:r>
          </w:p>
        </w:tc>
        <w:tc>
          <w:tcPr>
            <w:tcW w:w="1274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GLP-1 receptor agonist, %</w:t>
            </w:r>
          </w:p>
        </w:tc>
        <w:tc>
          <w:tcPr>
            <w:tcW w:w="630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Std d</w:t>
            </w:r>
          </w:p>
        </w:tc>
        <w:tc>
          <w:tcPr>
            <w:tcW w:w="1381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Canagliflozin, %</w:t>
            </w:r>
          </w:p>
        </w:tc>
        <w:tc>
          <w:tcPr>
            <w:tcW w:w="1274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GLP-1 receptor agonist, %</w:t>
            </w:r>
          </w:p>
        </w:tc>
        <w:tc>
          <w:tcPr>
            <w:tcW w:w="630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Std d</w:t>
            </w:r>
          </w:p>
        </w:tc>
        <w:tc>
          <w:tcPr>
            <w:tcW w:w="1381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Canagliflozin, %</w:t>
            </w:r>
          </w:p>
        </w:tc>
        <w:tc>
          <w:tcPr>
            <w:tcW w:w="1274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GLP-1 receptor agonist, %</w:t>
            </w:r>
          </w:p>
        </w:tc>
        <w:tc>
          <w:tcPr>
            <w:tcW w:w="630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Std d</w:t>
            </w:r>
          </w:p>
        </w:tc>
        <w:tc>
          <w:tcPr>
            <w:tcW w:w="1378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Canagliflozin, %</w:t>
            </w:r>
          </w:p>
        </w:tc>
        <w:tc>
          <w:tcPr>
            <w:tcW w:w="1257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GLP-1 receptor agonist, %</w:t>
            </w:r>
          </w:p>
        </w:tc>
        <w:tc>
          <w:tcPr>
            <w:tcW w:w="746" w:type="dxa"/>
            <w:noWrap/>
            <w:vAlign w:val="bottom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Std d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Age group, y</w:t>
            </w:r>
          </w:p>
        </w:tc>
        <w:tc>
          <w:tcPr>
            <w:tcW w:w="1363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15-19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20-24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25-29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30-34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35-39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4.8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40-44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45-49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14.8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50-54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55-59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0.06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60-64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65-69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42.2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42.1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42.2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70-74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31.7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75-79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80-84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85-89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90-94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95-99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Female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44.9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54.5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49.9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49.6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42.3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47.0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46.0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45.5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43.5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-0.19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49.2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48.7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Prior acute pancreatitis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Prior antidiabetic medication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Acarbose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Albiglutide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Alogliptin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Chlorpropamide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Dapagliflozin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Dulaglutide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Empagliflozin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Exenatide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Glimepiride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18.5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0.08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Glipizide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18.9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Glyburide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0.08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Insulin degludec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Insulin detemir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Insulin glargine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-0.18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18.3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Insulin lispro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4.9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lastRenderedPageBreak/>
              <w:t xml:space="preserve">    Insulin, aspart, human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7.5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Insulin, glulisine, human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Linagliptin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7.2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Liraglutide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Lixisenatide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Metformin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86.4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88.8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88.6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86.2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83.4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88.4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82.8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0.16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86.5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86.7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Miglitol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Nateglinide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Pioglitazone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0.06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Pramlintide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Regular insulin, human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Repaglinide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Rosiglitazone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0.09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0.06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Saxagliptin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Sitagliptin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35.7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0.18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42.7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37.1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39.6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37.9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0.16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Tolazamide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Tolbutamide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General medical history: General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Acute respiratory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28.8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Attention deficit hyperactivity disorder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Chronic liver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Chronic obstructive lung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Crohn’s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Dementia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Depressive disorder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Gastroesophageal reflux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13.4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11.9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Gastrointestinal hemorrhage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Human immunodeficiency virus infection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Hyperlipidemia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75.3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72.3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73.5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73.7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76.7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77.2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76.8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76.1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81.3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79.5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79.7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80.1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Hypertensive disorder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72.8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72.5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72.2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72.5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82.8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83.1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78.5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79.3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79.4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Lesion of liver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Obesity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-0.26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26.8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-0.21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37.8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-0.21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Osteoarthritis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17.9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31.6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Pneumonia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Psoriasis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Renal impairment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-0.30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-0.21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Rheumatoid arthritis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Schizophrenia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Ulcerative colitis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lastRenderedPageBreak/>
              <w:t xml:space="preserve">    Urinary tract infectious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Viral hepatitis C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Visual system disorder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55.5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55.9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55.0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54.9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36.8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38.8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37.3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37.6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Medical history: Cardiovascular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Atrial fibrillation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Cerebrovascular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Coronary arteriosclerosis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Heart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18.2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42.6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45.7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44.2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43.4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Heart failure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Ischemic heart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11.1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Peripheral vascular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8.9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Pulmonary embolism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Venous thrombosis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Medical history: Neoplasms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Hematologic neoplasm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Malignant lymphoma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Malignant neoplasm of anorectum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Malignant neoplastic disease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Malignant tumor of breast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Malignant tumor of colon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Malignant tumor of lung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Malignant tumor of urinary bladder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Primary malignant neoplasm of prostate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Medication use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Agents acting on the renin-angiotensin system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71.8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68.5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70.3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70.6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79.1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79.6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78.9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79.1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71.7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71.2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71.5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71.6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Antibacterials for systemic use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57.9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61.2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59.0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59.0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61.0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62.4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61.6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61.3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55.6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59.4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57.9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57.4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Antidepressants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-0.15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-0.17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Antiepileptics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15.6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17.2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16.4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19.0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Antiinflammatory and antirheumatic products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31.2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28.0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Antineoplastic agents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2.3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Antipsoriatics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Antithrombotic agents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9.7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10.9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14.0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12.1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Beta-blocking agents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26.1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47.1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51.0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48.8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48.9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28.6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Calcium channel blockers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20.3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35.1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Diuretics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37.4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40.3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39.0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39.0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48.5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55.0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52.4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52.1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37.5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44.1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-0.13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40.7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Drugs for acid-related disorders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24.8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33.0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25.1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25.2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Drugs for obstructive airway diseases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30.0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27.7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32.1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30.6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25.1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29.2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-0.09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26.9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lastRenderedPageBreak/>
              <w:t xml:space="preserve">    Immunosuppressants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2.4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-0.03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3.3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2.2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Lipid-modifying agents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70.5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65.8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0.10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68.2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68.5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82.7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83.1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82.4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82.8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72.4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70.5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70.8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71.2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Opioids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22.3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-0.07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25.3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18.9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24.5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-0.14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21.4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Psycholeptics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22.3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-0.08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23.9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23.6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24.8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27.1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-0.05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26.6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25.9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19.9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24.1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-0.10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22.0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21.8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12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 xml:space="preserve">    Psychostimulants, agents used for ADHD, and nootropics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3.2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4.4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-0.06</w:t>
            </w:r>
          </w:p>
        </w:tc>
        <w:tc>
          <w:tcPr>
            <w:tcW w:w="136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3.6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3.6</w:t>
            </w:r>
          </w:p>
        </w:tc>
        <w:tc>
          <w:tcPr>
            <w:tcW w:w="633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1.6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1.9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1.7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0.00</w:t>
            </w:r>
          </w:p>
        </w:tc>
        <w:tc>
          <w:tcPr>
            <w:tcW w:w="1381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2.5</w:t>
            </w:r>
          </w:p>
        </w:tc>
        <w:tc>
          <w:tcPr>
            <w:tcW w:w="1274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2.8</w:t>
            </w:r>
          </w:p>
        </w:tc>
        <w:tc>
          <w:tcPr>
            <w:tcW w:w="630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-0.02</w:t>
            </w:r>
          </w:p>
        </w:tc>
        <w:tc>
          <w:tcPr>
            <w:tcW w:w="1378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2.7</w:t>
            </w:r>
          </w:p>
        </w:tc>
        <w:tc>
          <w:tcPr>
            <w:tcW w:w="1257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2.6</w:t>
            </w:r>
          </w:p>
        </w:tc>
        <w:tc>
          <w:tcPr>
            <w:tcW w:w="746" w:type="dxa"/>
            <w:noWrap/>
            <w:vAlign w:val="center"/>
            <w:hideMark/>
          </w:tcPr>
          <w:p w:rsidR="00116681" w:rsidRPr="00BA7D74" w:rsidRDefault="00116681" w:rsidP="00330FA0">
            <w:pPr>
              <w:spacing w:after="0"/>
              <w:jc w:val="center"/>
              <w:rPr>
                <w:sz w:val="16"/>
                <w:szCs w:val="16"/>
              </w:rPr>
            </w:pPr>
            <w:r w:rsidRPr="00BA7D74">
              <w:rPr>
                <w:sz w:val="16"/>
                <w:szCs w:val="16"/>
              </w:rPr>
              <w:t>0.01</w:t>
            </w:r>
          </w:p>
        </w:tc>
      </w:tr>
    </w:tbl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t>GLP-1, glucagon-like peptide-1; PS, propensity score;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Std d, standard deviation; ADHD, attention deficit hyperactivity disorder.</w:t>
      </w:r>
      <w:r w:rsidRPr="007A25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3. Comparison of Baseline Covariates Between New Users of Canagliflozin and New Users of DPP-4 Inhibitors Before and After PS Matching Across Three Databases </w:t>
      </w:r>
    </w:p>
    <w:tbl>
      <w:tblPr>
        <w:tblW w:w="21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1"/>
        <w:gridCol w:w="1354"/>
        <w:gridCol w:w="1080"/>
        <w:gridCol w:w="630"/>
        <w:gridCol w:w="1350"/>
        <w:gridCol w:w="1080"/>
        <w:gridCol w:w="720"/>
        <w:gridCol w:w="1350"/>
        <w:gridCol w:w="1080"/>
        <w:gridCol w:w="720"/>
        <w:gridCol w:w="1350"/>
        <w:gridCol w:w="1080"/>
        <w:gridCol w:w="720"/>
        <w:gridCol w:w="1440"/>
        <w:gridCol w:w="1170"/>
        <w:gridCol w:w="720"/>
        <w:gridCol w:w="1350"/>
        <w:gridCol w:w="1080"/>
        <w:gridCol w:w="720"/>
      </w:tblGrid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14" w:type="dxa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CCAE</w:t>
            </w:r>
          </w:p>
        </w:tc>
        <w:tc>
          <w:tcPr>
            <w:tcW w:w="6300" w:type="dxa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MDCR</w:t>
            </w:r>
          </w:p>
        </w:tc>
        <w:tc>
          <w:tcPr>
            <w:tcW w:w="6480" w:type="dxa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Optum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64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150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3150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150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3330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150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DPP-4 inhibitors, %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DPP-4 inhibitors,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DPP-4 inhibitors,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DPP-4 inhibitors,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DPP-4 inhibitors,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DPP-4 inhibitors,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Age group, y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15-19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20-24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25-29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30-34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35-39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40-44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45-49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50-54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55-59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60-64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65-69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70-74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75-79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80-84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85-89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90-94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95-99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100-104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105-109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Prior acute pancreatitis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antidiabetic medication: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Acarbose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Albiglutide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Alogliptin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Chlorpropamide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Dapagliflozin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Dulaglutide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Empagliflozin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Exenatide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Glimepiride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Glipizide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Glyburide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degludec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detemir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Insulin glargine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lispro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aspart, human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glulisine, human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Linagliptin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Liraglutide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Lixisenatide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Metformin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Miglitol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Nateglinide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Pioglitazone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Pramlintide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Regular insulin, human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Repaglinide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Rosiglitazone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Saxagliptin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Sitagliptin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Tolazamide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Tolbutamide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General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Acute respiratory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Attention deficit hyperactivity disorder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liver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obstructive lung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Crohn’s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Dementia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Depressive disorder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Gastroesophageal reflux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Gastrointestinal hemorrhage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Human immunodeficiency virus infection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Hyperlipidemia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Hypertensive disorder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Lesion of liver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Obesity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Osteoarthritis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Pneumonia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Psoriasis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Renal impairment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Rheumatoid arthritis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Schizophrenia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Ulcerative colitis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Urinary tract infectious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Viral hepatitis C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Visual system disorder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Cardiovascular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Atrial fibrillation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Cerebrovascular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Coronary arteriosclerosis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failure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Ischemic heart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Peripheral vascular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Pulmonary embolism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Venous thrombosis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Neoplasms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Hematologic neoplasm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lymphoma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neoplasm of anorectum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neoplastic disease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breast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colon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lung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urinary bladder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Primary malignant neoplasm of prostate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Medication use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Agents acting on the renin-angiotensin system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Antibacterials for systemic use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Antidepressants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Antiepileptics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Antiinflammatory and antirheumatic products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Antineoplastic agents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Antipsoriatics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Antithrombotic agents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Beta-blocking agents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Calcium channel blockers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Diuretics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acid-related disorders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obstructive airway diseases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Immunosuppressants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Lipid-modifying agents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Opioids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Psycholeptics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Psychostimulants, agents used for ADHD, and nootropics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</w:tbl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t>DPP-4, dipeptidyl peptidase; PS, propensity score;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Std d, standard deviation; ADHD, attention deficit hyperactivity disorder.</w:t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</w:p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4. Comparison of Baseline Covariates Between New Users of Canagliflozin and New Users of Sulfonylureas Before and After PS Matching Across Three Databases </w:t>
      </w:r>
    </w:p>
    <w:tbl>
      <w:tblPr>
        <w:tblW w:w="22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1347"/>
        <w:gridCol w:w="1340"/>
        <w:gridCol w:w="633"/>
        <w:gridCol w:w="1431"/>
        <w:gridCol w:w="1340"/>
        <w:gridCol w:w="624"/>
        <w:gridCol w:w="1334"/>
        <w:gridCol w:w="1334"/>
        <w:gridCol w:w="624"/>
        <w:gridCol w:w="1334"/>
        <w:gridCol w:w="1422"/>
        <w:gridCol w:w="572"/>
        <w:gridCol w:w="1407"/>
        <w:gridCol w:w="1440"/>
        <w:gridCol w:w="630"/>
        <w:gridCol w:w="1350"/>
        <w:gridCol w:w="1350"/>
        <w:gridCol w:w="720"/>
      </w:tblGrid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15" w:type="dxa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CCAE</w:t>
            </w:r>
          </w:p>
        </w:tc>
        <w:tc>
          <w:tcPr>
            <w:tcW w:w="6620" w:type="dxa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MDCR</w:t>
            </w:r>
          </w:p>
        </w:tc>
        <w:tc>
          <w:tcPr>
            <w:tcW w:w="6897" w:type="dxa"/>
            <w:gridSpan w:val="6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Optum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20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395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3292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328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3477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420" w:type="dxa"/>
            <w:gridSpan w:val="3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Sulfonylureas, %</w:t>
            </w:r>
          </w:p>
        </w:tc>
        <w:tc>
          <w:tcPr>
            <w:tcW w:w="633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Sulfonylureas, %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Sulfonylureas, %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Sulfonylureas, %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Sulfonylureas, %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Sulfonylureas,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Age group, y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15-19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20-24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25-29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30-34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35-39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40-44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45-49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50-54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55-59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60-64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65-69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70-74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75-79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80-84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85-89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90-94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95-99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100-104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acute pancreatitis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antidiabetic medication: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Acarbose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Albiglutide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Alogliptin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Chlorpropamide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Dapagliflozin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Dulaglutide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Empagliflozin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Exenatide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Glimepiride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Glipizide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Glyburide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degludec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detemir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glargine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Insulin lispro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aspart, human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glulisine, human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Linagliptin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Liraglutide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Lixisenatide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Metformin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76.6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Miglitol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Nateglinide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Pioglitazone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Pramlintide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Regular insulin, human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Repaglinide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Rosiglitazone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Saxagliptin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Sitagliptin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Tolazamide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Tolbutamide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General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Acute respiratory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BA7D74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A7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Attention deficit hyperactivity disorder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liver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obstructive lung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Crohn’s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Dementia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Depressive disorder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Gastroesophageal reflux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Gastrointestinal hemorrhage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Human immunodeficiency virus infection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Hyperlipidemia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Hypertensive disorder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Lesion of liver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Obesity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Osteoarthritis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Pneumonia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Psoriasis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Renal impairment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Rheumatoid arthritis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Schizophrenia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Ulcerative colitis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Urinary tract infectious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Viral hepatitis C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Visual system disorder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Cardiovascular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Atrial fibrillation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Cerebrovascular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Coronary arteriosclerosis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failure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Ischemic heart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Peripheral vascular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Pulmonary embolism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Venous thrombosis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Neoplasms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Hematologic neoplasm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lymphoma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neoplasm of anorectum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neoplastic disease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breast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colon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lung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urinary bladder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Primary malignant neoplasm of prostate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Medication use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Agents acting on the renin-angiotensin system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77.1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Antibacterials for systemic use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Antidepressants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Antiepileptics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Antiinflammatory and antirheumatic products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Antineoplastic agents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Antipsoriatics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Antithrombotic agents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Beta-blocking agents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46.9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47.5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Calcium channel blockers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Diuretics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acid-related disorders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obstructive airway diseases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Immunosuppressants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Lipid-modifying agents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58.9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82.7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Opioids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Psycholeptics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08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Psychostimulants, agents used for ADHD, and nootropics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34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</w:tbl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t>PS, propensity score;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Std d, standard deviation; ADHD, attention deficit hyperactivity disorder.</w:t>
      </w:r>
    </w:p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5. Comparison of Baseline Covariates Between New Users of Canagliflozin and New Users of TZD Before and After PS Matching Across Three Databases </w:t>
      </w:r>
    </w:p>
    <w:tbl>
      <w:tblPr>
        <w:tblW w:w="19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1350"/>
        <w:gridCol w:w="810"/>
        <w:gridCol w:w="720"/>
        <w:gridCol w:w="1350"/>
        <w:gridCol w:w="810"/>
        <w:gridCol w:w="720"/>
        <w:gridCol w:w="1440"/>
        <w:gridCol w:w="810"/>
        <w:gridCol w:w="630"/>
        <w:gridCol w:w="1350"/>
        <w:gridCol w:w="810"/>
        <w:gridCol w:w="630"/>
        <w:gridCol w:w="1350"/>
        <w:gridCol w:w="810"/>
        <w:gridCol w:w="720"/>
        <w:gridCol w:w="1530"/>
        <w:gridCol w:w="1032"/>
        <w:gridCol w:w="757"/>
      </w:tblGrid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0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CCAE</w:t>
            </w:r>
          </w:p>
        </w:tc>
        <w:tc>
          <w:tcPr>
            <w:tcW w:w="5670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MDCR</w:t>
            </w:r>
          </w:p>
        </w:tc>
        <w:tc>
          <w:tcPr>
            <w:tcW w:w="6199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Optum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288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288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279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288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319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TZD,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TZD,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TZD, %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TZD, %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TZD,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TZD, %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Age group, y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15-19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20-24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25-29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30-34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35-39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40-44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45-49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50-54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55-59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60-64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65-69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70-74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75-79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80-84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85-89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90-94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95-99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100-104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acute pancreatitis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antidiabetic medication: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Acarbose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Albiglutide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Alogliptin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Chlorpropamide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Dapagliflozin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Dulaglutide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Empagliflozin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Exenatide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Glimepiride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Glipizide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Glyburide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degludec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detemir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glargine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lispro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Insulin, aspart, human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glulisine, human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Linagliptin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Liraglutide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Lixisenatide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Metformin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Miglitol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Nateglinide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Pioglitazone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Pramlintide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Regular insulin, human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Repaglinide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Rosiglitazone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Saxagliptin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Sitagliptin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Tolazamide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Tolbutamide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General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Acute respiratory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Attention deficit hyperactivity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liver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obstructive lung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Crohn’s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Dementia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Depressive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Gastroesophageal reflux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Gastrointestinal hemorrhage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Human immunodeficiency virus infection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Hyperlipidemia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Hypertensive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Lesion of liver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Obesity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Osteoarthritis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Pneumonia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Psoriasis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Renal impairment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Rheumatoid arthritis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Schizophrenia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Ulcerative colitis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Urinary tract infectious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Viral hepatitis C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Visual system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Cardiovascular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Atrial fibrillation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Cerebrovascular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Coronary arteriosclerosis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failure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Ischemic heart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Peripheral vascular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Pulmonary embolism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Venous thrombosis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Neoplasms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Hematologic neoplasm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lymphoma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neoplasm of anorectum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neoplastic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breast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colon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lung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urinary bladder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Primary malignant neoplasm of prostate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Medication use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Agents acting on the renin-angiotensin system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Antibacterials for systemic use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Antidepressants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Antiepileptics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Antiinflammatory and antirheumatic products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Antineoplastic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Antipsoriatics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Antithrombotic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Beta-blocking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Calcium channel blockers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Diuretics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acid-related disorders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obstructive airway diseases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Immunosuppressants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Lipid-modifying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Opioids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Psycholeptics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Psychostimulants, agents used for ADHD, and nootropics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</w:tbl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t>TZD, thiazolidinedione; PS, propensity score;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Std d, standard deviation; ADHD, attention deficit hyperactivity disorder.</w:t>
      </w:r>
    </w:p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6. Comparison of Baseline Covariates Between New Users of Canagliflozin and New Users of Insulin Before and After PS Matching Across Three Databases </w:t>
      </w:r>
    </w:p>
    <w:tbl>
      <w:tblPr>
        <w:tblW w:w="20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350"/>
        <w:gridCol w:w="990"/>
        <w:gridCol w:w="720"/>
        <w:gridCol w:w="1350"/>
        <w:gridCol w:w="990"/>
        <w:gridCol w:w="810"/>
        <w:gridCol w:w="1350"/>
        <w:gridCol w:w="900"/>
        <w:gridCol w:w="720"/>
        <w:gridCol w:w="1350"/>
        <w:gridCol w:w="990"/>
        <w:gridCol w:w="810"/>
        <w:gridCol w:w="1350"/>
        <w:gridCol w:w="990"/>
        <w:gridCol w:w="810"/>
        <w:gridCol w:w="1350"/>
        <w:gridCol w:w="900"/>
        <w:gridCol w:w="810"/>
      </w:tblGrid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10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CCAE</w:t>
            </w:r>
          </w:p>
        </w:tc>
        <w:tc>
          <w:tcPr>
            <w:tcW w:w="6120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MDCR</w:t>
            </w:r>
          </w:p>
        </w:tc>
        <w:tc>
          <w:tcPr>
            <w:tcW w:w="6210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Optum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15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297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15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315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3060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Insulin,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Insulin,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Insulin, 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Insulin,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Insulin,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Insulin, %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Age group, y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15-19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20-24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25-29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30-34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35-39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40-44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45-49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50-54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55-59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60-64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65-69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70-74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75-79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80-84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85-89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90-94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95-99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00-04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acute pancreatitis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antidiabetic medication: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Acarbose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Albiglutide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Alogliptin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Chlorpropamide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Dapagliflozin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Dulaglutide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Empagliflozin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Exenatide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Glimepiride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Glipizide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Glyburide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degludec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detemir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glargine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lispro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Insulin, aspart, human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glulisine, human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Linagliptin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Liraglutide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Lixisenatide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Metformin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Miglitol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Nateglinide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Pioglitazone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Pramlintide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Regular insulin, human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Repaglinide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Rosiglitazone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Saxagliptin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Sitagliptin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Tolazamide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Tolbutamide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General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Acute respiratory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Attention deficit hyperactivity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liver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obstructive lung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Crohn’s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Dementia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Depressive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Gastroesophageal reflux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Gastrointestinal hemorrhage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Human immunodeficiency virus infection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Hyperlipidemia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Hypertensive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Lesion of liver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Obesity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Osteoarthritis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Pneumonia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-0.42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Psoriasis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Renal impairment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-0.65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-0.55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Rheumatoid arthritis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Schizophrenia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Ulcerative colitis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Urinary tract infectious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Viral hepatitis C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Visual system disorder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Cardiovascular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Atrial fibrillation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Cerebrovascular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Coronary arteriosclerosis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-0.44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failure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-0.50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-0.42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Ischemic heart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Peripheral vascular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Pulmonary embolism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Venous thrombosis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Neoplasms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Hematologic neoplasm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lymphoma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neoplasm of anorectum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neoplastic disease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breast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colon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lung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urinary bladder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Primary malignant neoplasm of prostate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Medication use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Agents acting on the renin-angiotensin system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Antibacterials for systemic use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Antidepressants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Antiepileptics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Antiinflammatory and antirheumatic products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Antineoplastic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Antipsoriatics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Antithrombotic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Beta-blocking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Calcium channel blockers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Diuretics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acid-related disorders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obstructive airway diseases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Immunosuppressants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Lipid-modifying agents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Opioids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Psycholeptics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Psychostimulants, agents used for ADHD, and nootropics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</w:tbl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t>PS, propensity score;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Std d, standard deviation; ADHD, attention deficit hyperactivity disorder.</w:t>
      </w:r>
    </w:p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>Supplemental Table 7. Comparison of Baseline Covariates Between New Users of Canagliflozin and New Users of Other AHAs</w:t>
      </w:r>
      <w:r w:rsidRPr="007A25D5">
        <w:rPr>
          <w:rFonts w:ascii="Times New Roman" w:hAnsi="Times New Roman" w:cs="Times New Roman"/>
          <w:b/>
          <w:sz w:val="24"/>
          <w:szCs w:val="24"/>
          <w:vertAlign w:val="superscript"/>
        </w:rPr>
        <w:t>†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Before and After PS Matching Across Three Databases </w:t>
      </w:r>
    </w:p>
    <w:tbl>
      <w:tblPr>
        <w:tblW w:w="17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8"/>
        <w:gridCol w:w="1127"/>
        <w:gridCol w:w="745"/>
        <w:gridCol w:w="757"/>
        <w:gridCol w:w="1127"/>
        <w:gridCol w:w="745"/>
        <w:gridCol w:w="757"/>
        <w:gridCol w:w="1127"/>
        <w:gridCol w:w="745"/>
        <w:gridCol w:w="757"/>
        <w:gridCol w:w="1127"/>
        <w:gridCol w:w="745"/>
        <w:gridCol w:w="757"/>
        <w:gridCol w:w="1127"/>
        <w:gridCol w:w="745"/>
        <w:gridCol w:w="757"/>
        <w:gridCol w:w="1127"/>
        <w:gridCol w:w="745"/>
        <w:gridCol w:w="757"/>
      </w:tblGrid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50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CCAE</w:t>
            </w:r>
          </w:p>
        </w:tc>
        <w:tc>
          <w:tcPr>
            <w:tcW w:w="3842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MDCR</w:t>
            </w:r>
          </w:p>
        </w:tc>
        <w:tc>
          <w:tcPr>
            <w:tcW w:w="3842" w:type="dxa"/>
            <w:gridSpan w:val="6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Optum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29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1921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1921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1921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  <w:tc>
          <w:tcPr>
            <w:tcW w:w="1921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Before matching</w:t>
            </w:r>
          </w:p>
        </w:tc>
        <w:tc>
          <w:tcPr>
            <w:tcW w:w="1921" w:type="dxa"/>
            <w:gridSpan w:val="3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After matching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745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Other AHAs*, %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Other AHAs*, %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Other AHAs*, %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Other AHAs*, %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Other AHAs*, %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Canagliflozin, %</w:t>
            </w:r>
          </w:p>
        </w:tc>
        <w:tc>
          <w:tcPr>
            <w:tcW w:w="582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Other AHAs*, %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Std d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Age group, y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15-19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20-24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25-29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30-34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35-39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40-44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45-49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50-54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55-59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60-64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65-69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70-74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75-79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80-84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85-89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90-94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95-99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100-104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acute pancreatitis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Prior antidiabetic medication: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Acarbose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Albiglutide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Alogliptin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Chlorpropamide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Dapagliflozin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Dulaglutide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Empagliflozin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Exenatide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Glimepiride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Glipizide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Glyburide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degludec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detemir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 glargine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Insulin lispro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aspart, human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Insulin, glulisine, human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Linagliptin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Liraglutide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Lixisenatide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Metformin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Miglitol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Nateglinide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Pioglitazone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Pramlintide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Regular insulin, human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Repaglinide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Rosiglitazone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Saxagliptin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Sitagliptin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Tolazamide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Tolbutamide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General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Acute respiratory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Attention deficit hyperactivity disorder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liver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Chronic obstructive lung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Crohn’s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Dementia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Depressive disorder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Gastroesophageal reflux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Gastrointestinal hemorrhage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Human immunodeficiency virus infection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Hyperlipidemia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Hypertensive disorder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72.8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Lesion of liver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Obesity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Osteoarthritis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Pneumonia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Psoriasis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Renal impairment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-0.57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-0.58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Rheumatoid arthritis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Schizophrenia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Ulcerative colitis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Urinary tract infectious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Viral hepatitis C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Visual system disorder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Cardiovascular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Atrial fibrillation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Cerebrovascular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Coronary arteriosclerosis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-0.44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Heart failure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Ischemic heart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Peripheral vascular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Pulmonary embolism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Venous thrombosis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Medical history: Neoplasms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Hematologic neoplasm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lymphoma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neoplasm of anorectum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neoplastic disease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breast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colon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lung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Malignant tumor of urinary bladder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Primary malignant neoplasm of prostate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Medication use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Agents acting on the renin-angiotensin system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Antibacterials for systemic use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Antidepressants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Antiepileptics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Antiinflammatory and antirheumatic products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Antineoplastic agents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Antipsoriatics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Antithrombotic agents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Beta-blocking agents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Calcium channel blockers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Diuretics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acid-related disorders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Drugs for obstructive airway diseases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Immunosuppressants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Lipid-modifying agents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70.5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79.9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75.0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Opioids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Psycholeptics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16681" w:rsidRPr="007A25D5" w:rsidTr="00330FA0">
        <w:trPr>
          <w:trHeight w:val="300"/>
        </w:trPr>
        <w:tc>
          <w:tcPr>
            <w:tcW w:w="5168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Psychostimulants, agents used for ADHD, and nootropics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16681" w:rsidRPr="00AB6887" w:rsidRDefault="00116681" w:rsidP="00330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688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</w:tbl>
    <w:p w:rsidR="00116681" w:rsidRPr="007A25D5" w:rsidRDefault="00116681" w:rsidP="00116681">
      <w:pPr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lastRenderedPageBreak/>
        <w:t>AHA, antihyperglycemic agent; PS, propensity score;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Std d, standard deviation; ADHD, attention deficit hyperactivity disorder.</w:t>
      </w:r>
    </w:p>
    <w:p w:rsidR="00116681" w:rsidRPr="007A25D5" w:rsidRDefault="00116681" w:rsidP="00116681">
      <w:pPr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7A25D5">
        <w:rPr>
          <w:rFonts w:ascii="Times New Roman" w:hAnsi="Times New Roman" w:cs="Times New Roman"/>
          <w:sz w:val="24"/>
          <w:szCs w:val="24"/>
        </w:rPr>
        <w:t>Excluding metformin.</w:t>
      </w:r>
    </w:p>
    <w:p w:rsidR="00116681" w:rsidRPr="007A25D5" w:rsidRDefault="00116681" w:rsidP="0011668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  <w:sectPr w:rsidR="00116681" w:rsidRPr="007A25D5" w:rsidSect="00626AA6">
          <w:pgSz w:w="24480" w:h="15840" w:orient="landscape" w:code="3"/>
          <w:pgMar w:top="1440" w:right="1440" w:bottom="1440" w:left="1440" w:header="720" w:footer="720" w:gutter="0"/>
          <w:cols w:space="720"/>
          <w:docGrid w:linePitch="360"/>
        </w:sectPr>
      </w:pP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>Supplemental Figure 1. Risk of AP for canagliflozin and comparator AHAs using different time-at-risk for analyses.</w:t>
      </w:r>
      <w:r w:rsidRPr="007A25D5">
        <w:rPr>
          <w:rFonts w:ascii="Times New Roman" w:hAnsi="Times New Roman" w:cs="Times New Roman"/>
          <w:b/>
          <w:sz w:val="24"/>
          <w:szCs w:val="24"/>
          <w:vertAlign w:val="superscript"/>
        </w:rPr>
        <w:t>†</w:t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0A33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6D4854" wp14:editId="727C9E59">
            <wp:extent cx="6083300" cy="761389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GL-64724_figS1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71" cy="763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1" w:rsidRPr="007A25D5" w:rsidRDefault="00116681" w:rsidP="00116681">
      <w:pPr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lastRenderedPageBreak/>
        <w:t>AP, acute pancreatitis; AHA, antihyperglycemic agent; PS, propensity score;</w:t>
      </w:r>
      <w:r w:rsidRPr="007A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5D5">
        <w:rPr>
          <w:rFonts w:ascii="Times New Roman" w:hAnsi="Times New Roman" w:cs="Times New Roman"/>
          <w:sz w:val="24"/>
          <w:szCs w:val="24"/>
        </w:rPr>
        <w:t>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Database; GLP-1, glucagon-like peptide-1; DPP-4, dipeptidyl peptidase-4; TZD, thiazolidinedione.</w:t>
      </w:r>
    </w:p>
    <w:p w:rsidR="00116681" w:rsidRPr="007A25D5" w:rsidRDefault="00116681" w:rsidP="00116681">
      <w:pPr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7A25D5">
        <w:rPr>
          <w:rFonts w:ascii="Times New Roman" w:hAnsi="Times New Roman" w:cs="Times New Roman"/>
          <w:sz w:val="24"/>
          <w:szCs w:val="24"/>
        </w:rPr>
        <w:t xml:space="preserve">Time-at-risk in the on-treatment approach was calculated with 0, 30, and 60-day biological windows added to the last index drug exposure. </w:t>
      </w:r>
    </w:p>
    <w:p w:rsidR="00116681" w:rsidRPr="007A25D5" w:rsidRDefault="00116681" w:rsidP="00116681">
      <w:pPr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 w:rsidRPr="007A25D5">
        <w:rPr>
          <w:rFonts w:ascii="Times New Roman" w:hAnsi="Times New Roman" w:cs="Times New Roman"/>
          <w:sz w:val="24"/>
          <w:szCs w:val="24"/>
        </w:rPr>
        <w:t>Excluding metformin.</w:t>
      </w:r>
      <w:r w:rsidRPr="007A25D5">
        <w:rPr>
          <w:rFonts w:ascii="Times New Roman" w:hAnsi="Times New Roman" w:cs="Times New Roman"/>
          <w:sz w:val="24"/>
          <w:szCs w:val="24"/>
        </w:rPr>
        <w:br w:type="page"/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  <w:sectPr w:rsidR="00116681" w:rsidRPr="007A25D5" w:rsidSect="00E05C3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>Supplemental Figure 2. Risk of AP for canagliflozin and individual comparator agents: (A) GLP-1 receptor agonists, (B) DPP-4 inhibitors, (C) sulfonylureas, (D) TZD, (E) other AHAs, and (F) SGLT2 inhibitors.</w:t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t>A</w:t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0A33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D3A263" wp14:editId="1F0972BA">
            <wp:extent cx="8229600" cy="29387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GL-64724_figS2a_v3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0A33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831D57" wp14:editId="69096F4A">
            <wp:extent cx="8229600" cy="2686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GL-64724_figS2b_v3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t>C</w:t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0A33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FF5E2C" wp14:editId="44CC943A">
            <wp:extent cx="8229600" cy="22472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GL-64724_figS2c_v3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0A33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5F5187" wp14:editId="1EC7ADCB">
            <wp:extent cx="8229600" cy="1812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GL-64724_figS2d_V3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t>E</w:t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0A33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630110" wp14:editId="0A2CA51F">
            <wp:extent cx="8229600" cy="2750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L-64724_figS2e_V3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1" w:rsidRPr="007A25D5" w:rsidRDefault="00116681" w:rsidP="00116681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7A25D5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</w:p>
    <w:p w:rsidR="00116681" w:rsidRPr="007A25D5" w:rsidRDefault="00116681" w:rsidP="00116681">
      <w:pPr>
        <w:rPr>
          <w:rFonts w:ascii="Times New Roman" w:hAnsi="Times New Roman" w:cs="Times New Roman"/>
          <w:b/>
          <w:sz w:val="24"/>
          <w:szCs w:val="24"/>
        </w:rPr>
      </w:pPr>
      <w:r w:rsidRPr="000A33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C755B9" wp14:editId="133094A5">
            <wp:extent cx="8229600" cy="17856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GL-64724_figS2f_v3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1" w:rsidRPr="007A25D5" w:rsidRDefault="00116681" w:rsidP="00116681">
      <w:pPr>
        <w:rPr>
          <w:rFonts w:ascii="Times New Roman" w:hAnsi="Times New Roman" w:cs="Times New Roman"/>
          <w:sz w:val="24"/>
          <w:szCs w:val="24"/>
        </w:rPr>
      </w:pPr>
      <w:r w:rsidRPr="007A25D5">
        <w:rPr>
          <w:rFonts w:ascii="Times New Roman" w:hAnsi="Times New Roman" w:cs="Times New Roman"/>
          <w:sz w:val="24"/>
          <w:szCs w:val="24"/>
        </w:rPr>
        <w:t>AP, acute pancreatitis; GLP-1, glucagon-like peptide-1; DPP-4, dipeptidyl peptidase-4; TZD, thiazolidinedione; AHA, antihyperglycemic agent; SGLT2, sodium glucose co-transporter 2; ITT, intent-to-treat; PY, patient-year; HR, hazard ratio; CI, confidence interval; CCAE,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Commercial Database; MDCR, IBM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MarketScan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Medicare Supplemental Database; Optum, Optum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©</w:t>
      </w:r>
      <w:r w:rsidRPr="007A25D5">
        <w:rPr>
          <w:rFonts w:ascii="Times New Roman" w:hAnsi="Times New Roman" w:cs="Times New Roman"/>
          <w:sz w:val="24"/>
          <w:szCs w:val="24"/>
        </w:rPr>
        <w:t xml:space="preserve"> De-identified Clinformatics</w:t>
      </w:r>
      <w:r w:rsidRPr="007A25D5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7A25D5">
        <w:rPr>
          <w:rFonts w:ascii="Times New Roman" w:hAnsi="Times New Roman" w:cs="Times New Roman"/>
          <w:sz w:val="24"/>
          <w:szCs w:val="24"/>
        </w:rPr>
        <w:t xml:space="preserve"> Data Mart Database.</w:t>
      </w:r>
    </w:p>
    <w:p w:rsidR="00AA77F0" w:rsidRDefault="00AA77F0">
      <w:bookmarkStart w:id="0" w:name="_GoBack"/>
      <w:bookmarkEnd w:id="0"/>
    </w:p>
    <w:sectPr w:rsidR="00AA77F0" w:rsidSect="002D638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17A" w:rsidRDefault="00EB117A" w:rsidP="00EB117A">
      <w:pPr>
        <w:spacing w:after="0" w:line="240" w:lineRule="auto"/>
      </w:pPr>
      <w:r>
        <w:separator/>
      </w:r>
    </w:p>
  </w:endnote>
  <w:endnote w:type="continuationSeparator" w:id="0">
    <w:p w:rsidR="00EB117A" w:rsidRDefault="00EB117A" w:rsidP="00EB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17A" w:rsidRDefault="00EB11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17A" w:rsidRDefault="00EB11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17A" w:rsidRDefault="00EB11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17A" w:rsidRDefault="00EB117A" w:rsidP="00EB117A">
      <w:pPr>
        <w:spacing w:after="0" w:line="240" w:lineRule="auto"/>
      </w:pPr>
      <w:r>
        <w:separator/>
      </w:r>
    </w:p>
  </w:footnote>
  <w:footnote w:type="continuationSeparator" w:id="0">
    <w:p w:rsidR="00EB117A" w:rsidRDefault="00EB117A" w:rsidP="00EB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17A" w:rsidRDefault="00EB11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17A" w:rsidRDefault="00EB11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17A" w:rsidRDefault="00EB11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5F70D78C"/>
    <w:lvl w:ilvl="0">
      <w:start w:val="2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1"/>
      <w:lvlText w:val="%2."/>
      <w:lvlJc w:val="left"/>
      <w:pPr>
        <w:tabs>
          <w:tab w:val="num" w:pos="821"/>
        </w:tabs>
        <w:ind w:left="821" w:hanging="821"/>
      </w:pPr>
      <w:rPr>
        <w:rFonts w:hint="default"/>
      </w:rPr>
    </w:lvl>
    <w:lvl w:ilvl="2">
      <w:start w:val="1"/>
      <w:numFmt w:val="decimal"/>
      <w:pStyle w:val="Heading2"/>
      <w:lvlText w:val="%2.%3."/>
      <w:lvlJc w:val="left"/>
      <w:pPr>
        <w:tabs>
          <w:tab w:val="num" w:pos="821"/>
        </w:tabs>
        <w:ind w:left="821" w:hanging="821"/>
      </w:pPr>
      <w:rPr>
        <w:rFonts w:hint="default"/>
      </w:rPr>
    </w:lvl>
    <w:lvl w:ilvl="3">
      <w:start w:val="1"/>
      <w:numFmt w:val="decimal"/>
      <w:pStyle w:val="Heading3"/>
      <w:lvlText w:val="%2.%3.%4."/>
      <w:lvlJc w:val="left"/>
      <w:pPr>
        <w:tabs>
          <w:tab w:val="num" w:pos="1397"/>
        </w:tabs>
        <w:ind w:left="1397" w:hanging="1397"/>
      </w:pPr>
      <w:rPr>
        <w:rFonts w:hint="default"/>
      </w:rPr>
    </w:lvl>
    <w:lvl w:ilvl="4">
      <w:start w:val="1"/>
      <w:numFmt w:val="decimal"/>
      <w:pStyle w:val="Heading4"/>
      <w:lvlText w:val="%2.%3.%4.%5."/>
      <w:lvlJc w:val="left"/>
      <w:pPr>
        <w:tabs>
          <w:tab w:val="num" w:pos="1397"/>
        </w:tabs>
        <w:ind w:left="1397" w:hanging="1397"/>
      </w:pPr>
      <w:rPr>
        <w:rFonts w:hint="default"/>
      </w:rPr>
    </w:lvl>
    <w:lvl w:ilvl="5">
      <w:start w:val="1"/>
      <w:numFmt w:val="decimal"/>
      <w:pStyle w:val="Heading5"/>
      <w:lvlText w:val="%2.%3.%4.%5.%6."/>
      <w:lvlJc w:val="left"/>
      <w:pPr>
        <w:tabs>
          <w:tab w:val="num" w:pos="1397"/>
        </w:tabs>
        <w:ind w:left="1397" w:hanging="1397"/>
      </w:pPr>
      <w:rPr>
        <w:rFonts w:hint="default"/>
      </w:rPr>
    </w:lvl>
    <w:lvl w:ilvl="6">
      <w:start w:val="1"/>
      <w:numFmt w:val="decimal"/>
      <w:pStyle w:val="Heading6"/>
      <w:lvlText w:val="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pStyle w:val="Heading7"/>
      <w:lvlText w:val="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pStyle w:val="Heading8"/>
      <w:lvlText w:val="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19C6E80"/>
    <w:multiLevelType w:val="hybridMultilevel"/>
    <w:tmpl w:val="4B02F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0A97"/>
    <w:multiLevelType w:val="hybridMultilevel"/>
    <w:tmpl w:val="21AC0D6E"/>
    <w:lvl w:ilvl="0" w:tplc="7CBA4CD0">
      <w:start w:val="1"/>
      <w:numFmt w:val="lowerLetter"/>
      <w:pStyle w:val="Numbered11-2"/>
      <w:lvlText w:val="%1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" w15:restartNumberingAfterBreak="0">
    <w:nsid w:val="07AD28D0"/>
    <w:multiLevelType w:val="hybridMultilevel"/>
    <w:tmpl w:val="CBA2C54E"/>
    <w:lvl w:ilvl="0" w:tplc="D7AC98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642E3"/>
    <w:multiLevelType w:val="hybridMultilevel"/>
    <w:tmpl w:val="10B097FC"/>
    <w:lvl w:ilvl="0" w:tplc="C0981B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F4D74"/>
    <w:multiLevelType w:val="multilevel"/>
    <w:tmpl w:val="A02E932A"/>
    <w:styleLink w:val="BulletsAgency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3399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003399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6" w15:restartNumberingAfterBreak="0">
    <w:nsid w:val="0ED36B4C"/>
    <w:multiLevelType w:val="hybridMultilevel"/>
    <w:tmpl w:val="296673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2D7186"/>
    <w:multiLevelType w:val="hybridMultilevel"/>
    <w:tmpl w:val="01A8F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81594"/>
    <w:multiLevelType w:val="hybridMultilevel"/>
    <w:tmpl w:val="03B0B0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E1179"/>
    <w:multiLevelType w:val="hybridMultilevel"/>
    <w:tmpl w:val="2202F57E"/>
    <w:lvl w:ilvl="0" w:tplc="81700F12">
      <w:start w:val="1"/>
      <w:numFmt w:val="bullet"/>
      <w:pStyle w:val="Bullet11-1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6395A"/>
    <w:multiLevelType w:val="hybridMultilevel"/>
    <w:tmpl w:val="1CC06AF0"/>
    <w:lvl w:ilvl="0" w:tplc="4E24535A">
      <w:start w:val="1"/>
      <w:numFmt w:val="lowerLetter"/>
      <w:pStyle w:val="Numbered12-2"/>
      <w:lvlText w:val="%1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 w15:restartNumberingAfterBreak="0">
    <w:nsid w:val="20EE7D81"/>
    <w:multiLevelType w:val="hybridMultilevel"/>
    <w:tmpl w:val="14F45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84494"/>
    <w:multiLevelType w:val="hybridMultilevel"/>
    <w:tmpl w:val="6DEA1B10"/>
    <w:lvl w:ilvl="0" w:tplc="A8F0B08E">
      <w:start w:val="1"/>
      <w:numFmt w:val="bullet"/>
      <w:pStyle w:val="Bullet11-2"/>
      <w:lvlText w:val=""/>
      <w:lvlJc w:val="left"/>
      <w:pPr>
        <w:tabs>
          <w:tab w:val="num" w:pos="864"/>
        </w:tabs>
        <w:ind w:left="864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26012133"/>
    <w:multiLevelType w:val="hybridMultilevel"/>
    <w:tmpl w:val="28360862"/>
    <w:lvl w:ilvl="0" w:tplc="D41A8A1E">
      <w:start w:val="1"/>
      <w:numFmt w:val="bullet"/>
      <w:pStyle w:val="GuideDash"/>
      <w:lvlText w:val=""/>
      <w:lvlJc w:val="left"/>
      <w:pPr>
        <w:tabs>
          <w:tab w:val="num" w:pos="644"/>
        </w:tabs>
        <w:ind w:left="572" w:hanging="288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5144C"/>
    <w:multiLevelType w:val="hybridMultilevel"/>
    <w:tmpl w:val="BFF6D4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6132FB"/>
    <w:multiLevelType w:val="hybridMultilevel"/>
    <w:tmpl w:val="199AA300"/>
    <w:lvl w:ilvl="0" w:tplc="543CD1EE">
      <w:start w:val="1"/>
      <w:numFmt w:val="decimal"/>
      <w:pStyle w:val="Numbered12-3"/>
      <w:lvlText w:val="%1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6" w15:restartNumberingAfterBreak="0">
    <w:nsid w:val="2EED6618"/>
    <w:multiLevelType w:val="hybridMultilevel"/>
    <w:tmpl w:val="CD78EA86"/>
    <w:lvl w:ilvl="0" w:tplc="04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7" w15:restartNumberingAfterBreak="0">
    <w:nsid w:val="32092D83"/>
    <w:multiLevelType w:val="hybridMultilevel"/>
    <w:tmpl w:val="644AF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340E1"/>
    <w:multiLevelType w:val="hybridMultilevel"/>
    <w:tmpl w:val="40B6106E"/>
    <w:lvl w:ilvl="0" w:tplc="CB12182E">
      <w:start w:val="1"/>
      <w:numFmt w:val="bullet"/>
      <w:pStyle w:val="Bullet11-4"/>
      <w:lvlText w:val=""/>
      <w:lvlJc w:val="left"/>
      <w:pPr>
        <w:tabs>
          <w:tab w:val="num" w:pos="1728"/>
        </w:tabs>
        <w:ind w:left="1728" w:hanging="432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19" w15:restartNumberingAfterBreak="0">
    <w:nsid w:val="357165AA"/>
    <w:multiLevelType w:val="hybridMultilevel"/>
    <w:tmpl w:val="D88E3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27BA6"/>
    <w:multiLevelType w:val="hybridMultilevel"/>
    <w:tmpl w:val="D222FADE"/>
    <w:lvl w:ilvl="0" w:tplc="E3F24EE2">
      <w:start w:val="1"/>
      <w:numFmt w:val="lowerLetter"/>
      <w:pStyle w:val="Numbered11-4"/>
      <w:lvlText w:val="%1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736" w:hanging="360"/>
      </w:pPr>
    </w:lvl>
    <w:lvl w:ilvl="2" w:tplc="04090005" w:tentative="1">
      <w:start w:val="1"/>
      <w:numFmt w:val="lowerRoman"/>
      <w:lvlText w:val="%3."/>
      <w:lvlJc w:val="right"/>
      <w:pPr>
        <w:ind w:left="3456" w:hanging="180"/>
      </w:pPr>
    </w:lvl>
    <w:lvl w:ilvl="3" w:tplc="04090001" w:tentative="1">
      <w:start w:val="1"/>
      <w:numFmt w:val="decimal"/>
      <w:lvlText w:val="%4."/>
      <w:lvlJc w:val="left"/>
      <w:pPr>
        <w:ind w:left="4176" w:hanging="360"/>
      </w:pPr>
    </w:lvl>
    <w:lvl w:ilvl="4" w:tplc="04090003" w:tentative="1">
      <w:start w:val="1"/>
      <w:numFmt w:val="lowerLetter"/>
      <w:lvlText w:val="%5."/>
      <w:lvlJc w:val="left"/>
      <w:pPr>
        <w:ind w:left="4896" w:hanging="360"/>
      </w:pPr>
    </w:lvl>
    <w:lvl w:ilvl="5" w:tplc="04090005" w:tentative="1">
      <w:start w:val="1"/>
      <w:numFmt w:val="lowerRoman"/>
      <w:lvlText w:val="%6."/>
      <w:lvlJc w:val="right"/>
      <w:pPr>
        <w:ind w:left="5616" w:hanging="180"/>
      </w:pPr>
    </w:lvl>
    <w:lvl w:ilvl="6" w:tplc="04090001" w:tentative="1">
      <w:start w:val="1"/>
      <w:numFmt w:val="decimal"/>
      <w:lvlText w:val="%7."/>
      <w:lvlJc w:val="left"/>
      <w:pPr>
        <w:ind w:left="6336" w:hanging="360"/>
      </w:pPr>
    </w:lvl>
    <w:lvl w:ilvl="7" w:tplc="04090003" w:tentative="1">
      <w:start w:val="1"/>
      <w:numFmt w:val="lowerLetter"/>
      <w:lvlText w:val="%8."/>
      <w:lvlJc w:val="left"/>
      <w:pPr>
        <w:ind w:left="7056" w:hanging="360"/>
      </w:pPr>
    </w:lvl>
    <w:lvl w:ilvl="8" w:tplc="04090005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21" w15:restartNumberingAfterBreak="0">
    <w:nsid w:val="3BFE4B2A"/>
    <w:multiLevelType w:val="hybridMultilevel"/>
    <w:tmpl w:val="00E21EC4"/>
    <w:lvl w:ilvl="0" w:tplc="C436EF30">
      <w:start w:val="1"/>
      <w:numFmt w:val="bullet"/>
      <w:pStyle w:val="Guide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81289"/>
    <w:multiLevelType w:val="hybridMultilevel"/>
    <w:tmpl w:val="4C747622"/>
    <w:lvl w:ilvl="0" w:tplc="E3F24EE2">
      <w:start w:val="1"/>
      <w:numFmt w:val="decimal"/>
      <w:pStyle w:val="Reference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0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946BA"/>
    <w:multiLevelType w:val="hybridMultilevel"/>
    <w:tmpl w:val="7F9AC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06289"/>
    <w:multiLevelType w:val="hybridMultilevel"/>
    <w:tmpl w:val="AA305F66"/>
    <w:lvl w:ilvl="0" w:tplc="A6C66B7A">
      <w:start w:val="1"/>
      <w:numFmt w:val="bullet"/>
      <w:pStyle w:val="Bullet12-4"/>
      <w:lvlText w:val=""/>
      <w:lvlJc w:val="left"/>
      <w:pPr>
        <w:tabs>
          <w:tab w:val="num" w:pos="1728"/>
        </w:tabs>
        <w:ind w:left="1728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25" w15:restartNumberingAfterBreak="0">
    <w:nsid w:val="482463A1"/>
    <w:multiLevelType w:val="hybridMultilevel"/>
    <w:tmpl w:val="E6E0A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16CB7"/>
    <w:multiLevelType w:val="hybridMultilevel"/>
    <w:tmpl w:val="D8829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570C6A"/>
    <w:multiLevelType w:val="hybridMultilevel"/>
    <w:tmpl w:val="3EF0E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6E26D1"/>
    <w:multiLevelType w:val="hybridMultilevel"/>
    <w:tmpl w:val="D27461D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1FC6B6E"/>
    <w:multiLevelType w:val="hybridMultilevel"/>
    <w:tmpl w:val="3A90F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714268"/>
    <w:multiLevelType w:val="hybridMultilevel"/>
    <w:tmpl w:val="F1C471A8"/>
    <w:lvl w:ilvl="0" w:tplc="A6C66B7A">
      <w:start w:val="1"/>
      <w:numFmt w:val="decimal"/>
      <w:pStyle w:val="Numbered12-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4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5B5181"/>
    <w:multiLevelType w:val="hybridMultilevel"/>
    <w:tmpl w:val="0F661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AA47A2"/>
    <w:multiLevelType w:val="hybridMultilevel"/>
    <w:tmpl w:val="961C5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22CB1"/>
    <w:multiLevelType w:val="singleLevel"/>
    <w:tmpl w:val="577EEDDE"/>
    <w:lvl w:ilvl="0">
      <w:start w:val="1"/>
      <w:numFmt w:val="bullet"/>
      <w:pStyle w:val="Bullet12-3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hint="default"/>
      </w:rPr>
    </w:lvl>
  </w:abstractNum>
  <w:abstractNum w:abstractNumId="34" w15:restartNumberingAfterBreak="0">
    <w:nsid w:val="5F2A1ABE"/>
    <w:multiLevelType w:val="singleLevel"/>
    <w:tmpl w:val="B686D922"/>
    <w:lvl w:ilvl="0">
      <w:start w:val="1"/>
      <w:numFmt w:val="bullet"/>
      <w:pStyle w:val="Bullet12-1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35" w15:restartNumberingAfterBreak="0">
    <w:nsid w:val="5F2C6412"/>
    <w:multiLevelType w:val="hybridMultilevel"/>
    <w:tmpl w:val="104A30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E2FF2"/>
    <w:multiLevelType w:val="hybridMultilevel"/>
    <w:tmpl w:val="E3ACF658"/>
    <w:lvl w:ilvl="0" w:tplc="8CE847C6">
      <w:start w:val="1"/>
      <w:numFmt w:val="bullet"/>
      <w:pStyle w:val="Bullet11-3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hint="default"/>
      </w:rPr>
    </w:lvl>
    <w:lvl w:ilvl="1" w:tplc="ED6493D8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5A445A98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F008198C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70501B7C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D1C87E6A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44B42294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DB8AF26E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1C46133C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7" w15:restartNumberingAfterBreak="0">
    <w:nsid w:val="611227B5"/>
    <w:multiLevelType w:val="hybridMultilevel"/>
    <w:tmpl w:val="DD861FAE"/>
    <w:lvl w:ilvl="0" w:tplc="630400B8">
      <w:start w:val="1"/>
      <w:numFmt w:val="decimal"/>
      <w:pStyle w:val="Numbered11-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8030C8"/>
    <w:multiLevelType w:val="hybridMultilevel"/>
    <w:tmpl w:val="207EE9C2"/>
    <w:lvl w:ilvl="0" w:tplc="365CD5BE">
      <w:start w:val="1"/>
      <w:numFmt w:val="lowerLetter"/>
      <w:pStyle w:val="Numbered12-4"/>
      <w:lvlText w:val="%1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1" w:tplc="51208C84" w:tentative="1">
      <w:start w:val="1"/>
      <w:numFmt w:val="lowerLetter"/>
      <w:lvlText w:val="%2."/>
      <w:lvlJc w:val="left"/>
      <w:pPr>
        <w:ind w:left="2736" w:hanging="360"/>
      </w:pPr>
    </w:lvl>
    <w:lvl w:ilvl="2" w:tplc="167298D8" w:tentative="1">
      <w:start w:val="1"/>
      <w:numFmt w:val="lowerRoman"/>
      <w:lvlText w:val="%3."/>
      <w:lvlJc w:val="right"/>
      <w:pPr>
        <w:ind w:left="3456" w:hanging="180"/>
      </w:pPr>
    </w:lvl>
    <w:lvl w:ilvl="3" w:tplc="405ED912" w:tentative="1">
      <w:start w:val="1"/>
      <w:numFmt w:val="decimal"/>
      <w:lvlText w:val="%4."/>
      <w:lvlJc w:val="left"/>
      <w:pPr>
        <w:ind w:left="4176" w:hanging="360"/>
      </w:pPr>
    </w:lvl>
    <w:lvl w:ilvl="4" w:tplc="35184692" w:tentative="1">
      <w:start w:val="1"/>
      <w:numFmt w:val="lowerLetter"/>
      <w:lvlText w:val="%5."/>
      <w:lvlJc w:val="left"/>
      <w:pPr>
        <w:ind w:left="4896" w:hanging="360"/>
      </w:pPr>
    </w:lvl>
    <w:lvl w:ilvl="5" w:tplc="D4CC1C70" w:tentative="1">
      <w:start w:val="1"/>
      <w:numFmt w:val="lowerRoman"/>
      <w:lvlText w:val="%6."/>
      <w:lvlJc w:val="right"/>
      <w:pPr>
        <w:ind w:left="5616" w:hanging="180"/>
      </w:pPr>
    </w:lvl>
    <w:lvl w:ilvl="6" w:tplc="38F8F566" w:tentative="1">
      <w:start w:val="1"/>
      <w:numFmt w:val="decimal"/>
      <w:lvlText w:val="%7."/>
      <w:lvlJc w:val="left"/>
      <w:pPr>
        <w:ind w:left="6336" w:hanging="360"/>
      </w:pPr>
    </w:lvl>
    <w:lvl w:ilvl="7" w:tplc="142E7890" w:tentative="1">
      <w:start w:val="1"/>
      <w:numFmt w:val="lowerLetter"/>
      <w:lvlText w:val="%8."/>
      <w:lvlJc w:val="left"/>
      <w:pPr>
        <w:ind w:left="7056" w:hanging="360"/>
      </w:pPr>
    </w:lvl>
    <w:lvl w:ilvl="8" w:tplc="9A183256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39" w15:restartNumberingAfterBreak="0">
    <w:nsid w:val="63713A5C"/>
    <w:multiLevelType w:val="hybridMultilevel"/>
    <w:tmpl w:val="30D49C44"/>
    <w:lvl w:ilvl="0" w:tplc="81646344">
      <w:start w:val="1"/>
      <w:numFmt w:val="decimal"/>
      <w:pStyle w:val="Numbered11-3"/>
      <w:lvlText w:val="%1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1" w:tplc="B768A248" w:tentative="1">
      <w:start w:val="1"/>
      <w:numFmt w:val="lowerLetter"/>
      <w:lvlText w:val="%2."/>
      <w:lvlJc w:val="left"/>
      <w:pPr>
        <w:ind w:left="2304" w:hanging="360"/>
      </w:pPr>
    </w:lvl>
    <w:lvl w:ilvl="2" w:tplc="265272E8" w:tentative="1">
      <w:start w:val="1"/>
      <w:numFmt w:val="lowerRoman"/>
      <w:lvlText w:val="%3."/>
      <w:lvlJc w:val="right"/>
      <w:pPr>
        <w:ind w:left="3024" w:hanging="180"/>
      </w:pPr>
    </w:lvl>
    <w:lvl w:ilvl="3" w:tplc="B9E4164E" w:tentative="1">
      <w:start w:val="1"/>
      <w:numFmt w:val="decimal"/>
      <w:lvlText w:val="%4."/>
      <w:lvlJc w:val="left"/>
      <w:pPr>
        <w:ind w:left="3744" w:hanging="360"/>
      </w:pPr>
    </w:lvl>
    <w:lvl w:ilvl="4" w:tplc="376215C8" w:tentative="1">
      <w:start w:val="1"/>
      <w:numFmt w:val="lowerLetter"/>
      <w:lvlText w:val="%5."/>
      <w:lvlJc w:val="left"/>
      <w:pPr>
        <w:ind w:left="4464" w:hanging="360"/>
      </w:pPr>
    </w:lvl>
    <w:lvl w:ilvl="5" w:tplc="01BE2526" w:tentative="1">
      <w:start w:val="1"/>
      <w:numFmt w:val="lowerRoman"/>
      <w:lvlText w:val="%6."/>
      <w:lvlJc w:val="right"/>
      <w:pPr>
        <w:ind w:left="5184" w:hanging="180"/>
      </w:pPr>
    </w:lvl>
    <w:lvl w:ilvl="6" w:tplc="A6245D34" w:tentative="1">
      <w:start w:val="1"/>
      <w:numFmt w:val="decimal"/>
      <w:lvlText w:val="%7."/>
      <w:lvlJc w:val="left"/>
      <w:pPr>
        <w:ind w:left="5904" w:hanging="360"/>
      </w:pPr>
    </w:lvl>
    <w:lvl w:ilvl="7" w:tplc="EF0C28BC" w:tentative="1">
      <w:start w:val="1"/>
      <w:numFmt w:val="lowerLetter"/>
      <w:lvlText w:val="%8."/>
      <w:lvlJc w:val="left"/>
      <w:pPr>
        <w:ind w:left="6624" w:hanging="360"/>
      </w:pPr>
    </w:lvl>
    <w:lvl w:ilvl="8" w:tplc="FB2C8B22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40" w15:restartNumberingAfterBreak="0">
    <w:nsid w:val="678A553F"/>
    <w:multiLevelType w:val="hybridMultilevel"/>
    <w:tmpl w:val="56789E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4C3150"/>
    <w:multiLevelType w:val="hybridMultilevel"/>
    <w:tmpl w:val="02327E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5C24C0"/>
    <w:multiLevelType w:val="hybridMultilevel"/>
    <w:tmpl w:val="20F4B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894C68"/>
    <w:multiLevelType w:val="singleLevel"/>
    <w:tmpl w:val="A28A1628"/>
    <w:lvl w:ilvl="0">
      <w:start w:val="1"/>
      <w:numFmt w:val="bullet"/>
      <w:pStyle w:val="Bullet12-2"/>
      <w:lvlText w:val=""/>
      <w:lvlJc w:val="left"/>
      <w:pPr>
        <w:tabs>
          <w:tab w:val="num" w:pos="864"/>
        </w:tabs>
        <w:ind w:left="864" w:hanging="432"/>
      </w:pPr>
      <w:rPr>
        <w:rFonts w:ascii="Symbol" w:hAnsi="Symbol" w:hint="default"/>
      </w:rPr>
    </w:lvl>
  </w:abstractNum>
  <w:abstractNum w:abstractNumId="44" w15:restartNumberingAfterBreak="0">
    <w:nsid w:val="72CF47AD"/>
    <w:multiLevelType w:val="hybridMultilevel"/>
    <w:tmpl w:val="F6CA6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51567CA"/>
    <w:multiLevelType w:val="hybridMultilevel"/>
    <w:tmpl w:val="00DA1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9F1234"/>
    <w:multiLevelType w:val="hybridMultilevel"/>
    <w:tmpl w:val="D506C4A4"/>
    <w:lvl w:ilvl="0" w:tplc="39467E12">
      <w:start w:val="1"/>
      <w:numFmt w:val="lowerLetter"/>
      <w:pStyle w:val="TEFootnote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DF267E"/>
    <w:multiLevelType w:val="hybridMultilevel"/>
    <w:tmpl w:val="E6029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FE9561A"/>
    <w:multiLevelType w:val="hybridMultilevel"/>
    <w:tmpl w:val="C2ACD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9"/>
  </w:num>
  <w:num w:numId="4">
    <w:abstractNumId w:val="12"/>
  </w:num>
  <w:num w:numId="5">
    <w:abstractNumId w:val="36"/>
  </w:num>
  <w:num w:numId="6">
    <w:abstractNumId w:val="18"/>
  </w:num>
  <w:num w:numId="7">
    <w:abstractNumId w:val="34"/>
  </w:num>
  <w:num w:numId="8">
    <w:abstractNumId w:val="43"/>
  </w:num>
  <w:num w:numId="9">
    <w:abstractNumId w:val="0"/>
  </w:num>
  <w:num w:numId="10">
    <w:abstractNumId w:val="37"/>
  </w:num>
  <w:num w:numId="11">
    <w:abstractNumId w:val="2"/>
  </w:num>
  <w:num w:numId="12">
    <w:abstractNumId w:val="39"/>
  </w:num>
  <w:num w:numId="13">
    <w:abstractNumId w:val="20"/>
  </w:num>
  <w:num w:numId="14">
    <w:abstractNumId w:val="30"/>
  </w:num>
  <w:num w:numId="15">
    <w:abstractNumId w:val="10"/>
  </w:num>
  <w:num w:numId="16">
    <w:abstractNumId w:val="15"/>
  </w:num>
  <w:num w:numId="17">
    <w:abstractNumId w:val="38"/>
  </w:num>
  <w:num w:numId="18">
    <w:abstractNumId w:val="24"/>
  </w:num>
  <w:num w:numId="19">
    <w:abstractNumId w:val="22"/>
  </w:num>
  <w:num w:numId="20">
    <w:abstractNumId w:val="5"/>
  </w:num>
  <w:num w:numId="21">
    <w:abstractNumId w:val="33"/>
  </w:num>
  <w:num w:numId="22">
    <w:abstractNumId w:val="47"/>
  </w:num>
  <w:num w:numId="23">
    <w:abstractNumId w:val="40"/>
  </w:num>
  <w:num w:numId="24">
    <w:abstractNumId w:val="17"/>
  </w:num>
  <w:num w:numId="25">
    <w:abstractNumId w:val="6"/>
  </w:num>
  <w:num w:numId="26">
    <w:abstractNumId w:val="48"/>
  </w:num>
  <w:num w:numId="27">
    <w:abstractNumId w:val="28"/>
  </w:num>
  <w:num w:numId="28">
    <w:abstractNumId w:val="11"/>
  </w:num>
  <w:num w:numId="29">
    <w:abstractNumId w:val="23"/>
  </w:num>
  <w:num w:numId="30">
    <w:abstractNumId w:val="25"/>
  </w:num>
  <w:num w:numId="31">
    <w:abstractNumId w:val="46"/>
  </w:num>
  <w:num w:numId="32">
    <w:abstractNumId w:val="16"/>
  </w:num>
  <w:num w:numId="33">
    <w:abstractNumId w:val="41"/>
  </w:num>
  <w:num w:numId="34">
    <w:abstractNumId w:val="8"/>
  </w:num>
  <w:num w:numId="35">
    <w:abstractNumId w:val="42"/>
  </w:num>
  <w:num w:numId="36">
    <w:abstractNumId w:val="31"/>
  </w:num>
  <w:num w:numId="37">
    <w:abstractNumId w:val="44"/>
  </w:num>
  <w:num w:numId="38">
    <w:abstractNumId w:val="29"/>
  </w:num>
  <w:num w:numId="39">
    <w:abstractNumId w:val="27"/>
  </w:num>
  <w:num w:numId="40">
    <w:abstractNumId w:val="14"/>
  </w:num>
  <w:num w:numId="41">
    <w:abstractNumId w:val="7"/>
  </w:num>
  <w:num w:numId="42">
    <w:abstractNumId w:val="19"/>
  </w:num>
  <w:num w:numId="43">
    <w:abstractNumId w:val="35"/>
  </w:num>
  <w:num w:numId="44">
    <w:abstractNumId w:val="26"/>
  </w:num>
  <w:num w:numId="45">
    <w:abstractNumId w:val="1"/>
  </w:num>
  <w:num w:numId="46">
    <w:abstractNumId w:val="45"/>
  </w:num>
  <w:num w:numId="47">
    <w:abstractNumId w:val="3"/>
  </w:num>
  <w:num w:numId="48">
    <w:abstractNumId w:val="4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681"/>
    <w:rsid w:val="00116681"/>
    <w:rsid w:val="00AA77F0"/>
    <w:rsid w:val="00EB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681"/>
    <w:pPr>
      <w:spacing w:after="200" w:line="276" w:lineRule="auto"/>
    </w:pPr>
  </w:style>
  <w:style w:type="paragraph" w:styleId="Heading1">
    <w:name w:val="heading 1"/>
    <w:next w:val="BodyText12"/>
    <w:link w:val="Heading1Char"/>
    <w:qFormat/>
    <w:rsid w:val="00116681"/>
    <w:pPr>
      <w:keepNext/>
      <w:keepLines/>
      <w:numPr>
        <w:ilvl w:val="1"/>
        <w:numId w:val="9"/>
      </w:numPr>
      <w:spacing w:before="240" w:after="120" w:line="240" w:lineRule="auto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Heading2">
    <w:name w:val="heading 2"/>
    <w:next w:val="BodyText12"/>
    <w:link w:val="Heading2Char"/>
    <w:qFormat/>
    <w:rsid w:val="00116681"/>
    <w:pPr>
      <w:keepNext/>
      <w:keepLines/>
      <w:numPr>
        <w:ilvl w:val="2"/>
        <w:numId w:val="9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next w:val="BodyText12"/>
    <w:link w:val="Heading3Char"/>
    <w:qFormat/>
    <w:rsid w:val="00116681"/>
    <w:pPr>
      <w:keepNext/>
      <w:keepLines/>
      <w:numPr>
        <w:ilvl w:val="3"/>
        <w:numId w:val="9"/>
      </w:numPr>
      <w:spacing w:before="240" w:after="120" w:line="240" w:lineRule="auto"/>
      <w:outlineLvl w:val="2"/>
    </w:pPr>
    <w:rPr>
      <w:rFonts w:ascii="Arial" w:eastAsia="Times New Roman" w:hAnsi="Arial" w:cs="Times New Roman"/>
      <w:b/>
      <w:sz w:val="24"/>
      <w:szCs w:val="20"/>
    </w:rPr>
  </w:style>
  <w:style w:type="paragraph" w:styleId="Heading4">
    <w:name w:val="heading 4"/>
    <w:next w:val="BodyText12"/>
    <w:link w:val="Heading4Char"/>
    <w:qFormat/>
    <w:rsid w:val="00116681"/>
    <w:pPr>
      <w:keepNext/>
      <w:keepLines/>
      <w:numPr>
        <w:ilvl w:val="4"/>
        <w:numId w:val="9"/>
      </w:numPr>
      <w:spacing w:before="240" w:after="12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Heading5">
    <w:name w:val="heading 5"/>
    <w:next w:val="BodyText12"/>
    <w:link w:val="Heading5Char"/>
    <w:qFormat/>
    <w:rsid w:val="00116681"/>
    <w:pPr>
      <w:keepNext/>
      <w:keepLines/>
      <w:numPr>
        <w:ilvl w:val="5"/>
        <w:numId w:val="9"/>
      </w:numPr>
      <w:spacing w:before="240" w:after="120" w:line="240" w:lineRule="auto"/>
      <w:outlineLvl w:val="4"/>
    </w:pPr>
    <w:rPr>
      <w:rFonts w:ascii="Arial" w:eastAsia="Times New Roman" w:hAnsi="Arial" w:cs="Times New Roman"/>
      <w:b/>
      <w:sz w:val="24"/>
      <w:szCs w:val="20"/>
    </w:rPr>
  </w:style>
  <w:style w:type="paragraph" w:styleId="Heading6">
    <w:name w:val="heading 6"/>
    <w:next w:val="BodyText12"/>
    <w:link w:val="Heading6Char"/>
    <w:qFormat/>
    <w:rsid w:val="00116681"/>
    <w:pPr>
      <w:keepNext/>
      <w:keepLines/>
      <w:numPr>
        <w:ilvl w:val="6"/>
        <w:numId w:val="9"/>
      </w:numPr>
      <w:spacing w:before="240" w:after="120" w:line="240" w:lineRule="auto"/>
      <w:outlineLvl w:val="5"/>
    </w:pPr>
    <w:rPr>
      <w:rFonts w:ascii="Arial" w:eastAsia="Times New Roman" w:hAnsi="Arial" w:cs="Times New Roman"/>
      <w:b/>
      <w:sz w:val="24"/>
      <w:szCs w:val="20"/>
    </w:rPr>
  </w:style>
  <w:style w:type="paragraph" w:styleId="Heading7">
    <w:name w:val="heading 7"/>
    <w:next w:val="BodyText12"/>
    <w:link w:val="Heading7Char"/>
    <w:qFormat/>
    <w:rsid w:val="00116681"/>
    <w:pPr>
      <w:keepNext/>
      <w:keepLines/>
      <w:numPr>
        <w:ilvl w:val="7"/>
        <w:numId w:val="9"/>
      </w:numPr>
      <w:spacing w:before="240" w:after="120" w:line="240" w:lineRule="auto"/>
      <w:outlineLvl w:val="6"/>
    </w:pPr>
    <w:rPr>
      <w:rFonts w:ascii="Arial" w:eastAsia="Times New Roman" w:hAnsi="Arial" w:cs="Times New Roman"/>
      <w:b/>
      <w:sz w:val="24"/>
      <w:szCs w:val="20"/>
    </w:rPr>
  </w:style>
  <w:style w:type="paragraph" w:styleId="Heading8">
    <w:name w:val="heading 8"/>
    <w:next w:val="BodyText12"/>
    <w:link w:val="Heading8Char"/>
    <w:qFormat/>
    <w:rsid w:val="00116681"/>
    <w:pPr>
      <w:keepNext/>
      <w:keepLines/>
      <w:numPr>
        <w:ilvl w:val="8"/>
        <w:numId w:val="9"/>
      </w:numPr>
      <w:spacing w:before="240" w:after="120" w:line="240" w:lineRule="auto"/>
      <w:outlineLvl w:val="7"/>
    </w:pPr>
    <w:rPr>
      <w:rFonts w:ascii="Arial" w:eastAsia="Times New Roman" w:hAnsi="Arial" w:cs="Times New Roman"/>
      <w:b/>
      <w:sz w:val="24"/>
      <w:szCs w:val="20"/>
    </w:rPr>
  </w:style>
  <w:style w:type="paragraph" w:styleId="Heading9">
    <w:name w:val="heading 9"/>
    <w:next w:val="BodyText12"/>
    <w:link w:val="Heading9Char"/>
    <w:qFormat/>
    <w:rsid w:val="00116681"/>
    <w:pPr>
      <w:keepNext/>
      <w:keepLines/>
      <w:tabs>
        <w:tab w:val="left" w:pos="2650"/>
      </w:tabs>
      <w:spacing w:after="60" w:line="240" w:lineRule="auto"/>
      <w:outlineLvl w:val="8"/>
    </w:pPr>
    <w:rPr>
      <w:rFonts w:ascii="Arial" w:eastAsia="Times New Roman" w:hAnsi="Arial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116681"/>
    <w:rPr>
      <w:rFonts w:ascii="Arial" w:eastAsia="Times New Roman" w:hAnsi="Arial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116681"/>
    <w:rPr>
      <w:rFonts w:ascii="Arial" w:eastAsia="Times New Roman" w:hAnsi="Arial" w:cs="Times New Roman"/>
      <w:b/>
      <w:i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16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6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66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6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66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6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116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16681"/>
  </w:style>
  <w:style w:type="paragraph" w:styleId="Footer">
    <w:name w:val="footer"/>
    <w:basedOn w:val="Normal"/>
    <w:link w:val="FooterChar"/>
    <w:uiPriority w:val="99"/>
    <w:unhideWhenUsed/>
    <w:rsid w:val="00116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681"/>
  </w:style>
  <w:style w:type="paragraph" w:styleId="Caption">
    <w:name w:val="caption"/>
    <w:next w:val="TableText"/>
    <w:qFormat/>
    <w:rsid w:val="00116681"/>
    <w:pPr>
      <w:keepNext/>
      <w:tabs>
        <w:tab w:val="left" w:pos="1152"/>
      </w:tabs>
      <w:spacing w:before="60" w:after="60" w:line="240" w:lineRule="auto"/>
      <w:ind w:left="1152" w:hanging="1152"/>
    </w:pPr>
    <w:rPr>
      <w:rFonts w:ascii="Times New Roman" w:eastAsia="Times New Roman" w:hAnsi="Times New Roman" w:cs="Times New Roman"/>
      <w:b/>
      <w:bCs/>
      <w:sz w:val="20"/>
      <w:szCs w:val="18"/>
    </w:rPr>
  </w:style>
  <w:style w:type="paragraph" w:customStyle="1" w:styleId="TableText">
    <w:name w:val="Table Text"/>
    <w:qFormat/>
    <w:rsid w:val="00116681"/>
    <w:pPr>
      <w:tabs>
        <w:tab w:val="left" w:pos="288"/>
        <w:tab w:val="left" w:pos="576"/>
        <w:tab w:val="left" w:pos="86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11668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1668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1668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16681"/>
    <w:rPr>
      <w:rFonts w:ascii="Calibri" w:hAnsi="Calibri" w:cs="Calibri"/>
      <w:noProof/>
    </w:rPr>
  </w:style>
  <w:style w:type="paragraph" w:customStyle="1" w:styleId="BodyText12">
    <w:name w:val="Body Text 12"/>
    <w:qFormat/>
    <w:rsid w:val="00116681"/>
    <w:pPr>
      <w:spacing w:after="240" w:line="264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116681"/>
    <w:pPr>
      <w:ind w:left="720"/>
      <w:contextualSpacing/>
    </w:pPr>
  </w:style>
  <w:style w:type="paragraph" w:styleId="TOC1">
    <w:name w:val="toc 1"/>
    <w:uiPriority w:val="39"/>
    <w:rsid w:val="00116681"/>
    <w:pPr>
      <w:tabs>
        <w:tab w:val="left" w:pos="504"/>
        <w:tab w:val="right" w:leader="dot" w:pos="9360"/>
      </w:tabs>
      <w:spacing w:before="200" w:after="0" w:line="240" w:lineRule="auto"/>
      <w:ind w:left="504" w:right="720" w:hanging="504"/>
    </w:pPr>
    <w:rPr>
      <w:rFonts w:ascii="Arial" w:eastAsia="Times New Roman" w:hAnsi="Arial" w:cs="Times New Roman"/>
      <w:b/>
      <w:caps/>
      <w:sz w:val="20"/>
      <w:szCs w:val="20"/>
    </w:rPr>
  </w:style>
  <w:style w:type="paragraph" w:styleId="TOC2">
    <w:name w:val="toc 2"/>
    <w:uiPriority w:val="39"/>
    <w:rsid w:val="00116681"/>
    <w:pPr>
      <w:tabs>
        <w:tab w:val="left" w:pos="720"/>
        <w:tab w:val="right" w:leader="dot" w:pos="9360"/>
      </w:tabs>
      <w:spacing w:after="0" w:line="240" w:lineRule="auto"/>
      <w:ind w:left="720" w:right="720" w:hanging="720"/>
    </w:pPr>
    <w:rPr>
      <w:rFonts w:ascii="Arial" w:eastAsia="Times New Roman" w:hAnsi="Arial" w:cs="Times New Roman"/>
      <w:sz w:val="20"/>
      <w:szCs w:val="20"/>
    </w:rPr>
  </w:style>
  <w:style w:type="paragraph" w:styleId="TOC3">
    <w:name w:val="toc 3"/>
    <w:uiPriority w:val="39"/>
    <w:rsid w:val="00116681"/>
    <w:pPr>
      <w:tabs>
        <w:tab w:val="left" w:pos="907"/>
        <w:tab w:val="right" w:leader="dot" w:pos="9360"/>
      </w:tabs>
      <w:spacing w:after="0" w:line="240" w:lineRule="auto"/>
      <w:ind w:left="907" w:right="720" w:hanging="907"/>
    </w:pPr>
    <w:rPr>
      <w:rFonts w:ascii="Arial" w:eastAsia="Times New Roman" w:hAnsi="Arial" w:cs="Times New Roman"/>
      <w:sz w:val="20"/>
      <w:szCs w:val="20"/>
    </w:rPr>
  </w:style>
  <w:style w:type="paragraph" w:styleId="TOC4">
    <w:name w:val="toc 4"/>
    <w:semiHidden/>
    <w:rsid w:val="00116681"/>
    <w:pPr>
      <w:tabs>
        <w:tab w:val="left" w:pos="1080"/>
        <w:tab w:val="right" w:leader="dot" w:pos="9360"/>
      </w:tabs>
      <w:spacing w:after="0" w:line="240" w:lineRule="auto"/>
      <w:ind w:left="1080" w:right="720" w:hanging="1080"/>
    </w:pPr>
    <w:rPr>
      <w:rFonts w:ascii="Arial" w:eastAsia="Times New Roman" w:hAnsi="Arial" w:cs="Times New Roman"/>
      <w:sz w:val="20"/>
      <w:szCs w:val="20"/>
    </w:rPr>
  </w:style>
  <w:style w:type="paragraph" w:styleId="TOC5">
    <w:name w:val="toc 5"/>
    <w:semiHidden/>
    <w:rsid w:val="00116681"/>
    <w:pPr>
      <w:tabs>
        <w:tab w:val="left" w:pos="1267"/>
        <w:tab w:val="right" w:leader="dot" w:pos="9360"/>
      </w:tabs>
      <w:spacing w:after="0" w:line="240" w:lineRule="auto"/>
      <w:ind w:left="1267" w:right="720" w:hanging="1267"/>
    </w:pPr>
    <w:rPr>
      <w:rFonts w:ascii="Arial" w:eastAsia="Times New Roman" w:hAnsi="Arial" w:cs="Times New Roman"/>
      <w:sz w:val="20"/>
      <w:szCs w:val="24"/>
    </w:rPr>
  </w:style>
  <w:style w:type="paragraph" w:styleId="TOC6">
    <w:name w:val="toc 6"/>
    <w:semiHidden/>
    <w:rsid w:val="00116681"/>
    <w:pPr>
      <w:tabs>
        <w:tab w:val="left" w:pos="1440"/>
        <w:tab w:val="right" w:leader="dot" w:pos="9360"/>
      </w:tabs>
      <w:spacing w:after="0" w:line="240" w:lineRule="auto"/>
      <w:ind w:left="1440" w:right="720" w:hanging="1440"/>
    </w:pPr>
    <w:rPr>
      <w:rFonts w:ascii="Arial" w:eastAsia="Times New Roman" w:hAnsi="Arial" w:cs="Times New Roman"/>
      <w:sz w:val="20"/>
      <w:szCs w:val="20"/>
    </w:rPr>
  </w:style>
  <w:style w:type="paragraph" w:styleId="TOC7">
    <w:name w:val="toc 7"/>
    <w:semiHidden/>
    <w:rsid w:val="00116681"/>
    <w:pPr>
      <w:tabs>
        <w:tab w:val="left" w:pos="1613"/>
        <w:tab w:val="right" w:leader="dot" w:pos="9360"/>
      </w:tabs>
      <w:spacing w:after="0" w:line="240" w:lineRule="auto"/>
      <w:ind w:left="1613" w:right="720" w:hanging="1613"/>
    </w:pPr>
    <w:rPr>
      <w:rFonts w:ascii="Arial" w:eastAsia="Times New Roman" w:hAnsi="Arial" w:cs="Times New Roman"/>
      <w:sz w:val="20"/>
      <w:szCs w:val="20"/>
    </w:rPr>
  </w:style>
  <w:style w:type="paragraph" w:styleId="TOC8">
    <w:name w:val="toc 8"/>
    <w:next w:val="Basic12"/>
    <w:uiPriority w:val="39"/>
    <w:rsid w:val="00116681"/>
    <w:pPr>
      <w:tabs>
        <w:tab w:val="left" w:pos="1800"/>
        <w:tab w:val="right" w:leader="dot" w:pos="9360"/>
      </w:tabs>
      <w:spacing w:after="0" w:line="240" w:lineRule="auto"/>
      <w:ind w:left="1800" w:right="720" w:hanging="1800"/>
    </w:pPr>
    <w:rPr>
      <w:rFonts w:ascii="Arial" w:eastAsia="Times New Roman" w:hAnsi="Arial" w:cs="Times New Roman"/>
      <w:sz w:val="20"/>
      <w:szCs w:val="20"/>
    </w:rPr>
  </w:style>
  <w:style w:type="paragraph" w:customStyle="1" w:styleId="Basic12">
    <w:name w:val="Basic 12"/>
    <w:link w:val="Basic12Char"/>
    <w:qFormat/>
    <w:rsid w:val="001166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sic12Char">
    <w:name w:val="Basic 12 Char"/>
    <w:basedOn w:val="DefaultParagraphFont"/>
    <w:link w:val="Basic12"/>
    <w:rsid w:val="00116681"/>
    <w:rPr>
      <w:rFonts w:ascii="Times New Roman" w:eastAsia="Times New Roman" w:hAnsi="Times New Roman" w:cs="Times New Roman"/>
      <w:sz w:val="24"/>
      <w:szCs w:val="20"/>
    </w:rPr>
  </w:style>
  <w:style w:type="paragraph" w:styleId="TOC9">
    <w:name w:val="toc 9"/>
    <w:basedOn w:val="Normal"/>
    <w:next w:val="Normal"/>
    <w:autoRedefine/>
    <w:semiHidden/>
    <w:rsid w:val="00116681"/>
    <w:pPr>
      <w:tabs>
        <w:tab w:val="left" w:pos="2347"/>
        <w:tab w:val="right" w:leader="dot" w:pos="9360"/>
      </w:tabs>
      <w:spacing w:after="0" w:line="240" w:lineRule="auto"/>
      <w:ind w:left="1627" w:right="720" w:hanging="1627"/>
      <w:jc w:val="both"/>
    </w:pPr>
    <w:rPr>
      <w:rFonts w:ascii="Arial" w:eastAsia="Times New Roman" w:hAnsi="Arial" w:cs="Times New Roman"/>
      <w:sz w:val="20"/>
      <w:szCs w:val="20"/>
    </w:rPr>
  </w:style>
  <w:style w:type="paragraph" w:styleId="FootnoteText">
    <w:name w:val="footnote text"/>
    <w:link w:val="FootnoteTextChar"/>
    <w:semiHidden/>
    <w:rsid w:val="00116681"/>
    <w:pPr>
      <w:tabs>
        <w:tab w:val="left" w:pos="288"/>
      </w:tabs>
      <w:spacing w:after="120" w:line="240" w:lineRule="auto"/>
      <w:ind w:left="288" w:hanging="28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16681"/>
    <w:rPr>
      <w:rFonts w:ascii="Times New Roman" w:eastAsia="Times New Roman" w:hAnsi="Times New Roman" w:cs="Times New Roman"/>
      <w:sz w:val="20"/>
      <w:szCs w:val="20"/>
    </w:rPr>
  </w:style>
  <w:style w:type="paragraph" w:customStyle="1" w:styleId="Basic11">
    <w:name w:val="Basic 11"/>
    <w:qFormat/>
    <w:rsid w:val="00116681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11">
    <w:name w:val="Body Text 11"/>
    <w:qFormat/>
    <w:rsid w:val="00116681"/>
    <w:pPr>
      <w:spacing w:after="18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styleId="FootnoteReference">
    <w:name w:val="footnote reference"/>
    <w:semiHidden/>
    <w:rsid w:val="00116681"/>
    <w:rPr>
      <w:dstrike w:val="0"/>
      <w:noProof w:val="0"/>
      <w:color w:val="auto"/>
      <w:vertAlign w:val="superscript"/>
      <w:lang w:val="en-US"/>
    </w:rPr>
  </w:style>
  <w:style w:type="character" w:styleId="PageNumber">
    <w:name w:val="page number"/>
    <w:basedOn w:val="DefaultParagraphFont"/>
    <w:semiHidden/>
    <w:rsid w:val="00116681"/>
    <w:rPr>
      <w:rFonts w:ascii="Times New Roman" w:hAnsi="Times New Roman"/>
      <w:sz w:val="20"/>
      <w:lang w:val="en-US"/>
    </w:rPr>
  </w:style>
  <w:style w:type="character" w:styleId="Hyperlink">
    <w:name w:val="Hyperlink"/>
    <w:basedOn w:val="DefaultParagraphFont"/>
    <w:uiPriority w:val="99"/>
    <w:rsid w:val="00116681"/>
    <w:rPr>
      <w:color w:val="0000FF"/>
      <w:u w:val="none"/>
    </w:rPr>
  </w:style>
  <w:style w:type="paragraph" w:styleId="DocumentMap">
    <w:name w:val="Document Map"/>
    <w:basedOn w:val="Normal"/>
    <w:link w:val="DocumentMapChar"/>
    <w:semiHidden/>
    <w:rsid w:val="00116681"/>
    <w:pPr>
      <w:shd w:val="clear" w:color="auto" w:fill="000080"/>
      <w:spacing w:after="0" w:line="240" w:lineRule="auto"/>
      <w:jc w:val="both"/>
    </w:pPr>
    <w:rPr>
      <w:rFonts w:ascii="Tahoma" w:eastAsia="Times New Roman" w:hAnsi="Tahoma" w:cs="Tahoma"/>
      <w:sz w:val="24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116681"/>
    <w:rPr>
      <w:rFonts w:ascii="Tahoma" w:eastAsia="Times New Roman" w:hAnsi="Tahoma" w:cs="Tahoma"/>
      <w:sz w:val="24"/>
      <w:szCs w:val="20"/>
      <w:shd w:val="clear" w:color="auto" w:fill="000080"/>
    </w:rPr>
  </w:style>
  <w:style w:type="character" w:styleId="FollowedHyperlink">
    <w:name w:val="FollowedHyperlink"/>
    <w:basedOn w:val="DefaultParagraphFont"/>
    <w:uiPriority w:val="99"/>
    <w:semiHidden/>
    <w:rsid w:val="00116681"/>
    <w:rPr>
      <w:color w:val="800080"/>
      <w:u w:val="none"/>
    </w:rPr>
  </w:style>
  <w:style w:type="paragraph" w:customStyle="1" w:styleId="GuideBullet">
    <w:name w:val="GuideBullet"/>
    <w:rsid w:val="00116681"/>
    <w:pPr>
      <w:numPr>
        <w:numId w:val="1"/>
      </w:numPr>
      <w:tabs>
        <w:tab w:val="left" w:pos="288"/>
      </w:tabs>
      <w:spacing w:after="40" w:line="240" w:lineRule="auto"/>
    </w:pPr>
    <w:rPr>
      <w:rFonts w:ascii="Times New Roman" w:eastAsia="Times New Roman" w:hAnsi="Times New Roman" w:cs="Times New Roman"/>
    </w:rPr>
  </w:style>
  <w:style w:type="paragraph" w:customStyle="1" w:styleId="GuideDash">
    <w:name w:val="GuideDash"/>
    <w:rsid w:val="00116681"/>
    <w:pPr>
      <w:numPr>
        <w:numId w:val="2"/>
      </w:numPr>
      <w:tabs>
        <w:tab w:val="left" w:pos="576"/>
      </w:tabs>
      <w:spacing w:after="4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uideText">
    <w:name w:val="GuideText"/>
    <w:rsid w:val="00116681"/>
    <w:pPr>
      <w:keepNext/>
      <w:keepLines/>
      <w:spacing w:after="40" w:line="240" w:lineRule="auto"/>
    </w:pPr>
    <w:rPr>
      <w:rFonts w:ascii="Times New Roman" w:eastAsia="Times New Roman" w:hAnsi="Times New Roman" w:cs="Times New Roman"/>
    </w:rPr>
  </w:style>
  <w:style w:type="paragraph" w:customStyle="1" w:styleId="BodyText11Indent">
    <w:name w:val="Body Text 11 Indent"/>
    <w:qFormat/>
    <w:rsid w:val="00116681"/>
    <w:pPr>
      <w:spacing w:after="180" w:line="240" w:lineRule="auto"/>
      <w:ind w:left="432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BodyText12Indent">
    <w:name w:val="Body Text 12 Indent"/>
    <w:qFormat/>
    <w:rsid w:val="00116681"/>
    <w:pPr>
      <w:spacing w:after="240" w:line="240" w:lineRule="auto"/>
      <w:ind w:left="43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ullet11-1">
    <w:name w:val="Bullet 11-1"/>
    <w:qFormat/>
    <w:rsid w:val="00116681"/>
    <w:pPr>
      <w:numPr>
        <w:numId w:val="3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Bullet11-2">
    <w:name w:val="Bullet 11-2"/>
    <w:qFormat/>
    <w:rsid w:val="00116681"/>
    <w:pPr>
      <w:numPr>
        <w:numId w:val="4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Bullet11-3">
    <w:name w:val="Bullet 11-3"/>
    <w:qFormat/>
    <w:rsid w:val="00116681"/>
    <w:pPr>
      <w:numPr>
        <w:numId w:val="5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Bullet11-4">
    <w:name w:val="Bullet 11-4"/>
    <w:qFormat/>
    <w:rsid w:val="00116681"/>
    <w:pPr>
      <w:numPr>
        <w:numId w:val="6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Bullet12-1">
    <w:name w:val="Bullet 12-1"/>
    <w:qFormat/>
    <w:rsid w:val="00116681"/>
    <w:pPr>
      <w:numPr>
        <w:numId w:val="7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ullet12-2">
    <w:name w:val="Bullet 12-2"/>
    <w:qFormat/>
    <w:rsid w:val="00116681"/>
    <w:pPr>
      <w:numPr>
        <w:numId w:val="8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ullet12-3">
    <w:name w:val="Bullet 12-3"/>
    <w:qFormat/>
    <w:rsid w:val="00116681"/>
    <w:pPr>
      <w:numPr>
        <w:numId w:val="21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ullet12-4">
    <w:name w:val="Bullet 12-4"/>
    <w:qFormat/>
    <w:rsid w:val="00116681"/>
    <w:pPr>
      <w:numPr>
        <w:numId w:val="18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0">
    <w:name w:val="Heading 0"/>
    <w:next w:val="BodyText12"/>
    <w:qFormat/>
    <w:rsid w:val="00116681"/>
    <w:pPr>
      <w:keepNext/>
      <w:keepLines/>
      <w:spacing w:before="240" w:after="120" w:line="240" w:lineRule="auto"/>
      <w:outlineLvl w:val="0"/>
    </w:pPr>
    <w:rPr>
      <w:rFonts w:ascii="Arial" w:eastAsia="Times New Roman" w:hAnsi="Arial" w:cs="Times New Roman"/>
      <w:b/>
      <w:caps/>
      <w:sz w:val="24"/>
      <w:szCs w:val="20"/>
    </w:rPr>
  </w:style>
  <w:style w:type="paragraph" w:customStyle="1" w:styleId="Numbered11-1">
    <w:name w:val="Numbered 11-1"/>
    <w:qFormat/>
    <w:rsid w:val="00116681"/>
    <w:pPr>
      <w:numPr>
        <w:numId w:val="10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Numbered11-2">
    <w:name w:val="Numbered 11-2"/>
    <w:qFormat/>
    <w:rsid w:val="00116681"/>
    <w:pPr>
      <w:numPr>
        <w:numId w:val="11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Numbered11-3">
    <w:name w:val="Numbered 11-3"/>
    <w:qFormat/>
    <w:rsid w:val="00116681"/>
    <w:pPr>
      <w:numPr>
        <w:numId w:val="12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Numbered11-4">
    <w:name w:val="Numbered 11-4"/>
    <w:qFormat/>
    <w:rsid w:val="00116681"/>
    <w:pPr>
      <w:numPr>
        <w:numId w:val="13"/>
      </w:num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Numbered12-1">
    <w:name w:val="Numbered 12-1"/>
    <w:qFormat/>
    <w:rsid w:val="00116681"/>
    <w:pPr>
      <w:numPr>
        <w:numId w:val="14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umbered12-2">
    <w:name w:val="Numbered 12-2"/>
    <w:qFormat/>
    <w:rsid w:val="00116681"/>
    <w:pPr>
      <w:numPr>
        <w:numId w:val="15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umbered12-3">
    <w:name w:val="Numbered 12-3"/>
    <w:qFormat/>
    <w:rsid w:val="00116681"/>
    <w:pPr>
      <w:numPr>
        <w:numId w:val="16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umbered12-4">
    <w:name w:val="Numbered 12-4"/>
    <w:qFormat/>
    <w:rsid w:val="00116681"/>
    <w:pPr>
      <w:numPr>
        <w:numId w:val="17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ubheadingBold11">
    <w:name w:val="Subheading Bold 11"/>
    <w:next w:val="BodyText11"/>
    <w:qFormat/>
    <w:rsid w:val="00116681"/>
    <w:pPr>
      <w:keepNext/>
      <w:keepLines/>
      <w:spacing w:before="240" w:after="12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SubheadingBold12">
    <w:name w:val="Subheading Bold 12"/>
    <w:next w:val="BodyText12"/>
    <w:qFormat/>
    <w:rsid w:val="00116681"/>
    <w:pPr>
      <w:keepNext/>
      <w:keepLines/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ubheadingBoldItalics11">
    <w:name w:val="Subheading Bold Italics 11"/>
    <w:next w:val="BodyText11"/>
    <w:qFormat/>
    <w:rsid w:val="00116681"/>
    <w:pPr>
      <w:keepNext/>
      <w:keepLines/>
      <w:spacing w:before="240" w:after="120" w:line="240" w:lineRule="auto"/>
    </w:pPr>
    <w:rPr>
      <w:rFonts w:ascii="Times New Roman" w:eastAsia="Times New Roman" w:hAnsi="Times New Roman" w:cs="Times New Roman"/>
      <w:b/>
      <w:i/>
      <w:szCs w:val="20"/>
    </w:rPr>
  </w:style>
  <w:style w:type="paragraph" w:customStyle="1" w:styleId="SubheadingBoldItalics12">
    <w:name w:val="Subheading Bold Italics 12"/>
    <w:next w:val="BodyText12"/>
    <w:qFormat/>
    <w:rsid w:val="00116681"/>
    <w:pPr>
      <w:keepNext/>
      <w:keepLines/>
      <w:spacing w:before="24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TableFootnote">
    <w:name w:val="Table Footnote"/>
    <w:qFormat/>
    <w:rsid w:val="00116681"/>
    <w:pPr>
      <w:tabs>
        <w:tab w:val="left" w:pos="288"/>
      </w:tabs>
      <w:spacing w:after="0" w:line="240" w:lineRule="auto"/>
      <w:ind w:left="288" w:hanging="288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1166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next w:val="Basic11"/>
    <w:uiPriority w:val="99"/>
    <w:unhideWhenUsed/>
    <w:rsid w:val="00116681"/>
    <w:pPr>
      <w:tabs>
        <w:tab w:val="left" w:pos="1008"/>
        <w:tab w:val="right" w:leader="dot" w:pos="9360"/>
      </w:tabs>
      <w:spacing w:after="0" w:line="240" w:lineRule="auto"/>
      <w:ind w:left="1008" w:right="720" w:hanging="1008"/>
    </w:pPr>
    <w:rPr>
      <w:rFonts w:ascii="Arial" w:eastAsia="Times New Roman" w:hAnsi="Arial" w:cs="Times New Roman"/>
      <w:sz w:val="20"/>
      <w:szCs w:val="20"/>
    </w:rPr>
  </w:style>
  <w:style w:type="paragraph" w:customStyle="1" w:styleId="MarkforTOC">
    <w:name w:val="Mark for TOC"/>
    <w:next w:val="Basic11"/>
    <w:rsid w:val="00116681"/>
    <w:pPr>
      <w:keepNext/>
      <w:spacing w:before="60" w:after="60" w:line="240" w:lineRule="auto"/>
      <w:ind w:left="1440" w:hanging="1440"/>
    </w:pPr>
    <w:rPr>
      <w:rFonts w:ascii="Arial" w:eastAsia="Times New Roman" w:hAnsi="Arial" w:cs="Times New Roman"/>
      <w:b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16681"/>
    <w:rPr>
      <w:color w:val="808080"/>
    </w:rPr>
  </w:style>
  <w:style w:type="table" w:styleId="TableGrid1">
    <w:name w:val="Table Grid 1"/>
    <w:basedOn w:val="TableNormal"/>
    <w:semiHidden/>
    <w:rsid w:val="001166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1166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1166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1166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1166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1166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116681"/>
    <w:pPr>
      <w:spacing w:after="0" w:line="240" w:lineRule="auto"/>
    </w:pPr>
    <w:rPr>
      <w:rFonts w:ascii="Times New Roman" w:eastAsia="SimSu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Reference">
    <w:name w:val="Reference"/>
    <w:qFormat/>
    <w:rsid w:val="00116681"/>
    <w:pPr>
      <w:keepLines/>
      <w:numPr>
        <w:numId w:val="19"/>
      </w:num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BulletsAgency">
    <w:name w:val="Bullets (Agency)"/>
    <w:basedOn w:val="NoList"/>
    <w:rsid w:val="00116681"/>
    <w:pPr>
      <w:numPr>
        <w:numId w:val="20"/>
      </w:numPr>
    </w:pPr>
  </w:style>
  <w:style w:type="paragraph" w:customStyle="1" w:styleId="DocsubtitleAgency">
    <w:name w:val="Doc subtitle (Agency)"/>
    <w:basedOn w:val="Normal"/>
    <w:next w:val="Normal"/>
    <w:semiHidden/>
    <w:qFormat/>
    <w:rsid w:val="00116681"/>
    <w:pPr>
      <w:spacing w:after="640" w:line="360" w:lineRule="atLeast"/>
    </w:pPr>
    <w:rPr>
      <w:rFonts w:ascii="Verdana" w:eastAsia="Verdana" w:hAnsi="Verdana" w:cs="Verdana"/>
      <w:sz w:val="24"/>
      <w:szCs w:val="24"/>
      <w:lang w:val="en-GB" w:eastAsia="en-GB"/>
    </w:rPr>
  </w:style>
  <w:style w:type="paragraph" w:customStyle="1" w:styleId="DoctitleAgency">
    <w:name w:val="Doc title (Agency)"/>
    <w:basedOn w:val="Normal"/>
    <w:next w:val="DocsubtitleAgency"/>
    <w:semiHidden/>
    <w:qFormat/>
    <w:rsid w:val="00116681"/>
    <w:pPr>
      <w:spacing w:before="720" w:after="0" w:line="360" w:lineRule="atLeast"/>
    </w:pPr>
    <w:rPr>
      <w:rFonts w:ascii="Verdana" w:eastAsia="Verdana" w:hAnsi="Verdana" w:cs="Verdana"/>
      <w:color w:val="003399"/>
      <w:sz w:val="32"/>
      <w:szCs w:val="32"/>
      <w:lang w:val="en-GB" w:eastAsia="en-GB"/>
    </w:rPr>
  </w:style>
  <w:style w:type="paragraph" w:customStyle="1" w:styleId="TableheadingrowsAgency">
    <w:name w:val="Table heading rows (Agency)"/>
    <w:basedOn w:val="Normal"/>
    <w:semiHidden/>
    <w:rsid w:val="00116681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668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116681"/>
    <w:pPr>
      <w:spacing w:after="0" w:line="240" w:lineRule="auto"/>
    </w:pPr>
  </w:style>
  <w:style w:type="paragraph" w:styleId="BodyText">
    <w:name w:val="Body Text"/>
    <w:basedOn w:val="Normal"/>
    <w:link w:val="BodyTextChar"/>
    <w:semiHidden/>
    <w:rsid w:val="00116681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16681"/>
    <w:rPr>
      <w:rFonts w:ascii="Times New Roman" w:eastAsia="Times New Roman" w:hAnsi="Times New Roman" w:cs="Times New Roman"/>
      <w:sz w:val="24"/>
      <w:szCs w:val="20"/>
    </w:rPr>
  </w:style>
  <w:style w:type="paragraph" w:customStyle="1" w:styleId="TEFootnote">
    <w:name w:val="T&amp;E Footnote"/>
    <w:qFormat/>
    <w:rsid w:val="00116681"/>
    <w:pPr>
      <w:numPr>
        <w:numId w:val="3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116681"/>
    <w:rPr>
      <w:i/>
      <w:iCs/>
    </w:rPr>
  </w:style>
  <w:style w:type="character" w:customStyle="1" w:styleId="normaltextrun">
    <w:name w:val="normaltextrun"/>
    <w:basedOn w:val="DefaultParagraphFont"/>
    <w:rsid w:val="00116681"/>
  </w:style>
  <w:style w:type="character" w:customStyle="1" w:styleId="eop">
    <w:name w:val="eop"/>
    <w:basedOn w:val="DefaultParagraphFont"/>
    <w:rsid w:val="00116681"/>
  </w:style>
  <w:style w:type="paragraph" w:customStyle="1" w:styleId="paragraph">
    <w:name w:val="paragraph"/>
    <w:basedOn w:val="Normal"/>
    <w:rsid w:val="0011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116681"/>
  </w:style>
  <w:style w:type="character" w:styleId="EndnoteReference">
    <w:name w:val="endnote reference"/>
    <w:basedOn w:val="DefaultParagraphFont"/>
    <w:uiPriority w:val="99"/>
    <w:semiHidden/>
    <w:unhideWhenUsed/>
    <w:rsid w:val="00116681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6681"/>
  </w:style>
  <w:style w:type="paragraph" w:styleId="EndnoteText">
    <w:name w:val="endnote text"/>
    <w:basedOn w:val="Normal"/>
    <w:link w:val="EndnoteTextChar"/>
    <w:uiPriority w:val="99"/>
    <w:semiHidden/>
    <w:unhideWhenUsed/>
    <w:rsid w:val="00116681"/>
    <w:pPr>
      <w:spacing w:after="0" w:line="240" w:lineRule="auto"/>
    </w:pPr>
  </w:style>
  <w:style w:type="character" w:customStyle="1" w:styleId="EndnoteTextChar1">
    <w:name w:val="Endnote Text Char1"/>
    <w:basedOn w:val="DefaultParagraphFont"/>
    <w:semiHidden/>
    <w:rsid w:val="00116681"/>
    <w:rPr>
      <w:sz w:val="20"/>
      <w:szCs w:val="20"/>
    </w:rPr>
  </w:style>
  <w:style w:type="paragraph" w:customStyle="1" w:styleId="msonormal0">
    <w:name w:val="msonormal"/>
    <w:basedOn w:val="Normal"/>
    <w:rsid w:val="0011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11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11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116681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116681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116681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11668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11668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11668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116681"/>
    <w:pPr>
      <w:pBdr>
        <w:top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1166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116681"/>
    <w:pPr>
      <w:pBdr>
        <w:top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116681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116681"/>
    <w:pPr>
      <w:pBdr>
        <w:bottom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116681"/>
    <w:pPr>
      <w:pBdr>
        <w:bottom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116681"/>
    <w:pPr>
      <w:pBdr>
        <w:bottom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116681"/>
    <w:pPr>
      <w:pBdr>
        <w:top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1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16681"/>
    <w:rPr>
      <w:color w:val="808080"/>
      <w:shd w:val="clear" w:color="auto" w:fill="E6E6E6"/>
    </w:rPr>
  </w:style>
  <w:style w:type="character" w:customStyle="1" w:styleId="jq-shorten">
    <w:name w:val="jq-shorten"/>
    <w:basedOn w:val="DefaultParagraphFont"/>
    <w:rsid w:val="00116681"/>
  </w:style>
  <w:style w:type="numbering" w:customStyle="1" w:styleId="NoList1">
    <w:name w:val="No List1"/>
    <w:next w:val="NoList"/>
    <w:uiPriority w:val="99"/>
    <w:semiHidden/>
    <w:unhideWhenUsed/>
    <w:rsid w:val="00116681"/>
  </w:style>
  <w:style w:type="character" w:styleId="Strong">
    <w:name w:val="Strong"/>
    <w:basedOn w:val="DefaultParagraphFont"/>
    <w:uiPriority w:val="22"/>
    <w:qFormat/>
    <w:rsid w:val="00116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11869</Words>
  <Characters>67655</Characters>
  <Application>Microsoft Office Word</Application>
  <DocSecurity>0</DocSecurity>
  <Lines>563</Lines>
  <Paragraphs>158</Paragraphs>
  <ScaleCrop>false</ScaleCrop>
  <Company/>
  <LinksUpToDate>false</LinksUpToDate>
  <CharactersWithSpaces>79366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2020-01-20T15:52:00Z</dcterms:created>
  <dcterms:modified xsi:type="dcterms:W3CDTF">2020-01-20T15:52:00Z</dcterms:modified>
</cp:coreProperties>
</file>