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4F5C" w14:textId="77777777" w:rsidR="00F949F9" w:rsidRDefault="00834EBF" w:rsidP="00F949F9">
      <w:pPr>
        <w:pStyle w:val="Heading2"/>
        <w:rPr>
          <w:rFonts w:ascii="Times New Roman" w:eastAsia="SimSun" w:hAnsi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/>
          <w:b/>
          <w:color w:val="auto"/>
          <w:sz w:val="24"/>
          <w:szCs w:val="24"/>
        </w:rPr>
        <w:t>Supplemental</w:t>
      </w:r>
    </w:p>
    <w:p w14:paraId="153163E7" w14:textId="77777777" w:rsidR="00752E2B" w:rsidRPr="00036ACB" w:rsidRDefault="00752E2B" w:rsidP="00752E2B">
      <w:pPr>
        <w:pStyle w:val="Caption"/>
        <w:rPr>
          <w:rFonts w:eastAsia="SimSun"/>
          <w:i w:val="0"/>
          <w:iCs w:val="0"/>
          <w:color w:val="auto"/>
          <w:sz w:val="24"/>
          <w:szCs w:val="24"/>
          <w:vertAlign w:val="superscript"/>
        </w:rPr>
      </w:pPr>
      <w:r>
        <w:rPr>
          <w:rFonts w:eastAsia="SimSun"/>
          <w:i w:val="0"/>
          <w:iCs w:val="0"/>
          <w:color w:val="auto"/>
          <w:sz w:val="24"/>
          <w:szCs w:val="24"/>
        </w:rPr>
        <w:t>Supplemental Table 1</w:t>
      </w:r>
      <w:r w:rsidRPr="00560213">
        <w:rPr>
          <w:rFonts w:eastAsia="SimSun"/>
          <w:i w:val="0"/>
          <w:iCs w:val="0"/>
          <w:color w:val="auto"/>
          <w:sz w:val="24"/>
          <w:szCs w:val="24"/>
        </w:rPr>
        <w:t xml:space="preserve">. </w:t>
      </w:r>
      <w:r>
        <w:rPr>
          <w:rFonts w:eastAsia="SimSun"/>
          <w:i w:val="0"/>
          <w:iCs w:val="0"/>
          <w:color w:val="auto"/>
          <w:sz w:val="24"/>
          <w:szCs w:val="24"/>
        </w:rPr>
        <w:t>Key Utility Estimates</w:t>
      </w:r>
      <w:r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9"/>
        <w:gridCol w:w="1421"/>
        <w:gridCol w:w="1080"/>
        <w:gridCol w:w="1890"/>
        <w:gridCol w:w="5850"/>
      </w:tblGrid>
      <w:tr w:rsidR="00752E2B" w:rsidRPr="00560213" w14:paraId="65D754AE" w14:textId="77777777" w:rsidTr="007F1FE8">
        <w:trPr>
          <w:cantSplit/>
          <w:trHeight w:val="300"/>
        </w:trPr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2427A" w14:textId="77777777" w:rsidR="00752E2B" w:rsidRPr="00560213" w:rsidRDefault="00752E2B" w:rsidP="007F1FE8">
            <w:pPr>
              <w:spacing w:before="0" w:after="0" w:line="240" w:lineRule="auto"/>
              <w:rPr>
                <w:bCs/>
              </w:rPr>
            </w:pPr>
            <w:r w:rsidRPr="00560213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D0694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247CF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9CDB5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555BF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52E2B" w:rsidRPr="00560213" w14:paraId="1B4C6C7B" w14:textId="77777777" w:rsidTr="007F1FE8">
        <w:trPr>
          <w:cantSplit/>
          <w:trHeight w:val="86"/>
        </w:trPr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7E51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29A81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E1FBB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40CBE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9BD9F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752E2B" w:rsidRPr="00560213" w14:paraId="3EB80D4B" w14:textId="77777777" w:rsidTr="007F1FE8">
        <w:trPr>
          <w:cantSplit/>
          <w:trHeight w:val="300"/>
        </w:trPr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5DEA7DED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Bleed Utilities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07EDE5BC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4C9321B5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4380F060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602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449261A0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6EEF98CC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CBBD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Pettersson Score ≤ 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F52A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2E7D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5045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3F41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64B963B3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B16F" w14:textId="77777777" w:rsidR="00752E2B" w:rsidRPr="00560213" w:rsidRDefault="00752E2B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4DBBF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F01EF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F59B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 2016 [42]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159A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2CC6B110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B10E" w14:textId="77777777" w:rsidR="00752E2B" w:rsidRPr="00560213" w:rsidRDefault="00752E2B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F368F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CE8EF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02A0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Neufeld 2012 [43]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79E2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4E6DC404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841C" w14:textId="77777777" w:rsidR="00752E2B" w:rsidRPr="00560213" w:rsidRDefault="00752E2B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00316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31F75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BBBF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Mazza 2016 [44]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6C20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Mazza reports a </w:t>
            </w:r>
            <w:r w:rsidRPr="000D1F7C">
              <w:rPr>
                <w:sz w:val="20"/>
                <w:szCs w:val="20"/>
              </w:rPr>
              <w:t>0.12 decrement for joint bleeds; applied to non-joint bleed utility</w:t>
            </w:r>
          </w:p>
        </w:tc>
      </w:tr>
      <w:tr w:rsidR="00752E2B" w:rsidRPr="00560213" w14:paraId="70128C30" w14:textId="77777777" w:rsidTr="007F1FE8">
        <w:trPr>
          <w:cantSplit/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5B6BA" w14:textId="77777777" w:rsidR="00752E2B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Pettersson Score &gt; 12 and ≤ 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FF648" w14:textId="77777777" w:rsidR="00752E2B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7F38A" w14:textId="77777777" w:rsidR="00752E2B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69E46" w14:textId="77777777" w:rsidR="00752E2B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419634E1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90673" w14:textId="77777777" w:rsidR="00752E2B" w:rsidRPr="00560213" w:rsidRDefault="00752E2B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93648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42D16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2A964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 2016 [42]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939AB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97D93" w:rsidRPr="00560213" w14:paraId="02DACA7A" w14:textId="77777777" w:rsidTr="00C05892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77AD3" w14:textId="77777777" w:rsidR="00B97D93" w:rsidRPr="00560213" w:rsidRDefault="00B97D93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FB763" w14:textId="77777777" w:rsidR="00B97D93" w:rsidRPr="00560213" w:rsidRDefault="00B97D93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B166D" w14:textId="77777777" w:rsidR="00B97D93" w:rsidRPr="00560213" w:rsidRDefault="00B97D93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815B0" w14:textId="77777777" w:rsidR="00B97D93" w:rsidRPr="00560213" w:rsidRDefault="00B97D93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A4BC5C" w14:textId="77777777" w:rsidR="00B97D93" w:rsidRPr="00C2760F" w:rsidRDefault="00B97D93" w:rsidP="00307A05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  <w:r w:rsidRPr="00B97D93">
              <w:rPr>
                <w:sz w:val="20"/>
                <w:szCs w:val="20"/>
              </w:rPr>
              <w:t xml:space="preserve">Applied a percent change decrement associated with </w:t>
            </w:r>
            <w:r>
              <w:rPr>
                <w:sz w:val="20"/>
                <w:szCs w:val="20"/>
              </w:rPr>
              <w:t>progressing</w:t>
            </w:r>
            <w:r w:rsidRPr="00B97D93">
              <w:rPr>
                <w:sz w:val="20"/>
                <w:szCs w:val="20"/>
              </w:rPr>
              <w:t xml:space="preserve"> joint damage; calculated percent difference </w:t>
            </w:r>
            <w:r w:rsidR="00307A05">
              <w:rPr>
                <w:sz w:val="20"/>
                <w:szCs w:val="20"/>
              </w:rPr>
              <w:t>between</w:t>
            </w:r>
            <w:r w:rsidRPr="00B97D93">
              <w:rPr>
                <w:sz w:val="20"/>
                <w:szCs w:val="20"/>
              </w:rPr>
              <w:t xml:space="preserve"> “No bleed” state with a PS≤12 and “No bleed” state </w:t>
            </w:r>
            <w:r>
              <w:rPr>
                <w:sz w:val="20"/>
                <w:szCs w:val="20"/>
              </w:rPr>
              <w:t>PS</w:t>
            </w:r>
            <w:r w:rsidRPr="00B97D93">
              <w:rPr>
                <w:sz w:val="20"/>
                <w:szCs w:val="20"/>
              </w:rPr>
              <w:t>&gt;12 and ≤21</w:t>
            </w:r>
          </w:p>
        </w:tc>
      </w:tr>
      <w:tr w:rsidR="00B97D93" w:rsidRPr="00560213" w14:paraId="6B245811" w14:textId="77777777" w:rsidTr="00C05892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64E83" w14:textId="77777777" w:rsidR="00B97D93" w:rsidRPr="00560213" w:rsidRDefault="00B97D93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C72B" w14:textId="77777777" w:rsidR="00B97D93" w:rsidRPr="00560213" w:rsidRDefault="00B97D93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B835A" w14:textId="77777777" w:rsidR="00B97D93" w:rsidRPr="00560213" w:rsidRDefault="00B97D93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AFF85" w14:textId="77777777" w:rsidR="00B97D93" w:rsidRPr="00560213" w:rsidRDefault="00B97D93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99537A" w14:textId="77777777" w:rsidR="00B97D93" w:rsidRPr="00C2760F" w:rsidRDefault="00B97D93" w:rsidP="007F1FE8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752E2B" w:rsidRPr="00560213" w14:paraId="0F9C8871" w14:textId="77777777" w:rsidTr="007F1FE8">
        <w:trPr>
          <w:cantSplit/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381D4" w14:textId="77777777" w:rsidR="00752E2B" w:rsidRPr="00560213" w:rsidRDefault="00752E2B" w:rsidP="007F1FE8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Pettersson Score &gt; 21 and ≤ 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89361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AE9B3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43C5C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52E2B" w:rsidRPr="00560213" w14:paraId="47FC861F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B0390" w14:textId="77777777" w:rsidR="00752E2B" w:rsidRPr="00560213" w:rsidRDefault="00752E2B" w:rsidP="007F1FE8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45ABE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A040B" w14:textId="77777777" w:rsidR="00752E2B" w:rsidRPr="00560213" w:rsidRDefault="00752E2B" w:rsidP="007F1FE8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9DC62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 2016 [42]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872E4" w14:textId="77777777" w:rsidR="00752E2B" w:rsidRPr="00560213" w:rsidRDefault="00752E2B" w:rsidP="007F1FE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97D93" w:rsidRPr="00560213" w14:paraId="7AE1212D" w14:textId="77777777" w:rsidTr="00C82DDE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21F50" w14:textId="77777777" w:rsidR="00B97D93" w:rsidRPr="00560213" w:rsidRDefault="00B97D93" w:rsidP="00B97D93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827E9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00C68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8C7E0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98AAE7" w14:textId="77777777" w:rsidR="00B97D93" w:rsidRPr="00C2760F" w:rsidRDefault="00B97D93" w:rsidP="00307A05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  <w:r w:rsidRPr="00B97D93">
              <w:rPr>
                <w:sz w:val="20"/>
                <w:szCs w:val="20"/>
              </w:rPr>
              <w:t xml:space="preserve">Applied a percent change decrement associated with </w:t>
            </w:r>
            <w:r>
              <w:rPr>
                <w:sz w:val="20"/>
                <w:szCs w:val="20"/>
              </w:rPr>
              <w:t>progressing</w:t>
            </w:r>
            <w:r w:rsidRPr="00B97D93">
              <w:rPr>
                <w:sz w:val="20"/>
                <w:szCs w:val="20"/>
              </w:rPr>
              <w:t xml:space="preserve"> joint damage; calculated percent difference </w:t>
            </w:r>
            <w:r w:rsidR="00307A05">
              <w:rPr>
                <w:sz w:val="20"/>
                <w:szCs w:val="20"/>
              </w:rPr>
              <w:t>between</w:t>
            </w:r>
            <w:r w:rsidRPr="00B97D93">
              <w:rPr>
                <w:sz w:val="20"/>
                <w:szCs w:val="20"/>
              </w:rPr>
              <w:t xml:space="preserve"> “No bleed” state with a </w:t>
            </w:r>
            <w:r>
              <w:rPr>
                <w:sz w:val="20"/>
                <w:szCs w:val="20"/>
              </w:rPr>
              <w:t>PS</w:t>
            </w:r>
            <w:r w:rsidRPr="00B97D93">
              <w:rPr>
                <w:sz w:val="20"/>
                <w:szCs w:val="20"/>
              </w:rPr>
              <w:t>&gt;12 and ≤21</w:t>
            </w:r>
            <w:r w:rsidR="00307A05">
              <w:rPr>
                <w:sz w:val="20"/>
                <w:szCs w:val="20"/>
              </w:rPr>
              <w:t xml:space="preserve"> </w:t>
            </w:r>
            <w:r w:rsidRPr="00B97D93">
              <w:rPr>
                <w:sz w:val="20"/>
                <w:szCs w:val="20"/>
              </w:rPr>
              <w:t xml:space="preserve">and “No bleed” state </w:t>
            </w:r>
            <w:r>
              <w:rPr>
                <w:sz w:val="20"/>
                <w:szCs w:val="20"/>
              </w:rPr>
              <w:t>PS</w:t>
            </w:r>
            <w:r w:rsidRPr="00B97D93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21</w:t>
            </w:r>
            <w:r w:rsidRPr="00B97D93">
              <w:rPr>
                <w:sz w:val="20"/>
                <w:szCs w:val="20"/>
              </w:rPr>
              <w:t xml:space="preserve"> and ≤</w:t>
            </w:r>
            <w:r>
              <w:rPr>
                <w:sz w:val="20"/>
                <w:szCs w:val="20"/>
              </w:rPr>
              <w:t>39</w:t>
            </w:r>
          </w:p>
        </w:tc>
      </w:tr>
      <w:tr w:rsidR="00B97D93" w:rsidRPr="00560213" w14:paraId="1F34C845" w14:textId="77777777" w:rsidTr="00C82DDE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2C392" w14:textId="77777777" w:rsidR="00B97D93" w:rsidRPr="00560213" w:rsidRDefault="00B97D93" w:rsidP="00B97D93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57435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E9A0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A66D5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DB7CCB3" w14:textId="77777777" w:rsidR="00B97D93" w:rsidRPr="00C2760F" w:rsidRDefault="00B97D93" w:rsidP="00B97D93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97D93" w:rsidRPr="00560213" w14:paraId="266EDB47" w14:textId="77777777" w:rsidTr="007F1FE8">
        <w:trPr>
          <w:cantSplit/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3BF5B" w14:textId="77777777" w:rsidR="00B97D9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Pettersson Score &gt; 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0DA0E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A1651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6E2FC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97D93" w:rsidRPr="00560213" w14:paraId="68B270B6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F04D8" w14:textId="77777777" w:rsidR="00B97D93" w:rsidRPr="00560213" w:rsidRDefault="00B97D93" w:rsidP="00B97D93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981F9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C0D70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C75AD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 2016 [42]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B4E95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97D93" w:rsidRPr="00560213" w14:paraId="7EC7CD87" w14:textId="77777777" w:rsidTr="00641B09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AD401" w14:textId="77777777" w:rsidR="00B97D93" w:rsidRPr="00560213" w:rsidRDefault="00B97D93" w:rsidP="00B97D93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3F4B1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F0B55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29E6A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73F696" w14:textId="77777777" w:rsidR="00B97D93" w:rsidRPr="00C2760F" w:rsidRDefault="00B97D93" w:rsidP="00307A05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  <w:r w:rsidRPr="00B97D93">
              <w:rPr>
                <w:sz w:val="20"/>
                <w:szCs w:val="20"/>
              </w:rPr>
              <w:t xml:space="preserve">Applied a percent change decrement associated with </w:t>
            </w:r>
            <w:r>
              <w:rPr>
                <w:sz w:val="20"/>
                <w:szCs w:val="20"/>
              </w:rPr>
              <w:t>progressing</w:t>
            </w:r>
            <w:r w:rsidRPr="00B97D93">
              <w:rPr>
                <w:sz w:val="20"/>
                <w:szCs w:val="20"/>
              </w:rPr>
              <w:t xml:space="preserve"> joint damage; calculated percent difference </w:t>
            </w:r>
            <w:r w:rsidR="00307A05">
              <w:rPr>
                <w:sz w:val="20"/>
                <w:szCs w:val="20"/>
              </w:rPr>
              <w:t>between</w:t>
            </w:r>
            <w:r w:rsidRPr="00B97D93">
              <w:rPr>
                <w:sz w:val="20"/>
                <w:szCs w:val="20"/>
              </w:rPr>
              <w:t xml:space="preserve"> “No bleed” state with a </w:t>
            </w:r>
            <w:r>
              <w:rPr>
                <w:sz w:val="20"/>
                <w:szCs w:val="20"/>
              </w:rPr>
              <w:t>PS</w:t>
            </w:r>
            <w:r w:rsidRPr="00B97D93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21</w:t>
            </w:r>
            <w:r w:rsidRPr="00B97D93">
              <w:rPr>
                <w:sz w:val="20"/>
                <w:szCs w:val="20"/>
              </w:rPr>
              <w:t xml:space="preserve"> and ≤</w:t>
            </w:r>
            <w:r>
              <w:rPr>
                <w:sz w:val="20"/>
                <w:szCs w:val="20"/>
              </w:rPr>
              <w:t>39</w:t>
            </w:r>
            <w:r w:rsidR="00307A05">
              <w:rPr>
                <w:sz w:val="20"/>
                <w:szCs w:val="20"/>
              </w:rPr>
              <w:t xml:space="preserve"> </w:t>
            </w:r>
            <w:r w:rsidRPr="00B97D93">
              <w:rPr>
                <w:sz w:val="20"/>
                <w:szCs w:val="20"/>
              </w:rPr>
              <w:t xml:space="preserve">and “No bleed” state </w:t>
            </w:r>
            <w:r>
              <w:rPr>
                <w:sz w:val="20"/>
                <w:szCs w:val="20"/>
              </w:rPr>
              <w:t>PS</w:t>
            </w:r>
            <w:r w:rsidRPr="00B97D93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39</w:t>
            </w:r>
          </w:p>
        </w:tc>
      </w:tr>
      <w:tr w:rsidR="00B97D93" w:rsidRPr="00560213" w14:paraId="092DA60B" w14:textId="77777777" w:rsidTr="00641B09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4B512" w14:textId="77777777" w:rsidR="00B97D93" w:rsidRPr="00560213" w:rsidRDefault="00B97D93" w:rsidP="00B97D93">
            <w:pPr>
              <w:spacing w:before="0" w:after="0"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bleed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34549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5E1E0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73ED8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5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B2B098" w14:textId="77777777" w:rsidR="00B97D93" w:rsidRPr="00C2760F" w:rsidRDefault="00B97D93" w:rsidP="00B97D93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97D93" w:rsidRPr="00560213" w14:paraId="06A26DD5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</w:tcPr>
          <w:p w14:paraId="374799E9" w14:textId="77777777" w:rsidR="00B97D93" w:rsidRPr="00560213" w:rsidRDefault="00B97D93" w:rsidP="00B97D93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Utility Decrements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50E85609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7C3981AA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45305443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</w:tcPr>
          <w:p w14:paraId="6A1D71C4" w14:textId="77777777" w:rsidR="00B97D93" w:rsidRPr="00560213" w:rsidRDefault="00B97D93" w:rsidP="00B97D93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97D93" w:rsidRPr="00560213" w14:paraId="1E566157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C4100" w14:textId="77777777" w:rsidR="00B97D93" w:rsidRPr="00560213" w:rsidRDefault="00B97D93" w:rsidP="00B97D93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FVIII infusion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64E75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infusion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C8D7C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−0.0004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CA39D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Matza 2015 [45]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DA882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per discounted infusion of FVIII </w:t>
            </w:r>
          </w:p>
        </w:tc>
      </w:tr>
      <w:tr w:rsidR="00B97D93" w:rsidRPr="00560213" w14:paraId="21EC581E" w14:textId="77777777" w:rsidTr="007F1FE8">
        <w:trPr>
          <w:cantSplit/>
          <w:trHeight w:val="300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E0FF79" w14:textId="77777777" w:rsidR="00B97D93" w:rsidRPr="00560213" w:rsidRDefault="00B97D93" w:rsidP="00B97D93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Joint replacement surgery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5BFFD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utility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9330A4" w14:textId="77777777" w:rsidR="00B97D93" w:rsidRPr="00560213" w:rsidRDefault="00B97D93" w:rsidP="00B97D93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−0.39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DD459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Ballal 2008 [46]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85330" w14:textId="77777777" w:rsidR="00B97D93" w:rsidRPr="00560213" w:rsidRDefault="00B97D93" w:rsidP="00B97D9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02FD3E29" w14:textId="77777777" w:rsidR="00752E2B" w:rsidRPr="007D17D4" w:rsidRDefault="00752E2B" w:rsidP="00752E2B">
      <w:pPr>
        <w:pStyle w:val="FootnoteText"/>
        <w:rPr>
          <w:color w:val="auto"/>
        </w:rPr>
      </w:pPr>
      <w:r>
        <w:rPr>
          <w:color w:val="auto"/>
          <w:vertAlign w:val="superscript"/>
        </w:rPr>
        <w:t>a</w:t>
      </w:r>
      <w:r w:rsidRPr="007D17D4">
        <w:rPr>
          <w:color w:val="auto"/>
        </w:rPr>
        <w:t xml:space="preserve">All </w:t>
      </w:r>
      <w:r>
        <w:rPr>
          <w:color w:val="auto"/>
        </w:rPr>
        <w:t>utilities are assumed to be equal between both treatment arms.</w:t>
      </w:r>
    </w:p>
    <w:p w14:paraId="48465468" w14:textId="77777777" w:rsidR="00752E2B" w:rsidRDefault="00752E2B" w:rsidP="00752E2B">
      <w:pPr>
        <w:rPr>
          <w:rFonts w:eastAsia="SimSun"/>
        </w:rPr>
        <w:sectPr w:rsidR="00752E2B" w:rsidSect="004C4A79">
          <w:footerReference w:type="default" r:id="rId6"/>
          <w:pgSz w:w="15840" w:h="12240" w:orient="landscape"/>
          <w:pgMar w:top="1440" w:right="1440" w:bottom="1440" w:left="1440" w:header="720" w:footer="979" w:gutter="0"/>
          <w:cols w:space="720"/>
          <w:docGrid w:linePitch="299"/>
        </w:sectPr>
      </w:pPr>
    </w:p>
    <w:p w14:paraId="4D20E563" w14:textId="77777777" w:rsidR="00F949F9" w:rsidRDefault="00F949F9" w:rsidP="00F949F9">
      <w:pPr>
        <w:pStyle w:val="Caption"/>
        <w:rPr>
          <w:rFonts w:eastAsia="SimSun"/>
          <w:i w:val="0"/>
          <w:iCs w:val="0"/>
          <w:color w:val="auto"/>
          <w:sz w:val="24"/>
          <w:szCs w:val="24"/>
        </w:rPr>
      </w:pPr>
      <w:r>
        <w:rPr>
          <w:rFonts w:eastAsia="SimSun"/>
          <w:i w:val="0"/>
          <w:iCs w:val="0"/>
          <w:color w:val="auto"/>
          <w:sz w:val="24"/>
          <w:szCs w:val="24"/>
        </w:rPr>
        <w:lastRenderedPageBreak/>
        <w:t xml:space="preserve">Supplemental Table </w:t>
      </w:r>
      <w:r w:rsidR="00752E2B">
        <w:rPr>
          <w:rFonts w:eastAsia="SimSun"/>
          <w:i w:val="0"/>
          <w:iCs w:val="0"/>
          <w:color w:val="auto"/>
          <w:sz w:val="24"/>
          <w:szCs w:val="24"/>
        </w:rPr>
        <w:t>2</w:t>
      </w:r>
      <w:r>
        <w:rPr>
          <w:rFonts w:eastAsia="SimSun"/>
          <w:i w:val="0"/>
          <w:iCs w:val="0"/>
          <w:color w:val="auto"/>
          <w:sz w:val="24"/>
          <w:szCs w:val="24"/>
        </w:rPr>
        <w:t>. 10-Year Model Horizon Results</w:t>
      </w:r>
      <w:r w:rsidR="00417B5B" w:rsidRPr="00417B5B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a</w:t>
      </w:r>
      <w:r w:rsidR="00F25BA3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,</w:t>
      </w:r>
      <w:r w:rsidR="00CD4B06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2160"/>
      </w:tblGrid>
      <w:tr w:rsidR="00F949F9" w14:paraId="27475990" w14:textId="77777777" w:rsidTr="00F949F9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CDC03" w14:textId="77777777" w:rsidR="00F949F9" w:rsidRDefault="00F949F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6118C9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00AB9E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Prophylaxis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C499A7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 vs Prophylaxis</w:t>
            </w:r>
          </w:p>
        </w:tc>
      </w:tr>
      <w:tr w:rsidR="00F949F9" w14:paraId="182E9A21" w14:textId="77777777" w:rsidTr="00F949F9">
        <w:trPr>
          <w:trHeight w:val="10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439E22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1680B9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53B83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8BF45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F949F9" w14:paraId="6B32A2C2" w14:textId="77777777" w:rsidTr="00F949F9">
        <w:trPr>
          <w:trHeight w:val="302"/>
        </w:trPr>
        <w:tc>
          <w:tcPr>
            <w:tcW w:w="2880" w:type="dxa"/>
            <w:vAlign w:val="bottom"/>
            <w:hideMark/>
          </w:tcPr>
          <w:p w14:paraId="4EDB925E" w14:textId="77777777" w:rsidR="00F949F9" w:rsidRPr="005750A1" w:rsidRDefault="00307A05">
            <w:pPr>
              <w:spacing w:before="0" w:after="0" w:line="240" w:lineRule="auto"/>
            </w:pPr>
            <w:r>
              <w:t>Discounted T</w:t>
            </w:r>
            <w:r w:rsidR="00F949F9" w:rsidRPr="005750A1">
              <w:t>otal Cost, $</w:t>
            </w:r>
          </w:p>
        </w:tc>
        <w:tc>
          <w:tcPr>
            <w:tcW w:w="2250" w:type="dxa"/>
            <w:vAlign w:val="bottom"/>
            <w:hideMark/>
          </w:tcPr>
          <w:p w14:paraId="588B0AB2" w14:textId="77777777" w:rsidR="00F949F9" w:rsidRDefault="00F949F9">
            <w:pPr>
              <w:spacing w:before="0" w:after="0" w:line="240" w:lineRule="auto"/>
              <w:jc w:val="right"/>
            </w:pPr>
            <w:r>
              <w:t>3,469,487 (27,704)</w:t>
            </w:r>
          </w:p>
        </w:tc>
        <w:tc>
          <w:tcPr>
            <w:tcW w:w="2070" w:type="dxa"/>
            <w:vAlign w:val="bottom"/>
            <w:hideMark/>
          </w:tcPr>
          <w:p w14:paraId="692633BD" w14:textId="77777777" w:rsidR="00F949F9" w:rsidRDefault="00F949F9">
            <w:pPr>
              <w:spacing w:before="0" w:after="0" w:line="240" w:lineRule="auto"/>
              <w:jc w:val="right"/>
            </w:pPr>
            <w:r>
              <w:t>8,502,702 (24,878)</w:t>
            </w:r>
          </w:p>
        </w:tc>
        <w:tc>
          <w:tcPr>
            <w:tcW w:w="2160" w:type="dxa"/>
            <w:vAlign w:val="bottom"/>
            <w:hideMark/>
          </w:tcPr>
          <w:p w14:paraId="799BDB22" w14:textId="77777777" w:rsidR="00F949F9" w:rsidRDefault="00F949F9">
            <w:pPr>
              <w:spacing w:before="0" w:after="0" w:line="240" w:lineRule="auto"/>
              <w:jc w:val="right"/>
            </w:pPr>
            <w:r>
              <w:t>-5,033,215 (30,450)</w:t>
            </w:r>
          </w:p>
        </w:tc>
      </w:tr>
      <w:tr w:rsidR="00F949F9" w14:paraId="2F2DC907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109ACC9D" w14:textId="77777777" w:rsidR="00F949F9" w:rsidRDefault="00F949F9">
            <w:pPr>
              <w:spacing w:before="0" w:after="0" w:line="240" w:lineRule="auto"/>
            </w:pPr>
            <w:r>
              <w:t>Total Bleed Events (All)</w:t>
            </w:r>
          </w:p>
        </w:tc>
        <w:tc>
          <w:tcPr>
            <w:tcW w:w="2250" w:type="dxa"/>
            <w:vAlign w:val="bottom"/>
            <w:hideMark/>
          </w:tcPr>
          <w:p w14:paraId="1DA85850" w14:textId="77777777" w:rsidR="00F949F9" w:rsidRDefault="00F949F9">
            <w:pPr>
              <w:spacing w:before="0" w:after="0" w:line="240" w:lineRule="auto"/>
              <w:jc w:val="right"/>
            </w:pPr>
            <w:r>
              <w:t>17 (0)</w:t>
            </w:r>
          </w:p>
        </w:tc>
        <w:tc>
          <w:tcPr>
            <w:tcW w:w="2070" w:type="dxa"/>
            <w:vAlign w:val="bottom"/>
            <w:hideMark/>
          </w:tcPr>
          <w:p w14:paraId="5E50AE28" w14:textId="77777777" w:rsidR="00F949F9" w:rsidRDefault="00F949F9">
            <w:pPr>
              <w:spacing w:before="0" w:after="0" w:line="240" w:lineRule="auto"/>
              <w:jc w:val="right"/>
            </w:pPr>
            <w:r>
              <w:t>51 (1)</w:t>
            </w:r>
          </w:p>
        </w:tc>
        <w:tc>
          <w:tcPr>
            <w:tcW w:w="2160" w:type="dxa"/>
            <w:vAlign w:val="bottom"/>
            <w:hideMark/>
          </w:tcPr>
          <w:p w14:paraId="58361E1B" w14:textId="77777777" w:rsidR="00F949F9" w:rsidRDefault="00F949F9">
            <w:pPr>
              <w:spacing w:before="0" w:after="0" w:line="240" w:lineRule="auto"/>
              <w:jc w:val="right"/>
            </w:pPr>
            <w:r>
              <w:t>-33 (1)</w:t>
            </w:r>
          </w:p>
        </w:tc>
      </w:tr>
      <w:tr w:rsidR="00F949F9" w14:paraId="57283FF5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0A85D582" w14:textId="77777777" w:rsidR="00F949F9" w:rsidRDefault="00F949F9">
            <w:pPr>
              <w:spacing w:before="0" w:after="0" w:line="240" w:lineRule="auto"/>
            </w:pPr>
            <w:r>
              <w:t>Total Joint Bleed Events</w:t>
            </w:r>
          </w:p>
        </w:tc>
        <w:tc>
          <w:tcPr>
            <w:tcW w:w="2250" w:type="dxa"/>
            <w:vAlign w:val="bottom"/>
            <w:hideMark/>
          </w:tcPr>
          <w:p w14:paraId="4B5C8609" w14:textId="77777777" w:rsidR="00F949F9" w:rsidRDefault="00F949F9">
            <w:pPr>
              <w:spacing w:before="0" w:after="0" w:line="240" w:lineRule="auto"/>
              <w:jc w:val="right"/>
            </w:pPr>
            <w:r>
              <w:t>6 (0)</w:t>
            </w:r>
          </w:p>
        </w:tc>
        <w:tc>
          <w:tcPr>
            <w:tcW w:w="2070" w:type="dxa"/>
            <w:vAlign w:val="bottom"/>
            <w:hideMark/>
          </w:tcPr>
          <w:p w14:paraId="378EEEBF" w14:textId="77777777" w:rsidR="00F949F9" w:rsidRDefault="00F949F9">
            <w:pPr>
              <w:spacing w:before="0" w:after="0" w:line="240" w:lineRule="auto"/>
              <w:jc w:val="right"/>
            </w:pPr>
            <w:r>
              <w:t>32 (0)</w:t>
            </w:r>
          </w:p>
        </w:tc>
        <w:tc>
          <w:tcPr>
            <w:tcW w:w="2160" w:type="dxa"/>
            <w:vAlign w:val="bottom"/>
            <w:hideMark/>
          </w:tcPr>
          <w:p w14:paraId="0169E950" w14:textId="77777777" w:rsidR="00F949F9" w:rsidRDefault="00F949F9">
            <w:pPr>
              <w:spacing w:before="0" w:after="0" w:line="240" w:lineRule="auto"/>
              <w:jc w:val="right"/>
            </w:pPr>
            <w:r>
              <w:t>-26 (1)</w:t>
            </w:r>
          </w:p>
        </w:tc>
      </w:tr>
      <w:tr w:rsidR="00F949F9" w14:paraId="5FE1361E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3E2A860D" w14:textId="77777777" w:rsidR="00F949F9" w:rsidRDefault="00F949F9">
            <w:pPr>
              <w:spacing w:before="0" w:after="0" w:line="240" w:lineRule="auto"/>
            </w:pPr>
            <w:r>
              <w:t>Total Non-Joint Bleed Events</w:t>
            </w:r>
          </w:p>
        </w:tc>
        <w:tc>
          <w:tcPr>
            <w:tcW w:w="2250" w:type="dxa"/>
            <w:vAlign w:val="bottom"/>
            <w:hideMark/>
          </w:tcPr>
          <w:p w14:paraId="0065832F" w14:textId="77777777" w:rsidR="00F949F9" w:rsidRDefault="00F949F9">
            <w:pPr>
              <w:spacing w:before="0" w:after="0" w:line="240" w:lineRule="auto"/>
              <w:jc w:val="right"/>
            </w:pPr>
            <w:r>
              <w:t>11 (0)</w:t>
            </w:r>
          </w:p>
        </w:tc>
        <w:tc>
          <w:tcPr>
            <w:tcW w:w="2070" w:type="dxa"/>
            <w:vAlign w:val="bottom"/>
            <w:hideMark/>
          </w:tcPr>
          <w:p w14:paraId="5166491C" w14:textId="77777777" w:rsidR="00F949F9" w:rsidRDefault="00F949F9">
            <w:pPr>
              <w:spacing w:before="0" w:after="0" w:line="240" w:lineRule="auto"/>
              <w:jc w:val="right"/>
            </w:pPr>
            <w:r>
              <w:t>19 (0)</w:t>
            </w:r>
          </w:p>
        </w:tc>
        <w:tc>
          <w:tcPr>
            <w:tcW w:w="2160" w:type="dxa"/>
            <w:vAlign w:val="bottom"/>
            <w:hideMark/>
          </w:tcPr>
          <w:p w14:paraId="5C0FA95D" w14:textId="77777777" w:rsidR="00F949F9" w:rsidRDefault="00F949F9">
            <w:pPr>
              <w:spacing w:before="0" w:after="0" w:line="240" w:lineRule="auto"/>
              <w:jc w:val="right"/>
            </w:pPr>
            <w:r>
              <w:t>-8 (0)</w:t>
            </w:r>
          </w:p>
        </w:tc>
      </w:tr>
      <w:tr w:rsidR="00F949F9" w14:paraId="17C3C1C7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5DE5F4DD" w14:textId="77777777" w:rsidR="00F949F9" w:rsidRDefault="00307A05">
            <w:pPr>
              <w:spacing w:before="0" w:after="0" w:line="240" w:lineRule="auto"/>
            </w:pPr>
            <w:r>
              <w:t>Discounted T</w:t>
            </w:r>
            <w:r w:rsidR="00F949F9">
              <w:t>otal Infusions</w:t>
            </w:r>
          </w:p>
        </w:tc>
        <w:tc>
          <w:tcPr>
            <w:tcW w:w="2250" w:type="dxa"/>
            <w:vAlign w:val="bottom"/>
            <w:hideMark/>
          </w:tcPr>
          <w:p w14:paraId="59EFA590" w14:textId="77777777" w:rsidR="00F949F9" w:rsidRDefault="00F949F9">
            <w:pPr>
              <w:spacing w:before="0" w:after="0" w:line="240" w:lineRule="auto"/>
              <w:jc w:val="right"/>
            </w:pPr>
            <w:r>
              <w:t>287 (5)</w:t>
            </w:r>
          </w:p>
        </w:tc>
        <w:tc>
          <w:tcPr>
            <w:tcW w:w="2070" w:type="dxa"/>
            <w:vAlign w:val="bottom"/>
            <w:hideMark/>
          </w:tcPr>
          <w:p w14:paraId="59AF7900" w14:textId="77777777" w:rsidR="00F949F9" w:rsidRDefault="00F949F9">
            <w:pPr>
              <w:spacing w:before="0" w:after="0" w:line="240" w:lineRule="auto"/>
              <w:jc w:val="right"/>
            </w:pPr>
            <w:r>
              <w:t>1,640 (2)</w:t>
            </w:r>
          </w:p>
        </w:tc>
        <w:tc>
          <w:tcPr>
            <w:tcW w:w="2160" w:type="dxa"/>
            <w:vAlign w:val="bottom"/>
            <w:hideMark/>
          </w:tcPr>
          <w:p w14:paraId="3BC1E039" w14:textId="77777777" w:rsidR="00F949F9" w:rsidRDefault="00F949F9">
            <w:pPr>
              <w:spacing w:before="0" w:after="0" w:line="240" w:lineRule="auto"/>
              <w:jc w:val="right"/>
            </w:pPr>
            <w:r>
              <w:t>-1,353 (5)</w:t>
            </w:r>
          </w:p>
        </w:tc>
      </w:tr>
      <w:tr w:rsidR="00F949F9" w14:paraId="4E52EEF2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4BEDA551" w14:textId="77777777" w:rsidR="00F949F9" w:rsidRDefault="00F949F9">
            <w:pPr>
              <w:spacing w:before="0" w:after="0" w:line="240" w:lineRule="auto"/>
            </w:pPr>
            <w:r>
              <w:t>Discounted LYs</w:t>
            </w:r>
          </w:p>
        </w:tc>
        <w:tc>
          <w:tcPr>
            <w:tcW w:w="2250" w:type="dxa"/>
            <w:vAlign w:val="bottom"/>
            <w:hideMark/>
          </w:tcPr>
          <w:p w14:paraId="76EBECD7" w14:textId="77777777" w:rsidR="00F949F9" w:rsidRDefault="00F949F9">
            <w:pPr>
              <w:spacing w:before="0" w:after="0" w:line="240" w:lineRule="auto"/>
              <w:jc w:val="right"/>
            </w:pPr>
            <w:r>
              <w:t>8.532 (0.008)</w:t>
            </w:r>
          </w:p>
        </w:tc>
        <w:tc>
          <w:tcPr>
            <w:tcW w:w="2070" w:type="dxa"/>
            <w:vAlign w:val="bottom"/>
            <w:hideMark/>
          </w:tcPr>
          <w:p w14:paraId="53E9DAD5" w14:textId="77777777" w:rsidR="00F949F9" w:rsidRDefault="00F949F9">
            <w:pPr>
              <w:spacing w:before="0" w:after="0" w:line="240" w:lineRule="auto"/>
              <w:jc w:val="right"/>
            </w:pPr>
            <w:r>
              <w:t>8.532 (0.008)</w:t>
            </w:r>
          </w:p>
        </w:tc>
        <w:tc>
          <w:tcPr>
            <w:tcW w:w="2160" w:type="dxa"/>
            <w:vAlign w:val="bottom"/>
            <w:hideMark/>
          </w:tcPr>
          <w:p w14:paraId="4D7CF86B" w14:textId="77777777" w:rsidR="00F949F9" w:rsidRDefault="00F949F9">
            <w:pPr>
              <w:spacing w:before="0" w:after="0" w:line="240" w:lineRule="auto"/>
              <w:jc w:val="right"/>
            </w:pPr>
            <w:r>
              <w:t>0 (0)</w:t>
            </w:r>
          </w:p>
        </w:tc>
      </w:tr>
      <w:tr w:rsidR="00F949F9" w14:paraId="0748AF30" w14:textId="77777777" w:rsidTr="00F949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59E17" w14:textId="77777777" w:rsidR="00F949F9" w:rsidRDefault="00F949F9">
            <w:pPr>
              <w:spacing w:before="0" w:after="0" w:line="240" w:lineRule="auto"/>
            </w:pPr>
            <w:r>
              <w:t>Discounted QALYs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AED2F1" w14:textId="77777777" w:rsidR="00F949F9" w:rsidRDefault="00F949F9">
            <w:pPr>
              <w:spacing w:before="0" w:after="0" w:line="240" w:lineRule="auto"/>
              <w:jc w:val="right"/>
            </w:pPr>
            <w:r>
              <w:t>6.875 (0.007)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DF2152" w14:textId="77777777" w:rsidR="00F949F9" w:rsidRDefault="00F949F9">
            <w:pPr>
              <w:spacing w:before="0" w:after="0" w:line="240" w:lineRule="auto"/>
              <w:jc w:val="right"/>
            </w:pPr>
            <w:r>
              <w:t>6.370 (0.006)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0E225A" w14:textId="77777777" w:rsidR="00F949F9" w:rsidRDefault="00F949F9">
            <w:pPr>
              <w:spacing w:before="0" w:after="0" w:line="240" w:lineRule="auto"/>
              <w:jc w:val="right"/>
            </w:pPr>
            <w:r>
              <w:t>0.504 (0.002)</w:t>
            </w:r>
          </w:p>
        </w:tc>
      </w:tr>
    </w:tbl>
    <w:p w14:paraId="0A758BC6" w14:textId="77777777" w:rsidR="000717FC" w:rsidRDefault="00417B5B" w:rsidP="000717FC">
      <w:pPr>
        <w:pStyle w:val="FootnoteText"/>
        <w:rPr>
          <w:color w:val="auto"/>
        </w:rPr>
      </w:pPr>
      <w:r w:rsidRPr="00417B5B">
        <w:rPr>
          <w:color w:val="auto"/>
          <w:vertAlign w:val="superscript"/>
        </w:rPr>
        <w:t>a</w:t>
      </w:r>
      <w:r w:rsidR="00F949F9">
        <w:rPr>
          <w:color w:val="auto"/>
        </w:rPr>
        <w:t>All values are reported as mean (Monte Carlo standard error).</w:t>
      </w:r>
    </w:p>
    <w:p w14:paraId="5A7FDB68" w14:textId="448D59CB" w:rsidR="000327E6" w:rsidRPr="00FC59B2" w:rsidRDefault="000327E6" w:rsidP="000717FC">
      <w:pPr>
        <w:pStyle w:val="FootnoteText"/>
        <w:rPr>
          <w:color w:val="FF0000"/>
        </w:rPr>
        <w:sectPr w:rsidR="000327E6" w:rsidRPr="00FC59B2" w:rsidSect="00B7662F">
          <w:pgSz w:w="12240" w:h="15840"/>
          <w:pgMar w:top="1440" w:right="1440" w:bottom="1440" w:left="1440" w:header="720" w:footer="979" w:gutter="0"/>
          <w:cols w:space="720"/>
          <w:docGrid w:linePitch="299"/>
        </w:sectPr>
      </w:pPr>
      <w:r w:rsidRPr="00FC59B2">
        <w:rPr>
          <w:color w:val="FF0000"/>
          <w:vertAlign w:val="superscript"/>
        </w:rPr>
        <w:t>b</w:t>
      </w:r>
      <w:r w:rsidRPr="00FC59B2">
        <w:rPr>
          <w:color w:val="FF0000"/>
        </w:rPr>
        <w:t xml:space="preserve">Scenario analysis </w:t>
      </w:r>
      <w:r w:rsidR="00FC59B2">
        <w:rPr>
          <w:color w:val="FF0000"/>
        </w:rPr>
        <w:t xml:space="preserve">reduces the </w:t>
      </w:r>
      <w:r w:rsidR="00F25BA3" w:rsidRPr="00FC59B2">
        <w:rPr>
          <w:color w:val="FF0000"/>
        </w:rPr>
        <w:t>model</w:t>
      </w:r>
      <w:r w:rsidRPr="00FC59B2">
        <w:rPr>
          <w:color w:val="FF0000"/>
        </w:rPr>
        <w:t xml:space="preserve"> time-horizon</w:t>
      </w:r>
      <w:r w:rsidR="00FC59B2">
        <w:rPr>
          <w:color w:val="FF0000"/>
        </w:rPr>
        <w:t xml:space="preserve"> to 10 years</w:t>
      </w:r>
      <w:r w:rsidRPr="00FC59B2">
        <w:rPr>
          <w:color w:val="FF0000"/>
        </w:rPr>
        <w:t>.</w:t>
      </w:r>
      <w:r w:rsidR="00FC59B2">
        <w:rPr>
          <w:color w:val="FF0000"/>
        </w:rPr>
        <w:t xml:space="preserve"> </w:t>
      </w:r>
      <w:r w:rsidR="00FC59B2" w:rsidRPr="00FC59B2">
        <w:rPr>
          <w:color w:val="FF0000"/>
        </w:rPr>
        <w:t xml:space="preserve">All other parameters, including bleed rates, reflect the model base </w:t>
      </w:r>
      <w:r w:rsidR="00FC59B2">
        <w:rPr>
          <w:color w:val="FF0000"/>
        </w:rPr>
        <w:t>case.</w:t>
      </w:r>
    </w:p>
    <w:p w14:paraId="761112A0" w14:textId="77777777" w:rsidR="00F949F9" w:rsidRDefault="00F949F9" w:rsidP="00F949F9">
      <w:pPr>
        <w:pStyle w:val="Caption"/>
        <w:rPr>
          <w:rFonts w:eastAsia="SimSun"/>
          <w:i w:val="0"/>
          <w:iCs w:val="0"/>
          <w:color w:val="auto"/>
          <w:sz w:val="24"/>
          <w:szCs w:val="24"/>
        </w:rPr>
      </w:pPr>
      <w:r>
        <w:rPr>
          <w:rFonts w:eastAsia="SimSun"/>
          <w:i w:val="0"/>
          <w:iCs w:val="0"/>
          <w:color w:val="auto"/>
          <w:sz w:val="24"/>
          <w:szCs w:val="24"/>
        </w:rPr>
        <w:lastRenderedPageBreak/>
        <w:t xml:space="preserve">Supplemental Table </w:t>
      </w:r>
      <w:r w:rsidR="00752E2B">
        <w:rPr>
          <w:rFonts w:eastAsia="SimSun"/>
          <w:i w:val="0"/>
          <w:iCs w:val="0"/>
          <w:color w:val="auto"/>
          <w:sz w:val="24"/>
          <w:szCs w:val="24"/>
        </w:rPr>
        <w:t>3</w:t>
      </w:r>
      <w:r>
        <w:rPr>
          <w:rFonts w:eastAsia="SimSun"/>
          <w:i w:val="0"/>
          <w:iCs w:val="0"/>
          <w:color w:val="auto"/>
          <w:sz w:val="24"/>
          <w:szCs w:val="24"/>
        </w:rPr>
        <w:t>. Increased Utility for Valoctocogene Roxaparvovec across All Health States Results</w:t>
      </w:r>
      <w:r w:rsidR="00417B5B" w:rsidRPr="00417B5B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a</w:t>
      </w:r>
      <w:r w:rsidR="00F25BA3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,</w:t>
      </w:r>
      <w:r w:rsidR="00CD4B06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2160"/>
      </w:tblGrid>
      <w:tr w:rsidR="00F949F9" w14:paraId="1B1A8A6E" w14:textId="77777777" w:rsidTr="00F949F9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468E8" w14:textId="77777777" w:rsidR="00F949F9" w:rsidRDefault="00F949F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394B99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15F2B7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Prophylaxis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0D30EB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 vs Prophylaxis</w:t>
            </w:r>
          </w:p>
        </w:tc>
      </w:tr>
      <w:tr w:rsidR="00F949F9" w14:paraId="3D9F617D" w14:textId="77777777" w:rsidTr="00F949F9">
        <w:trPr>
          <w:trHeight w:val="10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D5661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27BED3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07A99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C002B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307A05" w14:paraId="51852742" w14:textId="77777777" w:rsidTr="00F949F9">
        <w:trPr>
          <w:trHeight w:val="302"/>
        </w:trPr>
        <w:tc>
          <w:tcPr>
            <w:tcW w:w="2880" w:type="dxa"/>
            <w:vAlign w:val="bottom"/>
            <w:hideMark/>
          </w:tcPr>
          <w:p w14:paraId="266BD998" w14:textId="77777777" w:rsidR="00307A05" w:rsidRPr="005750A1" w:rsidRDefault="00307A05" w:rsidP="00307A05">
            <w:pPr>
              <w:spacing w:before="0" w:after="0" w:line="240" w:lineRule="auto"/>
            </w:pPr>
            <w:r>
              <w:t>Discounted T</w:t>
            </w:r>
            <w:r w:rsidRPr="005750A1">
              <w:t>otal Cost, $</w:t>
            </w:r>
          </w:p>
        </w:tc>
        <w:tc>
          <w:tcPr>
            <w:tcW w:w="2250" w:type="dxa"/>
            <w:vAlign w:val="bottom"/>
            <w:hideMark/>
          </w:tcPr>
          <w:p w14:paraId="1287664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16,656,470 (81,490)</w:t>
            </w:r>
          </w:p>
        </w:tc>
        <w:tc>
          <w:tcPr>
            <w:tcW w:w="2070" w:type="dxa"/>
            <w:vAlign w:val="bottom"/>
            <w:hideMark/>
          </w:tcPr>
          <w:p w14:paraId="6F6A6A6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23,466,845 (87,259)</w:t>
            </w:r>
          </w:p>
        </w:tc>
        <w:tc>
          <w:tcPr>
            <w:tcW w:w="2160" w:type="dxa"/>
            <w:vAlign w:val="bottom"/>
            <w:hideMark/>
          </w:tcPr>
          <w:p w14:paraId="60810AB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-6,810,374 (47,786)</w:t>
            </w:r>
          </w:p>
        </w:tc>
      </w:tr>
      <w:tr w:rsidR="00307A05" w14:paraId="27913439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7C3FF6D3" w14:textId="77777777" w:rsidR="00307A05" w:rsidRDefault="00307A05" w:rsidP="00307A05">
            <w:pPr>
              <w:spacing w:before="0" w:after="0" w:line="240" w:lineRule="auto"/>
            </w:pPr>
            <w:r>
              <w:t>Total Bleed Events (All)</w:t>
            </w:r>
          </w:p>
        </w:tc>
        <w:tc>
          <w:tcPr>
            <w:tcW w:w="2250" w:type="dxa"/>
            <w:noWrap/>
            <w:vAlign w:val="bottom"/>
            <w:hideMark/>
          </w:tcPr>
          <w:p w14:paraId="3CECF36A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186 (2)</w:t>
            </w:r>
          </w:p>
        </w:tc>
        <w:tc>
          <w:tcPr>
            <w:tcW w:w="2070" w:type="dxa"/>
            <w:noWrap/>
            <w:vAlign w:val="bottom"/>
            <w:hideMark/>
          </w:tcPr>
          <w:p w14:paraId="6942FF99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229 (3)</w:t>
            </w:r>
          </w:p>
        </w:tc>
        <w:tc>
          <w:tcPr>
            <w:tcW w:w="2160" w:type="dxa"/>
            <w:noWrap/>
            <w:vAlign w:val="bottom"/>
            <w:hideMark/>
          </w:tcPr>
          <w:p w14:paraId="4A54857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-43 (1)</w:t>
            </w:r>
          </w:p>
        </w:tc>
      </w:tr>
      <w:tr w:rsidR="00307A05" w14:paraId="6EE8248D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088D2A34" w14:textId="77777777" w:rsidR="00307A05" w:rsidRDefault="00307A05" w:rsidP="00307A05">
            <w:pPr>
              <w:spacing w:before="0" w:after="0" w:line="240" w:lineRule="auto"/>
            </w:pPr>
            <w:r>
              <w:t>Total 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2A98C8E9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112 (2)</w:t>
            </w:r>
          </w:p>
        </w:tc>
        <w:tc>
          <w:tcPr>
            <w:tcW w:w="2070" w:type="dxa"/>
            <w:noWrap/>
            <w:vAlign w:val="bottom"/>
            <w:hideMark/>
          </w:tcPr>
          <w:p w14:paraId="42605914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144 (2)</w:t>
            </w:r>
          </w:p>
        </w:tc>
        <w:tc>
          <w:tcPr>
            <w:tcW w:w="2160" w:type="dxa"/>
            <w:noWrap/>
            <w:vAlign w:val="bottom"/>
            <w:hideMark/>
          </w:tcPr>
          <w:p w14:paraId="0546243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-33 (1)</w:t>
            </w:r>
          </w:p>
        </w:tc>
      </w:tr>
      <w:tr w:rsidR="00307A05" w14:paraId="39C3B4B3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5ACF1581" w14:textId="77777777" w:rsidR="00307A05" w:rsidRDefault="00307A05" w:rsidP="00307A05">
            <w:pPr>
              <w:spacing w:before="0" w:after="0" w:line="240" w:lineRule="auto"/>
            </w:pPr>
            <w:r>
              <w:t>Total Non-Joint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5578DF7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75 (1)</w:t>
            </w:r>
          </w:p>
        </w:tc>
        <w:tc>
          <w:tcPr>
            <w:tcW w:w="2070" w:type="dxa"/>
            <w:noWrap/>
            <w:vAlign w:val="bottom"/>
            <w:hideMark/>
          </w:tcPr>
          <w:p w14:paraId="1920A2E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85 (1)</w:t>
            </w:r>
          </w:p>
        </w:tc>
        <w:tc>
          <w:tcPr>
            <w:tcW w:w="2160" w:type="dxa"/>
            <w:noWrap/>
            <w:vAlign w:val="bottom"/>
            <w:hideMark/>
          </w:tcPr>
          <w:p w14:paraId="1416623F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-10 (0)</w:t>
            </w:r>
          </w:p>
        </w:tc>
      </w:tr>
      <w:tr w:rsidR="00307A05" w14:paraId="1C10A61F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23F7F824" w14:textId="77777777" w:rsidR="00307A05" w:rsidRDefault="00307A05" w:rsidP="00307A05">
            <w:pPr>
              <w:spacing w:before="0" w:after="0" w:line="240" w:lineRule="auto"/>
            </w:pPr>
            <w:r>
              <w:t>Discounted Total Infusions</w:t>
            </w:r>
          </w:p>
        </w:tc>
        <w:tc>
          <w:tcPr>
            <w:tcW w:w="2250" w:type="dxa"/>
            <w:noWrap/>
            <w:vAlign w:val="bottom"/>
            <w:hideMark/>
          </w:tcPr>
          <w:p w14:paraId="7AF750FF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5,572 (26)</w:t>
            </w:r>
          </w:p>
        </w:tc>
        <w:tc>
          <w:tcPr>
            <w:tcW w:w="2070" w:type="dxa"/>
            <w:noWrap/>
            <w:vAlign w:val="bottom"/>
            <w:hideMark/>
          </w:tcPr>
          <w:p w14:paraId="7CEB3142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7,379 (25)</w:t>
            </w:r>
          </w:p>
        </w:tc>
        <w:tc>
          <w:tcPr>
            <w:tcW w:w="2160" w:type="dxa"/>
            <w:noWrap/>
            <w:vAlign w:val="bottom"/>
            <w:hideMark/>
          </w:tcPr>
          <w:p w14:paraId="65CD9D19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-1,808 (10)</w:t>
            </w:r>
          </w:p>
        </w:tc>
      </w:tr>
      <w:tr w:rsidR="00307A05" w14:paraId="6071CF3F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45C1A52A" w14:textId="77777777" w:rsidR="00307A05" w:rsidRDefault="00307A05" w:rsidP="00307A05">
            <w:pPr>
              <w:spacing w:before="0" w:after="0" w:line="240" w:lineRule="auto"/>
            </w:pPr>
            <w:r>
              <w:t>Discounted LYs</w:t>
            </w:r>
          </w:p>
        </w:tc>
        <w:tc>
          <w:tcPr>
            <w:tcW w:w="2250" w:type="dxa"/>
            <w:noWrap/>
            <w:vAlign w:val="bottom"/>
            <w:hideMark/>
          </w:tcPr>
          <w:p w14:paraId="30EA150D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070" w:type="dxa"/>
            <w:noWrap/>
            <w:vAlign w:val="bottom"/>
            <w:hideMark/>
          </w:tcPr>
          <w:p w14:paraId="1F365091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160" w:type="dxa"/>
            <w:noWrap/>
            <w:vAlign w:val="bottom"/>
            <w:hideMark/>
          </w:tcPr>
          <w:p w14:paraId="01BD910A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0 (0)</w:t>
            </w:r>
          </w:p>
        </w:tc>
      </w:tr>
      <w:tr w:rsidR="00307A05" w14:paraId="090E1EF9" w14:textId="77777777" w:rsidTr="00F949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28A0F3" w14:textId="77777777" w:rsidR="00307A05" w:rsidRDefault="00307A05" w:rsidP="00307A05">
            <w:pPr>
              <w:spacing w:before="0" w:after="0" w:line="240" w:lineRule="auto"/>
            </w:pPr>
            <w:r>
              <w:t>Discounted QALYs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33475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18.340 (0.039)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076D2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17.318 (0.038)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0B3C1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1.022 (0.005)</w:t>
            </w:r>
          </w:p>
        </w:tc>
      </w:tr>
    </w:tbl>
    <w:p w14:paraId="7DC6E249" w14:textId="77777777" w:rsidR="00F949F9" w:rsidRDefault="00417B5B" w:rsidP="00F949F9">
      <w:pPr>
        <w:pStyle w:val="FootnoteText"/>
        <w:rPr>
          <w:color w:val="auto"/>
        </w:rPr>
      </w:pPr>
      <w:r w:rsidRPr="00417B5B">
        <w:rPr>
          <w:color w:val="auto"/>
          <w:vertAlign w:val="superscript"/>
        </w:rPr>
        <w:t>a</w:t>
      </w:r>
      <w:r w:rsidR="00F949F9">
        <w:rPr>
          <w:color w:val="auto"/>
        </w:rPr>
        <w:t>All values are reported as mean (Monte Carlo standard error).</w:t>
      </w:r>
    </w:p>
    <w:p w14:paraId="51E414B0" w14:textId="77777777" w:rsidR="000717FC" w:rsidRPr="00FC59B2" w:rsidRDefault="00CD4B06" w:rsidP="000717FC">
      <w:pPr>
        <w:pStyle w:val="FootnoteText"/>
        <w:rPr>
          <w:color w:val="FF0000"/>
        </w:rPr>
        <w:sectPr w:rsidR="000717FC" w:rsidRPr="00FC59B2" w:rsidSect="00B7662F">
          <w:pgSz w:w="12240" w:h="15840"/>
          <w:pgMar w:top="1440" w:right="1440" w:bottom="1440" w:left="1440" w:header="720" w:footer="979" w:gutter="0"/>
          <w:cols w:space="720"/>
          <w:docGrid w:linePitch="299"/>
        </w:sectPr>
      </w:pPr>
      <w:r w:rsidRPr="00FC59B2">
        <w:rPr>
          <w:color w:val="FF0000"/>
          <w:vertAlign w:val="superscript"/>
        </w:rPr>
        <w:t>b</w:t>
      </w:r>
      <w:r w:rsidR="000327E6" w:rsidRPr="00FC59B2">
        <w:rPr>
          <w:color w:val="FF0000"/>
        </w:rPr>
        <w:t xml:space="preserve">Scenario analysis assigns an additional 0.02 utility increase to valoctocogene roxaparvovec patients across all health states, reflecting reduced concerns of spontaneous bleed events and general relief from chronic disease management. </w:t>
      </w:r>
      <w:r w:rsidR="00513336" w:rsidRPr="00FC59B2">
        <w:rPr>
          <w:color w:val="FF0000"/>
        </w:rPr>
        <w:t xml:space="preserve"> All other parameters, including bleed rat</w:t>
      </w:r>
      <w:r w:rsidR="00FC59B2">
        <w:rPr>
          <w:color w:val="FF0000"/>
        </w:rPr>
        <w:t>es, reflect the model base case.</w:t>
      </w:r>
    </w:p>
    <w:p w14:paraId="35FA7BAE" w14:textId="77777777" w:rsidR="00F949F9" w:rsidRDefault="00F949F9" w:rsidP="00F949F9">
      <w:pPr>
        <w:pStyle w:val="Caption"/>
        <w:rPr>
          <w:rFonts w:eastAsia="SimSun"/>
          <w:i w:val="0"/>
          <w:iCs w:val="0"/>
          <w:color w:val="auto"/>
          <w:sz w:val="24"/>
          <w:szCs w:val="24"/>
        </w:rPr>
      </w:pPr>
      <w:r>
        <w:rPr>
          <w:rFonts w:eastAsia="SimSun"/>
          <w:i w:val="0"/>
          <w:iCs w:val="0"/>
          <w:color w:val="auto"/>
          <w:sz w:val="24"/>
          <w:szCs w:val="24"/>
        </w:rPr>
        <w:lastRenderedPageBreak/>
        <w:t xml:space="preserve">Supplemental Table </w:t>
      </w:r>
      <w:r w:rsidR="00752E2B">
        <w:rPr>
          <w:rFonts w:eastAsia="SimSun"/>
          <w:i w:val="0"/>
          <w:iCs w:val="0"/>
          <w:color w:val="auto"/>
          <w:sz w:val="24"/>
          <w:szCs w:val="24"/>
        </w:rPr>
        <w:t>4</w:t>
      </w:r>
      <w:r>
        <w:rPr>
          <w:rFonts w:eastAsia="SimSun"/>
          <w:i w:val="0"/>
          <w:iCs w:val="0"/>
          <w:color w:val="auto"/>
          <w:sz w:val="24"/>
          <w:szCs w:val="24"/>
        </w:rPr>
        <w:t>. Emicizumab Comparator Arm Results</w:t>
      </w:r>
      <w:r w:rsidR="00417B5B" w:rsidRPr="00417B5B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a</w:t>
      </w:r>
      <w:r w:rsidR="00EE5C7D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,</w:t>
      </w:r>
      <w:r w:rsidR="00CD4B06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2160"/>
      </w:tblGrid>
      <w:tr w:rsidR="00F949F9" w14:paraId="63B338DA" w14:textId="77777777" w:rsidTr="00F949F9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679095" w14:textId="77777777" w:rsidR="00F949F9" w:rsidRDefault="00F949F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2A42E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0162CF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Emicizumab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880D6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 vs Emicizumab</w:t>
            </w:r>
          </w:p>
        </w:tc>
      </w:tr>
      <w:tr w:rsidR="00F949F9" w14:paraId="6B4F0A49" w14:textId="77777777" w:rsidTr="00F949F9">
        <w:trPr>
          <w:trHeight w:val="10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8FC5A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15FDE3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9A43C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E8988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307A05" w14:paraId="490678CB" w14:textId="77777777" w:rsidTr="00F949F9">
        <w:trPr>
          <w:trHeight w:val="302"/>
        </w:trPr>
        <w:tc>
          <w:tcPr>
            <w:tcW w:w="2880" w:type="dxa"/>
            <w:vAlign w:val="bottom"/>
            <w:hideMark/>
          </w:tcPr>
          <w:p w14:paraId="524A713A" w14:textId="77777777" w:rsidR="00307A05" w:rsidRPr="005750A1" w:rsidRDefault="00307A05" w:rsidP="00307A05">
            <w:pPr>
              <w:spacing w:before="0" w:after="0" w:line="240" w:lineRule="auto"/>
            </w:pPr>
            <w:r>
              <w:t>Discounted T</w:t>
            </w:r>
            <w:r w:rsidRPr="005750A1">
              <w:t>otal Cost, $</w:t>
            </w:r>
          </w:p>
        </w:tc>
        <w:tc>
          <w:tcPr>
            <w:tcW w:w="2250" w:type="dxa"/>
            <w:vAlign w:val="bottom"/>
            <w:hideMark/>
          </w:tcPr>
          <w:p w14:paraId="0CE6AEB1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13,488,412 (64,957)</w:t>
            </w:r>
          </w:p>
        </w:tc>
        <w:tc>
          <w:tcPr>
            <w:tcW w:w="2070" w:type="dxa"/>
            <w:vAlign w:val="bottom"/>
            <w:hideMark/>
          </w:tcPr>
          <w:p w14:paraId="08C87001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18,249,581 (69,385)</w:t>
            </w:r>
          </w:p>
        </w:tc>
        <w:tc>
          <w:tcPr>
            <w:tcW w:w="2160" w:type="dxa"/>
            <w:vAlign w:val="bottom"/>
            <w:hideMark/>
          </w:tcPr>
          <w:p w14:paraId="0C7D9695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-4,761,169 (37,106)</w:t>
            </w:r>
          </w:p>
        </w:tc>
      </w:tr>
      <w:tr w:rsidR="00307A05" w14:paraId="108EC881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1854D319" w14:textId="77777777" w:rsidR="00307A05" w:rsidRDefault="00307A05" w:rsidP="00307A05">
            <w:pPr>
              <w:spacing w:before="0" w:after="0" w:line="240" w:lineRule="auto"/>
            </w:pPr>
            <w:r>
              <w:t>Total Bleed Events (All)</w:t>
            </w:r>
          </w:p>
        </w:tc>
        <w:tc>
          <w:tcPr>
            <w:tcW w:w="2250" w:type="dxa"/>
            <w:noWrap/>
            <w:vAlign w:val="bottom"/>
            <w:hideMark/>
          </w:tcPr>
          <w:p w14:paraId="09332746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186 (2)</w:t>
            </w:r>
          </w:p>
        </w:tc>
        <w:tc>
          <w:tcPr>
            <w:tcW w:w="2070" w:type="dxa"/>
            <w:noWrap/>
            <w:vAlign w:val="bottom"/>
            <w:hideMark/>
          </w:tcPr>
          <w:p w14:paraId="0A765CF5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229 (3)</w:t>
            </w:r>
          </w:p>
        </w:tc>
        <w:tc>
          <w:tcPr>
            <w:tcW w:w="2160" w:type="dxa"/>
            <w:noWrap/>
            <w:vAlign w:val="bottom"/>
            <w:hideMark/>
          </w:tcPr>
          <w:p w14:paraId="79D8E324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-43 (1)</w:t>
            </w:r>
          </w:p>
        </w:tc>
      </w:tr>
      <w:tr w:rsidR="00307A05" w14:paraId="797E9BBA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50AEAA0B" w14:textId="77777777" w:rsidR="00307A05" w:rsidRDefault="00307A05" w:rsidP="00307A05">
            <w:pPr>
              <w:spacing w:before="0" w:after="0" w:line="240" w:lineRule="auto"/>
            </w:pPr>
            <w:r>
              <w:t>Total 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57BE5624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112 (2)</w:t>
            </w:r>
          </w:p>
        </w:tc>
        <w:tc>
          <w:tcPr>
            <w:tcW w:w="2070" w:type="dxa"/>
            <w:noWrap/>
            <w:vAlign w:val="bottom"/>
            <w:hideMark/>
          </w:tcPr>
          <w:p w14:paraId="3BFB7D5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144 (2)</w:t>
            </w:r>
          </w:p>
        </w:tc>
        <w:tc>
          <w:tcPr>
            <w:tcW w:w="2160" w:type="dxa"/>
            <w:noWrap/>
            <w:vAlign w:val="bottom"/>
            <w:hideMark/>
          </w:tcPr>
          <w:p w14:paraId="3A055445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-33 (1)</w:t>
            </w:r>
          </w:p>
        </w:tc>
      </w:tr>
      <w:tr w:rsidR="00307A05" w14:paraId="42949FA1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09292569" w14:textId="77777777" w:rsidR="00307A05" w:rsidRDefault="00307A05" w:rsidP="00307A05">
            <w:pPr>
              <w:spacing w:before="0" w:after="0" w:line="240" w:lineRule="auto"/>
            </w:pPr>
            <w:r>
              <w:t>Total Non-Joint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0A8CE3EC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75 (1)</w:t>
            </w:r>
          </w:p>
        </w:tc>
        <w:tc>
          <w:tcPr>
            <w:tcW w:w="2070" w:type="dxa"/>
            <w:noWrap/>
            <w:vAlign w:val="bottom"/>
            <w:hideMark/>
          </w:tcPr>
          <w:p w14:paraId="5A107FB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85 (1)</w:t>
            </w:r>
          </w:p>
        </w:tc>
        <w:tc>
          <w:tcPr>
            <w:tcW w:w="2160" w:type="dxa"/>
            <w:noWrap/>
            <w:vAlign w:val="bottom"/>
            <w:hideMark/>
          </w:tcPr>
          <w:p w14:paraId="46017FE7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-10 (0)</w:t>
            </w:r>
          </w:p>
        </w:tc>
      </w:tr>
      <w:tr w:rsidR="00307A05" w14:paraId="7668AF86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5ABCADBE" w14:textId="77777777" w:rsidR="00307A05" w:rsidRDefault="00307A05" w:rsidP="00307A05">
            <w:pPr>
              <w:spacing w:before="0" w:after="0" w:line="240" w:lineRule="auto"/>
            </w:pPr>
            <w:r>
              <w:t>Discounted Total Infusions</w:t>
            </w:r>
          </w:p>
        </w:tc>
        <w:tc>
          <w:tcPr>
            <w:tcW w:w="2250" w:type="dxa"/>
            <w:noWrap/>
            <w:vAlign w:val="bottom"/>
            <w:hideMark/>
          </w:tcPr>
          <w:p w14:paraId="13622C17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1,251 (7)</w:t>
            </w:r>
          </w:p>
        </w:tc>
        <w:tc>
          <w:tcPr>
            <w:tcW w:w="2070" w:type="dxa"/>
            <w:noWrap/>
            <w:vAlign w:val="bottom"/>
            <w:hideMark/>
          </w:tcPr>
          <w:p w14:paraId="38422E92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1,612 (8)</w:t>
            </w:r>
          </w:p>
        </w:tc>
        <w:tc>
          <w:tcPr>
            <w:tcW w:w="2160" w:type="dxa"/>
            <w:noWrap/>
            <w:vAlign w:val="bottom"/>
            <w:hideMark/>
          </w:tcPr>
          <w:p w14:paraId="5E01641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-361 (3)</w:t>
            </w:r>
          </w:p>
        </w:tc>
      </w:tr>
      <w:tr w:rsidR="00307A05" w14:paraId="464F2436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29228F3B" w14:textId="77777777" w:rsidR="00307A05" w:rsidRDefault="00307A05" w:rsidP="00307A05">
            <w:pPr>
              <w:spacing w:before="0" w:after="0" w:line="240" w:lineRule="auto"/>
            </w:pPr>
            <w:r>
              <w:t>Discounted LYs</w:t>
            </w:r>
          </w:p>
        </w:tc>
        <w:tc>
          <w:tcPr>
            <w:tcW w:w="2250" w:type="dxa"/>
            <w:noWrap/>
            <w:vAlign w:val="bottom"/>
            <w:hideMark/>
          </w:tcPr>
          <w:p w14:paraId="2DDDA579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070" w:type="dxa"/>
            <w:noWrap/>
            <w:vAlign w:val="bottom"/>
            <w:hideMark/>
          </w:tcPr>
          <w:p w14:paraId="2B21E109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160" w:type="dxa"/>
            <w:noWrap/>
            <w:vAlign w:val="bottom"/>
            <w:hideMark/>
          </w:tcPr>
          <w:p w14:paraId="4DC2D416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0 (0)</w:t>
            </w:r>
          </w:p>
        </w:tc>
      </w:tr>
      <w:tr w:rsidR="00307A05" w14:paraId="652E8136" w14:textId="77777777" w:rsidTr="00F949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2D0BC0" w14:textId="77777777" w:rsidR="00307A05" w:rsidRDefault="00307A05" w:rsidP="00307A05">
            <w:pPr>
              <w:spacing w:before="0" w:after="0" w:line="240" w:lineRule="auto"/>
            </w:pPr>
            <w:r>
              <w:t>Discounted QALYs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8A051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18.793 (0.041)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AF58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18.497 (0.040)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B0FEC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0.296 (0.004)</w:t>
            </w:r>
          </w:p>
        </w:tc>
      </w:tr>
    </w:tbl>
    <w:p w14:paraId="441FE276" w14:textId="77777777" w:rsidR="00F949F9" w:rsidRDefault="00417B5B" w:rsidP="00F949F9">
      <w:pPr>
        <w:pStyle w:val="FootnoteText"/>
        <w:rPr>
          <w:color w:val="auto"/>
        </w:rPr>
      </w:pPr>
      <w:r w:rsidRPr="00417B5B">
        <w:rPr>
          <w:color w:val="auto"/>
          <w:vertAlign w:val="superscript"/>
        </w:rPr>
        <w:t>a</w:t>
      </w:r>
      <w:r w:rsidR="00F949F9">
        <w:rPr>
          <w:color w:val="auto"/>
        </w:rPr>
        <w:t>All values are reported as mean (Monte Carlo standard error).</w:t>
      </w:r>
    </w:p>
    <w:p w14:paraId="163FADA6" w14:textId="77777777" w:rsidR="000717FC" w:rsidRPr="00FC59B2" w:rsidRDefault="00CD4B06" w:rsidP="000717FC">
      <w:pPr>
        <w:pStyle w:val="FootnoteText"/>
        <w:rPr>
          <w:color w:val="FF0000"/>
        </w:rPr>
        <w:sectPr w:rsidR="000717FC" w:rsidRPr="00FC59B2" w:rsidSect="00B7662F">
          <w:pgSz w:w="12240" w:h="15840"/>
          <w:pgMar w:top="1440" w:right="1440" w:bottom="1440" w:left="1440" w:header="720" w:footer="979" w:gutter="0"/>
          <w:cols w:space="720"/>
          <w:docGrid w:linePitch="299"/>
        </w:sectPr>
      </w:pPr>
      <w:r w:rsidRPr="00FC59B2">
        <w:rPr>
          <w:color w:val="FF0000"/>
          <w:vertAlign w:val="superscript"/>
        </w:rPr>
        <w:t>b</w:t>
      </w:r>
      <w:r w:rsidRPr="00FC59B2">
        <w:rPr>
          <w:color w:val="FF0000"/>
        </w:rPr>
        <w:t xml:space="preserve">Scenario analysis </w:t>
      </w:r>
      <w:r w:rsidR="00C01E21" w:rsidRPr="00FC59B2">
        <w:rPr>
          <w:color w:val="FF0000"/>
        </w:rPr>
        <w:t xml:space="preserve">only </w:t>
      </w:r>
      <w:r w:rsidRPr="00FC59B2">
        <w:rPr>
          <w:color w:val="FF0000"/>
        </w:rPr>
        <w:t>alters the cost ($148.80 per mg; dose of 3.0 mg/kg) and injection frequency (biweekly)</w:t>
      </w:r>
      <w:r w:rsidR="00F25BA3" w:rsidRPr="00FC59B2">
        <w:rPr>
          <w:color w:val="FF0000"/>
        </w:rPr>
        <w:t xml:space="preserve"> of the comparator arm</w:t>
      </w:r>
      <w:r w:rsidRPr="00FC59B2">
        <w:rPr>
          <w:color w:val="FF0000"/>
        </w:rPr>
        <w:t xml:space="preserve"> to reflect the treatment regimen for emicizumab-kxwh. </w:t>
      </w:r>
      <w:r w:rsidR="00C01E21" w:rsidRPr="00FC59B2">
        <w:rPr>
          <w:color w:val="FF0000"/>
        </w:rPr>
        <w:t xml:space="preserve"> All other parameters, including bleed rates, reflect the model base case (</w:t>
      </w:r>
      <w:r w:rsidR="00FC59B2">
        <w:rPr>
          <w:color w:val="FF0000"/>
        </w:rPr>
        <w:t xml:space="preserve">with </w:t>
      </w:r>
      <w:r w:rsidR="00C01E21" w:rsidRPr="00FC59B2">
        <w:rPr>
          <w:color w:val="FF0000"/>
        </w:rPr>
        <w:t>standard half-life FVIII prophylaxis</w:t>
      </w:r>
      <w:r w:rsidR="00FC59B2">
        <w:rPr>
          <w:color w:val="FF0000"/>
        </w:rPr>
        <w:t xml:space="preserve"> comparator</w:t>
      </w:r>
      <w:r w:rsidR="00C01E21" w:rsidRPr="00FC59B2">
        <w:rPr>
          <w:color w:val="FF0000"/>
        </w:rPr>
        <w:t xml:space="preserve">). </w:t>
      </w:r>
    </w:p>
    <w:p w14:paraId="23F5788C" w14:textId="77777777" w:rsidR="00F949F9" w:rsidRDefault="00F949F9" w:rsidP="00F949F9">
      <w:pPr>
        <w:pStyle w:val="Caption"/>
        <w:rPr>
          <w:rFonts w:eastAsia="SimSun"/>
          <w:i w:val="0"/>
          <w:iCs w:val="0"/>
          <w:color w:val="auto"/>
          <w:sz w:val="24"/>
          <w:szCs w:val="24"/>
        </w:rPr>
      </w:pPr>
      <w:r>
        <w:rPr>
          <w:rFonts w:eastAsia="SimSun"/>
          <w:i w:val="0"/>
          <w:iCs w:val="0"/>
          <w:color w:val="auto"/>
          <w:sz w:val="24"/>
          <w:szCs w:val="24"/>
        </w:rPr>
        <w:lastRenderedPageBreak/>
        <w:t xml:space="preserve">Supplemental Table </w:t>
      </w:r>
      <w:r w:rsidR="00752E2B">
        <w:rPr>
          <w:rFonts w:eastAsia="SimSun"/>
          <w:i w:val="0"/>
          <w:iCs w:val="0"/>
          <w:color w:val="auto"/>
          <w:sz w:val="24"/>
          <w:szCs w:val="24"/>
        </w:rPr>
        <w:t>5</w:t>
      </w:r>
      <w:r>
        <w:rPr>
          <w:rFonts w:eastAsia="SimSun"/>
          <w:i w:val="0"/>
          <w:iCs w:val="0"/>
          <w:color w:val="auto"/>
          <w:sz w:val="24"/>
          <w:szCs w:val="24"/>
        </w:rPr>
        <w:t>. Extended Half-life Prophylaxis Comparator Arm Results</w:t>
      </w:r>
      <w:r w:rsidR="00417B5B" w:rsidRPr="00417B5B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a</w:t>
      </w:r>
      <w:r w:rsidR="00EE5C7D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,</w:t>
      </w:r>
      <w:r w:rsidR="00CD4B06">
        <w:rPr>
          <w:rFonts w:eastAsia="SimSun"/>
          <w:i w:val="0"/>
          <w:iCs w:val="0"/>
          <w:color w:val="auto"/>
          <w:sz w:val="24"/>
          <w:szCs w:val="24"/>
          <w:vertAlign w:val="superscript"/>
        </w:rPr>
        <w:t>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2160"/>
      </w:tblGrid>
      <w:tr w:rsidR="00F949F9" w14:paraId="021E7259" w14:textId="77777777" w:rsidTr="00F949F9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1E5207" w14:textId="77777777" w:rsidR="00F949F9" w:rsidRDefault="00F949F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3D8EBC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99CB57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Extended Half-life Prophylaxis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1AAAFD" w14:textId="77777777" w:rsidR="00F949F9" w:rsidRDefault="00F949F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Valoctocogene roxaparvovec vs Extended Half-life Prophylaxis</w:t>
            </w:r>
          </w:p>
        </w:tc>
      </w:tr>
      <w:tr w:rsidR="00F949F9" w14:paraId="65521EEB" w14:textId="77777777" w:rsidTr="00F949F9">
        <w:trPr>
          <w:trHeight w:val="10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569EA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D2EF3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4ECAD7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8542E" w14:textId="77777777" w:rsidR="00F949F9" w:rsidRDefault="00F949F9">
            <w:pPr>
              <w:spacing w:before="0" w:after="0" w:line="240" w:lineRule="auto"/>
              <w:outlineLvl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307A05" w14:paraId="63EDFFA0" w14:textId="77777777" w:rsidTr="00F949F9">
        <w:trPr>
          <w:trHeight w:val="302"/>
        </w:trPr>
        <w:tc>
          <w:tcPr>
            <w:tcW w:w="2880" w:type="dxa"/>
            <w:vAlign w:val="bottom"/>
            <w:hideMark/>
          </w:tcPr>
          <w:p w14:paraId="1A791A64" w14:textId="77777777" w:rsidR="00307A05" w:rsidRPr="005750A1" w:rsidRDefault="00307A05" w:rsidP="00307A05">
            <w:pPr>
              <w:spacing w:before="0" w:after="0" w:line="240" w:lineRule="auto"/>
            </w:pPr>
            <w:r>
              <w:t>Discounted T</w:t>
            </w:r>
            <w:r w:rsidRPr="005750A1">
              <w:t>otal Cost, $</w:t>
            </w:r>
          </w:p>
        </w:tc>
        <w:tc>
          <w:tcPr>
            <w:tcW w:w="2250" w:type="dxa"/>
            <w:vAlign w:val="bottom"/>
            <w:hideMark/>
          </w:tcPr>
          <w:p w14:paraId="32F6379C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17,403,698 (85,395)</w:t>
            </w:r>
          </w:p>
        </w:tc>
        <w:tc>
          <w:tcPr>
            <w:tcW w:w="2070" w:type="dxa"/>
            <w:vAlign w:val="bottom"/>
            <w:hideMark/>
          </w:tcPr>
          <w:p w14:paraId="2AC027E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24,682,895 (91,471)</w:t>
            </w:r>
          </w:p>
        </w:tc>
        <w:tc>
          <w:tcPr>
            <w:tcW w:w="2160" w:type="dxa"/>
            <w:vAlign w:val="bottom"/>
            <w:hideMark/>
          </w:tcPr>
          <w:p w14:paraId="28C68BCD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-7,279,197 (50,305)</w:t>
            </w:r>
          </w:p>
        </w:tc>
      </w:tr>
      <w:tr w:rsidR="00307A05" w14:paraId="0B930E27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3C749A41" w14:textId="77777777" w:rsidR="00307A05" w:rsidRDefault="00307A05" w:rsidP="00307A05">
            <w:pPr>
              <w:spacing w:before="0" w:after="0" w:line="240" w:lineRule="auto"/>
            </w:pPr>
            <w:r>
              <w:t>Total Bleed Events (All)</w:t>
            </w:r>
          </w:p>
        </w:tc>
        <w:tc>
          <w:tcPr>
            <w:tcW w:w="2250" w:type="dxa"/>
            <w:noWrap/>
            <w:vAlign w:val="bottom"/>
            <w:hideMark/>
          </w:tcPr>
          <w:p w14:paraId="604E967D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186 (2)</w:t>
            </w:r>
          </w:p>
        </w:tc>
        <w:tc>
          <w:tcPr>
            <w:tcW w:w="2070" w:type="dxa"/>
            <w:noWrap/>
            <w:vAlign w:val="bottom"/>
            <w:hideMark/>
          </w:tcPr>
          <w:p w14:paraId="41F0224F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229 (3)</w:t>
            </w:r>
          </w:p>
        </w:tc>
        <w:tc>
          <w:tcPr>
            <w:tcW w:w="2160" w:type="dxa"/>
            <w:noWrap/>
            <w:vAlign w:val="bottom"/>
            <w:hideMark/>
          </w:tcPr>
          <w:p w14:paraId="346115E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-43 (1)</w:t>
            </w:r>
          </w:p>
        </w:tc>
      </w:tr>
      <w:tr w:rsidR="00307A05" w14:paraId="27E14734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2392949C" w14:textId="77777777" w:rsidR="00307A05" w:rsidRDefault="00307A05" w:rsidP="00307A05">
            <w:pPr>
              <w:spacing w:before="0" w:after="0" w:line="240" w:lineRule="auto"/>
            </w:pPr>
            <w:r>
              <w:t>Total 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495BDF1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112 (2)</w:t>
            </w:r>
          </w:p>
        </w:tc>
        <w:tc>
          <w:tcPr>
            <w:tcW w:w="2070" w:type="dxa"/>
            <w:noWrap/>
            <w:vAlign w:val="bottom"/>
            <w:hideMark/>
          </w:tcPr>
          <w:p w14:paraId="648B4F73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144 (2)</w:t>
            </w:r>
          </w:p>
        </w:tc>
        <w:tc>
          <w:tcPr>
            <w:tcW w:w="2160" w:type="dxa"/>
            <w:noWrap/>
            <w:vAlign w:val="bottom"/>
            <w:hideMark/>
          </w:tcPr>
          <w:p w14:paraId="4F73C88A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-33 (1)</w:t>
            </w:r>
          </w:p>
        </w:tc>
      </w:tr>
      <w:tr w:rsidR="00307A05" w14:paraId="28233F86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08754D0B" w14:textId="77777777" w:rsidR="00307A05" w:rsidRDefault="00307A05" w:rsidP="00307A05">
            <w:pPr>
              <w:spacing w:before="0" w:after="0" w:line="240" w:lineRule="auto"/>
            </w:pPr>
            <w:r>
              <w:t>Total Non-Joint Bleed Events</w:t>
            </w:r>
          </w:p>
        </w:tc>
        <w:tc>
          <w:tcPr>
            <w:tcW w:w="2250" w:type="dxa"/>
            <w:noWrap/>
            <w:vAlign w:val="bottom"/>
            <w:hideMark/>
          </w:tcPr>
          <w:p w14:paraId="1719467C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75 (1)</w:t>
            </w:r>
          </w:p>
        </w:tc>
        <w:tc>
          <w:tcPr>
            <w:tcW w:w="2070" w:type="dxa"/>
            <w:noWrap/>
            <w:vAlign w:val="bottom"/>
            <w:hideMark/>
          </w:tcPr>
          <w:p w14:paraId="3FB1D252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85 (1)</w:t>
            </w:r>
          </w:p>
        </w:tc>
        <w:tc>
          <w:tcPr>
            <w:tcW w:w="2160" w:type="dxa"/>
            <w:noWrap/>
            <w:vAlign w:val="bottom"/>
            <w:hideMark/>
          </w:tcPr>
          <w:p w14:paraId="23DE746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-10 (0)</w:t>
            </w:r>
          </w:p>
        </w:tc>
      </w:tr>
      <w:tr w:rsidR="00307A05" w14:paraId="481BEEA7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6B48B771" w14:textId="77777777" w:rsidR="00307A05" w:rsidRDefault="00307A05" w:rsidP="00307A05">
            <w:pPr>
              <w:spacing w:before="0" w:after="0" w:line="240" w:lineRule="auto"/>
            </w:pPr>
            <w:r>
              <w:t>Discounted Total Infusions</w:t>
            </w:r>
          </w:p>
        </w:tc>
        <w:tc>
          <w:tcPr>
            <w:tcW w:w="2250" w:type="dxa"/>
            <w:noWrap/>
            <w:vAlign w:val="bottom"/>
            <w:hideMark/>
          </w:tcPr>
          <w:p w14:paraId="5FB259FE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3,843 (18)</w:t>
            </w:r>
          </w:p>
        </w:tc>
        <w:tc>
          <w:tcPr>
            <w:tcW w:w="2070" w:type="dxa"/>
            <w:noWrap/>
            <w:vAlign w:val="bottom"/>
            <w:hideMark/>
          </w:tcPr>
          <w:p w14:paraId="58334D7F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5,073 (18)</w:t>
            </w:r>
          </w:p>
        </w:tc>
        <w:tc>
          <w:tcPr>
            <w:tcW w:w="2160" w:type="dxa"/>
            <w:noWrap/>
            <w:vAlign w:val="bottom"/>
            <w:hideMark/>
          </w:tcPr>
          <w:p w14:paraId="4330F460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-1,230 (7)</w:t>
            </w:r>
          </w:p>
        </w:tc>
      </w:tr>
      <w:tr w:rsidR="00307A05" w14:paraId="542668E9" w14:textId="77777777" w:rsidTr="00F949F9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729F4618" w14:textId="77777777" w:rsidR="00307A05" w:rsidRDefault="00307A05" w:rsidP="00307A05">
            <w:pPr>
              <w:spacing w:before="0" w:after="0" w:line="240" w:lineRule="auto"/>
            </w:pPr>
            <w:r>
              <w:t>Discounted LYs</w:t>
            </w:r>
          </w:p>
        </w:tc>
        <w:tc>
          <w:tcPr>
            <w:tcW w:w="2250" w:type="dxa"/>
            <w:noWrap/>
            <w:vAlign w:val="bottom"/>
            <w:hideMark/>
          </w:tcPr>
          <w:p w14:paraId="63510738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070" w:type="dxa"/>
            <w:noWrap/>
            <w:vAlign w:val="bottom"/>
            <w:hideMark/>
          </w:tcPr>
          <w:p w14:paraId="368EDCF7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23.565 (0.051)</w:t>
            </w:r>
          </w:p>
        </w:tc>
        <w:tc>
          <w:tcPr>
            <w:tcW w:w="2160" w:type="dxa"/>
            <w:noWrap/>
            <w:vAlign w:val="bottom"/>
            <w:hideMark/>
          </w:tcPr>
          <w:p w14:paraId="21BFBF9B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0 (0)</w:t>
            </w:r>
          </w:p>
        </w:tc>
      </w:tr>
      <w:tr w:rsidR="00307A05" w14:paraId="6A6682F5" w14:textId="77777777" w:rsidTr="00F949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3970C" w14:textId="77777777" w:rsidR="00307A05" w:rsidRDefault="00307A05" w:rsidP="00307A05">
            <w:pPr>
              <w:spacing w:before="0" w:after="0" w:line="240" w:lineRule="auto"/>
            </w:pPr>
            <w:r>
              <w:t>Discounted QALYs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6907D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18.358 (0.039)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1B8D2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17.790 (0.039)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C069C" w14:textId="77777777" w:rsidR="00307A05" w:rsidRDefault="00307A05" w:rsidP="00307A05">
            <w:pPr>
              <w:spacing w:before="0" w:after="0" w:line="240" w:lineRule="auto"/>
              <w:jc w:val="right"/>
            </w:pPr>
            <w:r>
              <w:t>0.569 (0.005)</w:t>
            </w:r>
          </w:p>
        </w:tc>
      </w:tr>
    </w:tbl>
    <w:p w14:paraId="79BAED9B" w14:textId="77777777" w:rsidR="00F949F9" w:rsidRDefault="00417B5B" w:rsidP="00F949F9">
      <w:pPr>
        <w:pStyle w:val="FootnoteText"/>
        <w:rPr>
          <w:color w:val="auto"/>
        </w:rPr>
      </w:pPr>
      <w:r w:rsidRPr="00417B5B">
        <w:rPr>
          <w:color w:val="auto"/>
          <w:vertAlign w:val="superscript"/>
        </w:rPr>
        <w:t>a</w:t>
      </w:r>
      <w:r w:rsidR="00F949F9">
        <w:rPr>
          <w:color w:val="auto"/>
        </w:rPr>
        <w:t>All values are reported as mean (Monte Carlo standard error).</w:t>
      </w:r>
    </w:p>
    <w:p w14:paraId="133A5623" w14:textId="77777777" w:rsidR="007F49E5" w:rsidRPr="00FC59B2" w:rsidRDefault="00CD4B06" w:rsidP="000717FC">
      <w:pPr>
        <w:pStyle w:val="FootnoteText"/>
        <w:rPr>
          <w:color w:val="FF0000"/>
        </w:rPr>
      </w:pPr>
      <w:r w:rsidRPr="00FC59B2">
        <w:rPr>
          <w:color w:val="FF0000"/>
          <w:vertAlign w:val="superscript"/>
        </w:rPr>
        <w:t>b</w:t>
      </w:r>
      <w:r w:rsidRPr="00FC59B2">
        <w:rPr>
          <w:color w:val="FF0000"/>
        </w:rPr>
        <w:t xml:space="preserve">Scenario analysis alters the cost ($103.50 per kg; dose of 50 IU/kg) and injection frequency (twice weekly) </w:t>
      </w:r>
      <w:r w:rsidR="00F25BA3" w:rsidRPr="00FC59B2">
        <w:rPr>
          <w:color w:val="FF0000"/>
        </w:rPr>
        <w:t xml:space="preserve">of the comparator arm </w:t>
      </w:r>
      <w:r w:rsidRPr="00FC59B2">
        <w:rPr>
          <w:color w:val="FF0000"/>
        </w:rPr>
        <w:t>to reflect the treatment regimen for extended half-life prophylaxis.</w:t>
      </w:r>
      <w:r w:rsidR="00513336" w:rsidRPr="00FC59B2">
        <w:rPr>
          <w:color w:val="FF0000"/>
        </w:rPr>
        <w:t xml:space="preserve"> All other parameters, including bleed rates, reflect the model base case (</w:t>
      </w:r>
      <w:r w:rsidR="00FC59B2">
        <w:rPr>
          <w:color w:val="FF0000"/>
        </w:rPr>
        <w:t xml:space="preserve">with </w:t>
      </w:r>
      <w:r w:rsidR="00513336" w:rsidRPr="00FC59B2">
        <w:rPr>
          <w:color w:val="FF0000"/>
        </w:rPr>
        <w:t>standard half-life FVIII prophylaxis</w:t>
      </w:r>
      <w:r w:rsidR="00FC59B2">
        <w:rPr>
          <w:color w:val="FF0000"/>
        </w:rPr>
        <w:t xml:space="preserve"> comparator</w:t>
      </w:r>
      <w:r w:rsidR="00513336" w:rsidRPr="00FC59B2">
        <w:rPr>
          <w:color w:val="FF0000"/>
        </w:rPr>
        <w:t>).</w:t>
      </w:r>
    </w:p>
    <w:sectPr w:rsidR="007F49E5" w:rsidRPr="00FC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ABF1" w14:textId="77777777" w:rsidR="00DE1E8C" w:rsidRDefault="00DE1E8C" w:rsidP="00B7662F">
      <w:pPr>
        <w:spacing w:before="0" w:after="0" w:line="240" w:lineRule="auto"/>
      </w:pPr>
      <w:r>
        <w:separator/>
      </w:r>
    </w:p>
  </w:endnote>
  <w:endnote w:type="continuationSeparator" w:id="0">
    <w:p w14:paraId="1FCA328B" w14:textId="77777777" w:rsidR="00DE1E8C" w:rsidRDefault="00DE1E8C" w:rsidP="00B766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350AC" w14:textId="77777777" w:rsidR="00B7662F" w:rsidRDefault="00B7662F" w:rsidP="003E3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3B73" w14:textId="77777777" w:rsidR="00DE1E8C" w:rsidRDefault="00DE1E8C" w:rsidP="00B7662F">
      <w:pPr>
        <w:spacing w:before="0" w:after="0" w:line="240" w:lineRule="auto"/>
      </w:pPr>
      <w:r>
        <w:separator/>
      </w:r>
    </w:p>
  </w:footnote>
  <w:footnote w:type="continuationSeparator" w:id="0">
    <w:p w14:paraId="1E0A55FE" w14:textId="77777777" w:rsidR="00DE1E8C" w:rsidRDefault="00DE1E8C" w:rsidP="00B7662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9"/>
    <w:rsid w:val="000327E6"/>
    <w:rsid w:val="000717FC"/>
    <w:rsid w:val="00307A05"/>
    <w:rsid w:val="003E33DA"/>
    <w:rsid w:val="00417B5B"/>
    <w:rsid w:val="00456CDA"/>
    <w:rsid w:val="004C4A79"/>
    <w:rsid w:val="00513336"/>
    <w:rsid w:val="005750A1"/>
    <w:rsid w:val="00752E2B"/>
    <w:rsid w:val="00772BA6"/>
    <w:rsid w:val="00834EBF"/>
    <w:rsid w:val="00837946"/>
    <w:rsid w:val="00936327"/>
    <w:rsid w:val="009C25BC"/>
    <w:rsid w:val="00A45113"/>
    <w:rsid w:val="00B477FC"/>
    <w:rsid w:val="00B7662F"/>
    <w:rsid w:val="00B91234"/>
    <w:rsid w:val="00B97D93"/>
    <w:rsid w:val="00C01E21"/>
    <w:rsid w:val="00C651E7"/>
    <w:rsid w:val="00CD4B06"/>
    <w:rsid w:val="00DD4744"/>
    <w:rsid w:val="00DE1E8C"/>
    <w:rsid w:val="00E15C6A"/>
    <w:rsid w:val="00E16CFA"/>
    <w:rsid w:val="00EE5C7D"/>
    <w:rsid w:val="00F25BA3"/>
    <w:rsid w:val="00F949F9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0CD1"/>
  <w15:chartTrackingRefBased/>
  <w15:docId w15:val="{7FA17A75-8084-47B7-859B-AD3913D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 Normal"/>
    <w:qFormat/>
    <w:rsid w:val="00F949F9"/>
    <w:pPr>
      <w:spacing w:before="120" w:after="120" w:line="48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aliases w:val="AG Heading 2"/>
    <w:basedOn w:val="Normal"/>
    <w:next w:val="Normal"/>
    <w:link w:val="Heading2Char"/>
    <w:uiPriority w:val="2"/>
    <w:semiHidden/>
    <w:unhideWhenUsed/>
    <w:qFormat/>
    <w:rsid w:val="00F949F9"/>
    <w:pPr>
      <w:keepNext/>
      <w:spacing w:before="360"/>
      <w:outlineLvl w:val="1"/>
    </w:pPr>
    <w:rPr>
      <w:rFonts w:ascii="Arial" w:hAnsi="Arial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G Heading 2 Char"/>
    <w:basedOn w:val="DefaultParagraphFont"/>
    <w:link w:val="Heading2"/>
    <w:uiPriority w:val="2"/>
    <w:semiHidden/>
    <w:rsid w:val="00F949F9"/>
    <w:rPr>
      <w:rFonts w:ascii="Arial" w:eastAsia="Times New Roman" w:hAnsi="Arial" w:cs="Times New Roman"/>
      <w:color w:val="44546A" w:themeColor="text2"/>
    </w:rPr>
  </w:style>
  <w:style w:type="character" w:customStyle="1" w:styleId="FootnoteTextChar">
    <w:name w:val="Footnote Text Char"/>
    <w:aliases w:val="AG Footnote Text Char"/>
    <w:basedOn w:val="DefaultParagraphFont"/>
    <w:link w:val="FootnoteText"/>
    <w:uiPriority w:val="99"/>
    <w:locked/>
    <w:rsid w:val="00F949F9"/>
    <w:rPr>
      <w:rFonts w:ascii="Times New Roman" w:eastAsia="Times New Roman" w:hAnsi="Times New Roman" w:cs="Times New Roman"/>
      <w:color w:val="FFC000" w:themeColor="accent4"/>
      <w:sz w:val="16"/>
      <w:szCs w:val="20"/>
    </w:rPr>
  </w:style>
  <w:style w:type="paragraph" w:styleId="FootnoteText">
    <w:name w:val="footnote text"/>
    <w:aliases w:val="AG Footnote Text"/>
    <w:basedOn w:val="Normal"/>
    <w:link w:val="FootnoteTextChar"/>
    <w:autoRedefine/>
    <w:uiPriority w:val="99"/>
    <w:unhideWhenUsed/>
    <w:rsid w:val="00F949F9"/>
    <w:pPr>
      <w:spacing w:before="0" w:after="0" w:line="240" w:lineRule="auto"/>
    </w:pPr>
    <w:rPr>
      <w:color w:val="FFC000" w:themeColor="accent4"/>
      <w:sz w:val="16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949F9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49F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6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66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</dc:creator>
  <cp:keywords/>
  <dc:description/>
  <cp:lastModifiedBy>Laxmi S. Dharmapuri</cp:lastModifiedBy>
  <cp:revision>2</cp:revision>
  <dcterms:created xsi:type="dcterms:W3CDTF">2020-04-23T08:38:00Z</dcterms:created>
  <dcterms:modified xsi:type="dcterms:W3CDTF">2020-04-23T08:38:00Z</dcterms:modified>
</cp:coreProperties>
</file>