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1695" cy="4921250"/>
            <wp:effectExtent l="0" t="0" r="0" b="0"/>
            <wp:wrapSquare wrapText="largest"/>
            <wp:docPr id="1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36" r="-30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en-GB"/>
        </w:rPr>
        <w:t>F</w:t>
      </w:r>
      <w:r>
        <w:rPr>
          <w:b/>
          <w:bCs/>
          <w:lang w:val="en-GB"/>
        </w:rPr>
        <w:t>igure S1.</w:t>
      </w:r>
      <w:r>
        <w:rPr>
          <w:lang w:val="en-GB"/>
        </w:rPr>
        <w:t xml:space="preserve"> Graphical summary of the bioinformatic pipeline used to assign museum specimens to a lineage based on illumina reads.</w:t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610235</wp:posOffset>
            </wp:positionH>
            <wp:positionV relativeFrom="paragraph">
              <wp:posOffset>11430</wp:posOffset>
            </wp:positionV>
            <wp:extent cx="4614545" cy="3023870"/>
            <wp:effectExtent l="0" t="0" r="0" b="0"/>
            <wp:wrapSquare wrapText="bothSides"/>
            <wp:docPr id="2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47" t="-225" r="-147" b="-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/>
      </w:pPr>
      <w:r>
        <w:rPr>
          <w:b/>
          <w:bCs/>
          <w:lang w:val="en-GB"/>
        </w:rPr>
        <w:t>Figure S2.</w:t>
      </w:r>
      <w:r>
        <w:rPr>
          <w:lang w:val="en-GB"/>
        </w:rPr>
        <w:t xml:space="preserve"> Tree based on cytochrome oxidase subunit 1 (cox1) sequences, including consensus sequences of four historical type specimens (in red: </w:t>
      </w:r>
      <w:r>
        <w:rPr>
          <w:i/>
          <w:iCs/>
          <w:lang w:val="en-GB"/>
        </w:rPr>
        <w:t>Mantidactylus (M.) guttulatus</w:t>
      </w:r>
      <w:r>
        <w:rPr>
          <w:lang w:val="en-GB"/>
        </w:rPr>
        <w:t xml:space="preserve">; in light brown: </w:t>
      </w:r>
      <w:r>
        <w:rPr>
          <w:i/>
          <w:iCs/>
          <w:lang w:val="en-GB"/>
        </w:rPr>
        <w:t>M. (M.) grandidieri</w:t>
      </w:r>
      <w:r>
        <w:rPr>
          <w:lang w:val="en-GB"/>
        </w:rPr>
        <w:t xml:space="preserve">). </w:t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  <w:r>
        <w:br w:type="page"/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21835" cy="3024505"/>
            <wp:effectExtent l="0" t="0" r="0" b="0"/>
            <wp:wrapSquare wrapText="largest"/>
            <wp:docPr id="3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1" t="-225" r="-151" b="-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bidi w:val="0"/>
        <w:jc w:val="left"/>
        <w:rPr/>
      </w:pPr>
      <w:r>
        <w:rPr>
          <w:b/>
          <w:bCs/>
          <w:lang w:val="en-GB"/>
        </w:rPr>
        <w:t>Figure S3.</w:t>
      </w:r>
      <w:r>
        <w:rPr>
          <w:lang w:val="en-GB"/>
        </w:rPr>
        <w:t xml:space="preserve"> Tree based on cytochome b (cob) sequences, including consensus sequences of four historical type specimens (in red: </w:t>
      </w:r>
      <w:r>
        <w:rPr>
          <w:i/>
          <w:iCs/>
          <w:lang w:val="en-GB"/>
        </w:rPr>
        <w:t>Mantidactylus (M.) guttulatus</w:t>
      </w:r>
      <w:r>
        <w:rPr>
          <w:lang w:val="en-GB"/>
        </w:rPr>
        <w:t xml:space="preserve">; in light brown: </w:t>
      </w:r>
      <w:r>
        <w:rPr>
          <w:i/>
          <w:iCs/>
          <w:lang w:val="en-GB"/>
        </w:rPr>
        <w:t>M. (M.) grandidieri</w:t>
      </w:r>
      <w:r>
        <w:rPr>
          <w:lang w:val="en-GB"/>
        </w:rPr>
        <w:t xml:space="preserve">). </w:t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  <w:r>
        <w:br w:type="page"/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bidi w:val="0"/>
        <w:jc w:val="left"/>
        <w:rPr>
          <w:lang w:val="en-GB" w:eastAsia="en-US"/>
        </w:rPr>
      </w:pPr>
      <w:r>
        <w:rPr/>
        <w:drawing>
          <wp:inline distT="0" distB="0" distL="0" distR="0">
            <wp:extent cx="5995670" cy="2447290"/>
            <wp:effectExtent l="0" t="0" r="0" b="0"/>
            <wp:docPr id="4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4" t="-136" r="-64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b/>
          <w:b/>
          <w:bCs/>
          <w:lang w:val="en-GB" w:eastAsia="en-US"/>
        </w:rPr>
      </w:pPr>
      <w:r>
        <w:rPr>
          <w:b/>
          <w:bCs/>
          <w:lang w:val="en-GB" w:eastAsia="en-US"/>
        </w:rPr>
      </w:r>
    </w:p>
    <w:p>
      <w:pPr>
        <w:pStyle w:val="Normal"/>
        <w:bidi w:val="0"/>
        <w:jc w:val="left"/>
        <w:rPr/>
      </w:pPr>
      <w:r>
        <w:rPr>
          <w:b/>
          <w:bCs/>
          <w:lang w:val="en-GB"/>
        </w:rPr>
        <w:t>Figure S4.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Alignment of 16 reads derived from bait capture of the holotype of </w:t>
      </w:r>
      <w:r>
        <w:rPr>
          <w:i/>
          <w:iCs/>
          <w:lang w:val="en-GB"/>
        </w:rPr>
        <w:t>Rana pigra</w:t>
      </w:r>
      <w:r>
        <w:rPr>
          <w:lang w:val="en-GB"/>
        </w:rPr>
        <w:t xml:space="preserve"> (MNHN 1899.410) that matched the terminal part of the cytochrome b fragment analysed. These reads best match the sequence of the lineage considered to be </w:t>
      </w:r>
      <w:r>
        <w:rPr>
          <w:i/>
          <w:lang w:val="en-GB"/>
        </w:rPr>
        <w:t>Mantidactylus (M.) guttulatus.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JP Regular" w:cs="Free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JP Regular" w:cs="FreeSans"/>
      <w:color w:val="auto"/>
      <w:kern w:val="2"/>
      <w:sz w:val="24"/>
      <w:szCs w:val="24"/>
      <w:lang w:val="en-US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LibreOffice/6.2.4.2$Windows_X86_64 LibreOffice_project/2412653d852ce75f65fbfa83fb7e7b669a126d64</Application>
  <Pages>4</Pages>
  <Words>122</Words>
  <Characters>691</Characters>
  <CharactersWithSpaces>811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2019-10-15T14:20:05Z</dcterms:created>
  <dc:creator>Loïs Rancilhac</dc:creator>
  <dc:description/>
  <dc:language>en-US</dc:language>
  <cp:lastModifiedBy>Lois Rancilhac</cp:lastModifiedBy>
  <dcterms:modified xsi:type="dcterms:W3CDTF">2020-03-19T15:28:35Z</dcterms:modified>
  <cp:revision>4</cp:revision>
  <dc:subject/>
  <dc:title/>
</cp:coreProperties>
</file>