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86B2" w14:textId="77777777" w:rsidR="00513DF6" w:rsidRDefault="00513DF6" w:rsidP="00513DF6">
      <w:r>
        <w:t xml:space="preserve">Supplementary table 1. </w:t>
      </w:r>
      <w:r w:rsidRPr="005C2085">
        <w:t xml:space="preserve">Demographic characteristics of the PPROM Subgroup (No PPROM vs. </w:t>
      </w:r>
      <w:r w:rsidR="00DF41D8">
        <w:t>PPROM25</w:t>
      </w:r>
      <w:r w:rsidRPr="005C2085">
        <w:t>)</w:t>
      </w:r>
      <w:r>
        <w:t>.</w:t>
      </w:r>
    </w:p>
    <w:tbl>
      <w:tblPr>
        <w:tblW w:w="102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1744"/>
        <w:gridCol w:w="1517"/>
        <w:gridCol w:w="1559"/>
        <w:gridCol w:w="1177"/>
        <w:gridCol w:w="715"/>
      </w:tblGrid>
      <w:tr w:rsidR="00513DF6" w:rsidRPr="00D16B4D" w14:paraId="1327FD3F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556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4055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 PPROM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F0A4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PPROM25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B5D8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F961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/>
                <w:b/>
                <w:bCs/>
                <w:i/>
                <w:color w:val="000000"/>
                <w:kern w:val="0"/>
                <w:sz w:val="18"/>
                <w:szCs w:val="18"/>
              </w:rPr>
              <w:t>p-</w:t>
            </w:r>
            <w:r w:rsidRPr="00D16B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513DF6" w:rsidRPr="00D16B4D" w14:paraId="76847A37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08DF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0238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Pr="00D16B4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n=5,702</w:t>
            </w: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E275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Pr="00D16B4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n=402</w:t>
            </w: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689F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(n</w:t>
            </w:r>
            <w:r w:rsidRPr="00D16B4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=6,104</w:t>
            </w:r>
            <w:r w:rsidRPr="00D16B4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57B5" w14:textId="77777777" w:rsidR="00513DF6" w:rsidRPr="00D16B4D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13DF6" w:rsidRPr="005C2085" w14:paraId="77BF573D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A6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Gestational age (</w:t>
            </w:r>
            <w:proofErr w:type="spellStart"/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wk</w:t>
            </w:r>
            <w:proofErr w:type="spellEnd"/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D6D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28.9±2.8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5AF0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26.1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±1.9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78D7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28.8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±2.8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86CF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488FFBD5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A72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Birth weight (g)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E3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1,083.4±281.5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DB36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873.8±234.9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85EC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1,069.6±283.5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B0BC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08368D68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E48F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1-min Apgar 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50C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4.7±2.0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31B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3.4±1.8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4650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4.6±2.0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644B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5619670A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18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5-min Apgar 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30F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6.9</w:t>
            </w:r>
            <w:r w:rsidR="000232C0"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±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69C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5.8±2.0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34DD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6.8±1.8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CAE4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39F7BFCB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DF26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Male sex, n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997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2,851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(50.0)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5F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212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(52.7)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222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3,063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(50.2)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E3D8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0.289 </w:t>
            </w:r>
          </w:p>
        </w:tc>
      </w:tr>
      <w:tr w:rsidR="00513DF6" w:rsidRPr="005C2085" w14:paraId="649FD49B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EEB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Small for gestational age, n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84D9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1,673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(29.3)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CD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30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2C3E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1,703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(27.9)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2E73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3B20D582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E8D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Cesarean section, n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B4D0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4,607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(80.8)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3E04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271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(67.4)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10F9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4,878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(79.9)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F20E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363C7C81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E9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Multiple pregnancy, n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8C7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2,145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(37.6)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B04F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138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(34.3)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7D6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2,283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(37.4)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7C7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0.188 </w:t>
            </w:r>
          </w:p>
        </w:tc>
      </w:tr>
      <w:tr w:rsidR="00513DF6" w:rsidRPr="005C2085" w14:paraId="51B195EC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F33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Inborn, n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554D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5,555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(97.4)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9A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399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(99.3)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CD5B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5,954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(97.5)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01A9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0.022* </w:t>
            </w:r>
          </w:p>
        </w:tc>
      </w:tr>
      <w:tr w:rsidR="00513DF6" w:rsidRPr="005C2085" w14:paraId="084B6034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5D4C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Pregnancy induced hypertension, n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E8EE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1,407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(24.7)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AE67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8B3F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1,410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(23.1)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3F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C2085" w14:paraId="48831C96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685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Maternal DM, n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5C9F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501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0E23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22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2E68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523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(8.6)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0F83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0.022* </w:t>
            </w:r>
          </w:p>
        </w:tc>
      </w:tr>
      <w:tr w:rsidR="00513DF6" w:rsidRPr="005C2085" w14:paraId="1BD0530B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740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Antenatal steroid, n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3C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4,385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(78.0)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3A8C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340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(85.4)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C40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4,725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(78.5)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4E93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0.001* </w:t>
            </w:r>
          </w:p>
        </w:tc>
      </w:tr>
      <w:tr w:rsidR="00513DF6" w:rsidRPr="005C2085" w14:paraId="0A53469C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8738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Chorioamnionitis, n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7FE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1,342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(28.3)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FB0A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234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(65.9)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7837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1,576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(31.0)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97B1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0232C0" w:rsidRPr="005C2085" w14:paraId="471BE665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71F7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O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ligohydramnios, n (%)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D96A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2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31 (9.3)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7253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45 (36.1)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CA8B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6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76 (11.1)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E2205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8"/>
                <w:szCs w:val="18"/>
              </w:rPr>
              <w:t>&lt;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8"/>
                <w:szCs w:val="18"/>
              </w:rPr>
              <w:t>0.001*</w:t>
            </w:r>
          </w:p>
        </w:tc>
      </w:tr>
      <w:tr w:rsidR="000232C0" w:rsidRPr="005C2085" w14:paraId="307B380E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7C99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D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uration of PPROM (d)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AD23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.3</w:t>
            </w: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±0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.3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8C9FD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3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1.3</w:t>
            </w: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±5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EA8A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0.2</w:t>
            </w: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±3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8"/>
                <w:szCs w:val="18"/>
              </w:rPr>
              <w:t>5.1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7A53E" w14:textId="77777777" w:rsidR="000232C0" w:rsidRPr="00C65431" w:rsidRDefault="000232C0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FF"/>
                <w:kern w:val="0"/>
                <w:sz w:val="18"/>
                <w:szCs w:val="18"/>
              </w:rPr>
            </w:pPr>
            <w:r w:rsidRPr="00C65431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8"/>
                <w:szCs w:val="18"/>
              </w:rPr>
              <w:t>&lt;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8"/>
                <w:szCs w:val="18"/>
              </w:rPr>
              <w:t>0.001*</w:t>
            </w:r>
          </w:p>
        </w:tc>
      </w:tr>
      <w:tr w:rsidR="00513DF6" w:rsidRPr="005C2085" w14:paraId="0849B817" w14:textId="77777777" w:rsidTr="005C6438">
        <w:trPr>
          <w:gridAfter w:val="1"/>
          <w:wAfter w:w="715" w:type="dxa"/>
          <w:trHeight w:val="330"/>
        </w:trPr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46BC" w14:textId="77777777" w:rsidR="00513DF6" w:rsidRPr="00DF41D8" w:rsidRDefault="00424ED6" w:rsidP="00424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pH within 1 hour after birth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3F0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7.28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(7.21-7.34)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3015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7.23</w:t>
            </w:r>
            <w:r w:rsidRPr="00DF41D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(7.14-7.31)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65E0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7.28</w:t>
            </w:r>
            <w:r w:rsidRPr="00DF41D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41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(7.21-7.34)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30D2" w14:textId="77777777" w:rsidR="00513DF6" w:rsidRPr="00DF41D8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&lt;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0.00</w:t>
            </w:r>
            <w:r w:rsidRPr="00DF41D8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1</w:t>
            </w:r>
            <w:r w:rsidRPr="00DF41D8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*</w:t>
            </w:r>
          </w:p>
        </w:tc>
      </w:tr>
      <w:tr w:rsidR="00513DF6" w:rsidRPr="005E7BC5" w14:paraId="221BE42B" w14:textId="77777777" w:rsidTr="005C6438">
        <w:trPr>
          <w:trHeight w:val="330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EFE" w14:textId="77777777" w:rsidR="00513DF6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14:paraId="0ED3E870" w14:textId="77777777" w:rsidR="00513DF6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E7B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p&lt;.05</w:t>
            </w:r>
          </w:p>
          <w:p w14:paraId="7288D312" w14:textId="77777777" w:rsidR="00513DF6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E7B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Data presented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as mean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and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standard deviation </w:t>
            </w:r>
            <w:r w:rsidRPr="005E7B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and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d</w:t>
            </w:r>
            <w:r w:rsidRPr="005E7B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iscrete data presented as counts with percentage of cohort.</w:t>
            </w:r>
          </w:p>
          <w:p w14:paraId="06165733" w14:textId="77777777" w:rsidR="00513DF6" w:rsidRPr="005E7BC5" w:rsidRDefault="00513DF6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PPROM: preterm premature rupture of membranes; DM: diabetes mellitus</w:t>
            </w:r>
          </w:p>
        </w:tc>
      </w:tr>
    </w:tbl>
    <w:p w14:paraId="230D18A5" w14:textId="77777777" w:rsidR="00513DF6" w:rsidRPr="00D16B4D" w:rsidRDefault="00513DF6" w:rsidP="00513DF6"/>
    <w:p w14:paraId="48772F4F" w14:textId="77777777" w:rsidR="00513DF6" w:rsidRDefault="00513DF6" w:rsidP="00513DF6"/>
    <w:p w14:paraId="1F5EBA79" w14:textId="77777777" w:rsidR="00513DF6" w:rsidRDefault="00513DF6" w:rsidP="00513DF6"/>
    <w:p w14:paraId="10248675" w14:textId="77777777" w:rsidR="00513DF6" w:rsidRDefault="00513DF6" w:rsidP="00513DF6"/>
    <w:p w14:paraId="6446E974" w14:textId="77777777" w:rsidR="00513DF6" w:rsidRDefault="00513DF6" w:rsidP="00513DF6"/>
    <w:p w14:paraId="0F76F4C4" w14:textId="77777777" w:rsidR="00513DF6" w:rsidRDefault="00513DF6" w:rsidP="00513DF6"/>
    <w:p w14:paraId="6198ACB6" w14:textId="77777777" w:rsidR="00513DF6" w:rsidRDefault="00513DF6" w:rsidP="00513DF6"/>
    <w:p w14:paraId="3926B415" w14:textId="77777777" w:rsidR="00513DF6" w:rsidRDefault="00513DF6" w:rsidP="00513DF6"/>
    <w:p w14:paraId="1CD76E09" w14:textId="77777777" w:rsidR="00513DF6" w:rsidRDefault="00513DF6" w:rsidP="00513DF6"/>
    <w:p w14:paraId="0FA51209" w14:textId="77777777" w:rsidR="005C6438" w:rsidRDefault="005C6438" w:rsidP="00513DF6">
      <w:pPr>
        <w:sectPr w:rsidR="005C6438" w:rsidSect="005C643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AB190AD" w14:textId="77777777" w:rsidR="005C6438" w:rsidRDefault="005C6438" w:rsidP="00513DF6">
      <w:r>
        <w:lastRenderedPageBreak/>
        <w:t xml:space="preserve">Supplementary table 2. </w:t>
      </w:r>
      <w:r w:rsidRPr="003D0080">
        <w:t>Univariate analysis of the clinical factors associated with mortality and morbidities.</w:t>
      </w:r>
    </w:p>
    <w:tbl>
      <w:tblPr>
        <w:tblW w:w="6003" w:type="pct"/>
        <w:tblInd w:w="-12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421"/>
        <w:gridCol w:w="1418"/>
        <w:gridCol w:w="1559"/>
        <w:gridCol w:w="1424"/>
        <w:gridCol w:w="250"/>
        <w:gridCol w:w="1585"/>
        <w:gridCol w:w="1418"/>
        <w:gridCol w:w="1418"/>
        <w:gridCol w:w="1418"/>
        <w:gridCol w:w="1418"/>
      </w:tblGrid>
      <w:tr w:rsidR="005860AC" w:rsidRPr="005860AC" w14:paraId="7AEF9C67" w14:textId="77777777" w:rsidTr="00A75CA5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989" w14:textId="77777777" w:rsidR="00A75CA5" w:rsidRPr="005860AC" w:rsidRDefault="00A75CA5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6AB1" w14:textId="77777777" w:rsidR="00A75CA5" w:rsidRPr="005860AC" w:rsidRDefault="00A75CA5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Total (N=804)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4E8" w14:textId="77777777" w:rsidR="00A75CA5" w:rsidRPr="005860AC" w:rsidRDefault="00A75CA5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314BF" w14:textId="77777777" w:rsidR="00A75CA5" w:rsidRPr="005860AC" w:rsidRDefault="00A75CA5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PPROM25 (N=402)</w:t>
            </w:r>
          </w:p>
        </w:tc>
      </w:tr>
      <w:tr w:rsidR="005860AC" w:rsidRPr="005860AC" w14:paraId="2BC18F3E" w14:textId="77777777" w:rsidTr="005860AC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2463" w14:textId="77777777" w:rsidR="005C6438" w:rsidRPr="005860AC" w:rsidRDefault="005C6438" w:rsidP="005C64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0C54D" w14:textId="77777777" w:rsidR="005C6438" w:rsidRPr="00C65431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E</w:t>
            </w:r>
            <w:r w:rsidRPr="00C65431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arly pulmonary hypertension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04ED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Mortality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A594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BPD (≥moderate)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026C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IVH </w:t>
            </w:r>
          </w:p>
          <w:p w14:paraId="4529B30A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(≥Gr. </w:t>
            </w:r>
            <w:proofErr w:type="spellStart"/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Ⅲ</w:t>
            </w:r>
            <w:proofErr w:type="spellEnd"/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5D3F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Composite </w:t>
            </w:r>
            <w:proofErr w:type="spellStart"/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morbidity</w:t>
            </w:r>
            <w:r w:rsidRPr="005860AC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3931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2D7A8" w14:textId="77777777" w:rsidR="005C6438" w:rsidRPr="00C65431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E</w:t>
            </w:r>
            <w:r w:rsidRPr="00C65431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arly pulmonary hypertension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0D1E" w14:textId="77777777" w:rsidR="005C6438" w:rsidRPr="005860AC" w:rsidRDefault="005C6438" w:rsidP="005860A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Mortality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FD81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BPD (≥moderate)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43F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IVH </w:t>
            </w:r>
          </w:p>
          <w:p w14:paraId="459654CA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(≥Gr. </w:t>
            </w:r>
            <w:proofErr w:type="spellStart"/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Ⅲ</w:t>
            </w:r>
            <w:proofErr w:type="spellEnd"/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A59F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Composite morbidity</w:t>
            </w:r>
          </w:p>
        </w:tc>
      </w:tr>
      <w:tr w:rsidR="005860AC" w:rsidRPr="005860AC" w14:paraId="2E8AB93C" w14:textId="77777777" w:rsidTr="00A75CA5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0621" w14:textId="77777777" w:rsidR="005C6438" w:rsidRPr="005860AC" w:rsidRDefault="005C6438" w:rsidP="005C6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FA34" w14:textId="77777777" w:rsidR="005C6438" w:rsidRPr="00C65431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O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R </w:t>
            </w: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95% CI)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6B0B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49C9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4DC0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C59F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4858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21ACF" w14:textId="77777777" w:rsidR="005C6438" w:rsidRPr="00C65431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O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R </w:t>
            </w: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95% 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2B93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</w:t>
            </w:r>
            <w:r w:rsidR="00A75CA5" w:rsidRPr="005860AC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7EF7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BE65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FB7C" w14:textId="77777777" w:rsidR="005C6438" w:rsidRPr="005860AC" w:rsidRDefault="005C6438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OR (95% CI)</w:t>
            </w:r>
          </w:p>
        </w:tc>
      </w:tr>
      <w:tr w:rsidR="005860AC" w:rsidRPr="005860AC" w14:paraId="4BFC5640" w14:textId="77777777" w:rsidTr="00A75CA5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0FEF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Gestational age (</w:t>
            </w:r>
            <w:proofErr w:type="spellStart"/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wk</w:t>
            </w:r>
            <w:proofErr w:type="spellEnd"/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CFD1533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20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20"/>
              </w:rPr>
              <w:t xml:space="preserve">0.85 (0.73,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20"/>
              </w:rPr>
              <w:t>0.99)*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030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0.63 (0.57,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0.71)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9BB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0.71 (0.65,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3901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0.63 (0.55,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0.72)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DBCA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0.65 (0.59,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0.71)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BB1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5D3FC23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.92 (0.77, 1.09)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91D2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0.69 (0.60,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0.80)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0D9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0.75</w:t>
            </w:r>
            <w:r w:rsidRPr="005860AC"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(0.66,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0.86)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2DB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0.65 (0.54,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0FC1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0.69 (0.61,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5860AC" w:rsidRPr="005860AC" w14:paraId="68834A14" w14:textId="77777777" w:rsidTr="00A75CA5">
        <w:trPr>
          <w:trHeight w:val="572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A7E6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Birth weight (g)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486E371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0.99 (0.99, 1.00)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04B6E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</w:t>
            </w:r>
            <w:r w:rsidRPr="005860AC"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8B95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BE0D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DA4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C2AB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C8ECAAD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0.99 (0.99, 1.00)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1D4B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CD4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</w:t>
            </w:r>
            <w:r w:rsidRPr="005860AC"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8FD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A7F5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0.99 (0.99,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5860AC" w:rsidRPr="005860AC" w14:paraId="33907BB3" w14:textId="77777777" w:rsidTr="00A75CA5">
        <w:trPr>
          <w:trHeight w:val="537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C692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 min Apgar score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E7798B1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0.82 (0.71,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0.95)*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AD5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0.72 (0.66,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EA4D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0.81 (0.74,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63F0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0.86 (0.77,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0.95)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D177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0.74</w:t>
            </w:r>
            <w:r w:rsidR="00A75CA5" w:rsidRPr="005860AC"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(0.68,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0.81)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B5E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B5DE397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0.85 (0.71, 1.01)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154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0.76 (0.66,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0.87)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6E0E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0.91 (0.80, 1.03)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F570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0.99 (0.85, 1.15)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A82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0.83 (0.73,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0.93)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5860AC" w:rsidRPr="005860AC" w14:paraId="2D1C37AE" w14:textId="77777777" w:rsidTr="00A75CA5">
        <w:trPr>
          <w:trHeight w:val="52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4217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5 min Apgar score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48251CF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0.79 (0.70,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0.89)*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49CA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0.76 (0.70,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0.83)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B12F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0.83 (0.76,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0.91)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3A02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0.86 (0.79,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0.95)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21CA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0.77 (0.70,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0.84)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0BAA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96544F5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0.78 (0.68,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0.91)*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60CB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0.75 (0.67,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0.84)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13E7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0.92 (0.81, 1.05)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5BAF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0.94 (0.82, 1.08)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2F73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0.85 (0.75,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0.96)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5860AC" w:rsidRPr="005860AC" w14:paraId="12E03542" w14:textId="77777777" w:rsidTr="00A75CA5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CD14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Small for gestational age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4183AF5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1.10 (0.51, 2.39)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6F72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2.23 (1.45,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3.44)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22D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1.24 (0.73, 2.10)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1F7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1.16</w:t>
            </w:r>
            <w:r w:rsidR="00A75CA5" w:rsidRPr="005860AC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(0.67, 2.02)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3EB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1.50 (0.92, 2.44)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09E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0E40D27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1.66 (0.60, 4.58)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8561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2.78 (1.31,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5.92)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CFF3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0.65 (0.24, 1.77)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84E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1.39 (0.50, 3.89)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73D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1.05 (0.45, 2.44)</w:t>
            </w:r>
          </w:p>
        </w:tc>
      </w:tr>
      <w:tr w:rsidR="005860AC" w:rsidRPr="005860AC" w14:paraId="5CE74B2F" w14:textId="77777777" w:rsidTr="00A75CA5">
        <w:trPr>
          <w:trHeight w:val="448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EE42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Antenatal steroid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42C262E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1.09 (0.54, 2.21)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8223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0.58 (0.40,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0.86)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40DF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0.98 (0.63, 1.53)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81C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0.69 (0.43, 1.11)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962B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0.85 (0.57, 1.26)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D885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5124B8C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1.12 (0.45, 2.78)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FC9F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0.73</w:t>
            </w:r>
            <w:r w:rsidRPr="005860AC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0.40, 1.34)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338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1.36 (0.70, 2.64)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C517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0.62 (0.29, 1.29)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F7A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1.21 (0.66, 2.22)</w:t>
            </w:r>
          </w:p>
        </w:tc>
      </w:tr>
      <w:tr w:rsidR="005860AC" w:rsidRPr="005860AC" w14:paraId="0FA72A67" w14:textId="77777777" w:rsidTr="00A75CA5">
        <w:trPr>
          <w:trHeight w:val="42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2689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Chorioamnionitis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E9F3528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1.28 (0.74, 2.20)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FBC7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0.86 (0.62, 1.20)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B64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1.36 (0.97, 1.91)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38A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1.14 (0.77, 1.70)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325C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1.24 (0.91, 1.71)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EF9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01BD9C9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1.01 (0.55, 2.13)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9F6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0.93 (0.56, 1.55)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12C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1.89</w:t>
            </w:r>
            <w:r w:rsidRPr="005860AC"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(1.13,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3.16)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266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1.53 (0.79, 2.95)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E341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1.79 (1.11,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2.90)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5860AC" w:rsidRPr="005860AC" w14:paraId="7B851E2C" w14:textId="77777777" w:rsidTr="00A75CA5">
        <w:trPr>
          <w:trHeight w:val="41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27994" w14:textId="77777777" w:rsidR="00EA39FD" w:rsidRPr="00C65431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O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ligohydramnios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ECED32C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7.12 (4.10,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12.38)*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7FF7F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.69 (1.18,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2.43)*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1940A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.18 (0.79, 1.79)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9027F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.78 (0.48, 1.26)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1AB30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.36 (0.93, 1.98)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11D3D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BFB8DF8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6.85 (3.34,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14.01)*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230A6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2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.13 (1.35,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3.38)*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103B4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.12 (0.68, 1.84)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80175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.71 (0.39, 1.32)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CC317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.31 (0.82, 2.10)</w:t>
            </w:r>
          </w:p>
        </w:tc>
      </w:tr>
      <w:tr w:rsidR="005860AC" w:rsidRPr="005860AC" w14:paraId="67232355" w14:textId="77777777" w:rsidTr="00A75CA5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36F80" w14:textId="77777777" w:rsidR="00EA39FD" w:rsidRPr="00C65431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D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uration of PPROM (d)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C396287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.01 (1.00, 1.03)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5DDDD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.99 (0.99, 1.00)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D34D5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.99 (0.99, 1.01)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0CF82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.98 (0.98, 1.00)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578EE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.99 (0.99, 1.00)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D1FF8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4E0614E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1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.01 (0.99, 1.03)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1E2FA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.99 (0.98, 1.00)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D4B0A" w14:textId="20E88EB9" w:rsidR="00EA39FD" w:rsidRPr="00D669F9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</w:pPr>
            <w:r w:rsidRPr="00D669F9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6"/>
                <w:szCs w:val="16"/>
              </w:rPr>
              <w:t>0</w:t>
            </w:r>
            <w:r w:rsidRPr="00D669F9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 xml:space="preserve">.98 (0.97, </w:t>
            </w:r>
            <w:r w:rsidR="00044EB0" w:rsidRPr="00D669F9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1.00</w:t>
            </w:r>
            <w:r w:rsidRPr="00D669F9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49DA5" w14:textId="77777777" w:rsidR="00EA39FD" w:rsidRPr="00D669F9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D669F9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0</w:t>
            </w:r>
            <w:r w:rsidRPr="00D669F9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.98 (0.97, 1.00)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2B5" w14:textId="111F678D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 w:hint="eastAsia"/>
                <w:bCs/>
                <w:color w:val="0000FF"/>
                <w:kern w:val="0"/>
                <w:sz w:val="16"/>
                <w:szCs w:val="16"/>
              </w:rPr>
              <w:t>0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 xml:space="preserve">.98 (0.97, </w:t>
            </w:r>
            <w:r w:rsidR="00044EB0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1.00</w:t>
            </w:r>
            <w:r w:rsidRPr="00C65431">
              <w:rPr>
                <w:rFonts w:ascii="맑은 고딕" w:eastAsia="맑은 고딕" w:hAnsi="맑은 고딕" w:cs="굴림"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</w:tr>
      <w:tr w:rsidR="005860AC" w:rsidRPr="005860AC" w14:paraId="5493EF93" w14:textId="77777777" w:rsidTr="00A75CA5">
        <w:trPr>
          <w:trHeight w:val="374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5BF4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PPROM25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A4784F2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3.25 (1.78, </w:t>
            </w:r>
            <w:proofErr w:type="gramStart"/>
            <w:r w:rsidRPr="00C65431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>5.93)*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0192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0.87 (0.64, 1.19)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06B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1.65 (1.19,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2.28)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A206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0.75 (0.51, 1.08)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B092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1.43 (1.06,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1.93)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BC90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FCFACF7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529A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B3BE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32AE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E89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5860AC" w:rsidRPr="005860AC" w14:paraId="23F442B4" w14:textId="77777777" w:rsidTr="00A75CA5">
        <w:trPr>
          <w:trHeight w:val="330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ACADF" w14:textId="77777777" w:rsidR="00EA39FD" w:rsidRPr="005860AC" w:rsidRDefault="00EA39FD" w:rsidP="00EA39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Early</w:t>
            </w:r>
            <w:r w:rsidRPr="005860AC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pulmonary hypertension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59924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0C28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3.72 (2.18,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6.35)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E3CE0D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2.08 (0.90, 4.83)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478E7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2.10 (1.13,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3.90)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7F07E4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3.19 (1.49,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6.82)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5E9BBB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92FF9" w14:textId="77777777" w:rsidR="00EA39FD" w:rsidRPr="00C65431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23188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4.47 (2.36,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8.47)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31295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1.71 (0.64, 4.54)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CD8C9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2.79 (1.35,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5.76)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57E1F" w14:textId="77777777" w:rsidR="00EA39FD" w:rsidRPr="005860AC" w:rsidRDefault="00EA39FD" w:rsidP="00A75CA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 xml:space="preserve">2.71 (1.11, </w:t>
            </w:r>
            <w:proofErr w:type="gramStart"/>
            <w:r w:rsidRPr="005860AC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6.59)</w:t>
            </w:r>
            <w:r w:rsidRPr="005860A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*</w:t>
            </w:r>
            <w:proofErr w:type="gramEnd"/>
          </w:p>
        </w:tc>
      </w:tr>
    </w:tbl>
    <w:p w14:paraId="6CAFCC41" w14:textId="77777777" w:rsidR="00513DF6" w:rsidRDefault="00513DF6" w:rsidP="00513DF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  <w:vertAlign w:val="superscript"/>
        </w:rPr>
      </w:pPr>
      <w:r w:rsidRPr="0012492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p &lt;.05</w:t>
      </w:r>
    </w:p>
    <w:p w14:paraId="2F3BC3CA" w14:textId="77777777" w:rsidR="00513DF6" w:rsidRDefault="00513DF6" w:rsidP="00513DF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proofErr w:type="spellStart"/>
      <w:r w:rsidRPr="00D542E3">
        <w:rPr>
          <w:rFonts w:ascii="맑은 고딕" w:eastAsia="맑은 고딕" w:hAnsi="맑은 고딕" w:cs="굴림"/>
          <w:color w:val="000000"/>
          <w:kern w:val="0"/>
          <w:sz w:val="18"/>
          <w:szCs w:val="18"/>
          <w:vertAlign w:val="superscript"/>
        </w:rPr>
        <w:t>a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Mortalilty</w:t>
      </w:r>
      <w:proofErr w:type="spellEnd"/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, bronchopulmonary dysplasia, high-grade intraventricular hemorrhage, or periventricular leukomalacia.</w:t>
      </w:r>
    </w:p>
    <w:p w14:paraId="22D2DEB2" w14:textId="77777777" w:rsidR="00513DF6" w:rsidRPr="009E5182" w:rsidRDefault="00513DF6" w:rsidP="00513DF6"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OR: odd’s ratio; CI: confidence interval; PH: pulmonary hypertension; PPROM: preterm premature rupture of membranes.</w:t>
      </w:r>
    </w:p>
    <w:p w14:paraId="0EB622FE" w14:textId="77777777" w:rsidR="00125506" w:rsidRDefault="00125506"/>
    <w:p w14:paraId="7C6912F5" w14:textId="77777777" w:rsidR="00A75CA5" w:rsidRDefault="00A75CA5">
      <w:pPr>
        <w:rPr>
          <w:rFonts w:ascii="Times New Roman" w:hAnsi="Times New Roman" w:cs="Times New Roman"/>
          <w:b/>
          <w:color w:val="0D13FB"/>
          <w:sz w:val="24"/>
          <w:szCs w:val="24"/>
        </w:rPr>
        <w:sectPr w:rsidR="00A75CA5" w:rsidSect="005C643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6609330B" w14:textId="77777777" w:rsidR="00125506" w:rsidRPr="00C65431" w:rsidRDefault="0012550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65431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Supplemental acknowledgements</w:t>
      </w:r>
    </w:p>
    <w:p w14:paraId="09F81886" w14:textId="77777777" w:rsidR="00125506" w:rsidRPr="00C65431" w:rsidRDefault="00125506">
      <w:pPr>
        <w:rPr>
          <w:b/>
          <w:color w:val="0000FF"/>
        </w:rPr>
      </w:pPr>
    </w:p>
    <w:p w14:paraId="0DD172E6" w14:textId="77777777" w:rsidR="00125506" w:rsidRPr="00C65431" w:rsidRDefault="00125506" w:rsidP="00125506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Ajou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Asan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Medical Center, Busan St. Mary’s Hospital, CHA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Bundang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Medical Center, CHA University, CHA Gangnam Medical Center, CHA University,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Cheil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General Hospital and Women’s Healthcare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Chonbuk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National University Hospital, Chonnam National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Chosun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Hospital, Chung-Ang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Chungnam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National University Hospital, Daegu Catholic University Medical Center, Dong-A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Eulji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General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Eulji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Ewha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Womans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Medical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Gachon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Gil Medical Center, Gangnam Severance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GangNeung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Asan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Gyeongsang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National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Hanyang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Medical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Inje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Busan Paik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Inje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Haeundae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Paik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Inje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Ilsan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Paik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Inje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Sanggye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Paik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Jeju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National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Kangbuk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Samsung Hospital, Keimyung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Dongsan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Medical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Konkuk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Medical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Konyang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Hospital, Korea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Anam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Korea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Ansan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Korea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Guro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Kosin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Gospel Hospital, Kyung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Hee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 at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Gangdong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, Kyung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Hee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Medical Center, Kyungpook National University Hospital, Pusan National University Children’s Hospital, Pusan National University Hospital, Samsung Changwon Medical Center, Samsung Medical Center, Seoul National University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Bundang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Seoul National University Hospital, Severance Hospital, SMG-SNU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Boramae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Medical Center,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Soonchunhyang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Bucheon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Soonchunhyang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 Cheonan,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Sungae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Hospital, The Catholic University of Korea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Bucheon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St. Mary’s Hospital, The Catholic University of Korea Seoul St. Mary’s Hospital, The Catholic University of Korea St. Vincent’s Hospital, The Catholic University of Korea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Uijeongbu</w:t>
      </w:r>
      <w:proofErr w:type="spellEnd"/>
      <w:r w:rsidRPr="00C65431">
        <w:rPr>
          <w:color w:val="0000FF"/>
        </w:rPr>
        <w:t xml:space="preserve"> </w:t>
      </w:r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St. Mary’s Hospital, The Catholic University of Korea Yeouido St. Mary’s Hospital, Ulsan University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Wonju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Severance </w:t>
      </w:r>
      <w:r w:rsidRPr="00C65431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Christian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Wonkwang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School of Medicine &amp; Hospital, </w:t>
      </w:r>
      <w:proofErr w:type="spellStart"/>
      <w:r w:rsidRPr="00C65431">
        <w:rPr>
          <w:rFonts w:ascii="Times New Roman" w:hAnsi="Times New Roman" w:cs="Times New Roman"/>
          <w:color w:val="0000FF"/>
          <w:sz w:val="24"/>
          <w:szCs w:val="24"/>
        </w:rPr>
        <w:t>Yeungnam</w:t>
      </w:r>
      <w:proofErr w:type="spellEnd"/>
      <w:r w:rsidRPr="00C65431">
        <w:rPr>
          <w:rFonts w:ascii="Times New Roman" w:hAnsi="Times New Roman" w:cs="Times New Roman"/>
          <w:color w:val="0000FF"/>
          <w:sz w:val="24"/>
          <w:szCs w:val="24"/>
        </w:rPr>
        <w:t xml:space="preserve"> University Hospital.</w:t>
      </w:r>
    </w:p>
    <w:p w14:paraId="37318718" w14:textId="77777777" w:rsidR="00125506" w:rsidRPr="00C65431" w:rsidRDefault="00125506">
      <w:pPr>
        <w:rPr>
          <w:b/>
          <w:color w:val="0000FF"/>
        </w:rPr>
      </w:pPr>
    </w:p>
    <w:sectPr w:rsidR="00125506" w:rsidRPr="00C65431" w:rsidSect="00A75C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BF56" w14:textId="77777777" w:rsidR="0051123C" w:rsidRDefault="0051123C" w:rsidP="00424ED6">
      <w:pPr>
        <w:spacing w:after="0" w:line="240" w:lineRule="auto"/>
      </w:pPr>
      <w:r>
        <w:separator/>
      </w:r>
    </w:p>
  </w:endnote>
  <w:endnote w:type="continuationSeparator" w:id="0">
    <w:p w14:paraId="43C5E4E5" w14:textId="77777777" w:rsidR="0051123C" w:rsidRDefault="0051123C" w:rsidP="004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F1E4" w14:textId="77777777" w:rsidR="0051123C" w:rsidRDefault="0051123C" w:rsidP="00424ED6">
      <w:pPr>
        <w:spacing w:after="0" w:line="240" w:lineRule="auto"/>
      </w:pPr>
      <w:r>
        <w:separator/>
      </w:r>
    </w:p>
  </w:footnote>
  <w:footnote w:type="continuationSeparator" w:id="0">
    <w:p w14:paraId="6029BB3E" w14:textId="77777777" w:rsidR="0051123C" w:rsidRDefault="0051123C" w:rsidP="00424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jSwMDa3NDQ3MDNT0lEKTi0uzszPAykwqgUA0PaauSwAAAA="/>
  </w:docVars>
  <w:rsids>
    <w:rsidRoot w:val="00513DF6"/>
    <w:rsid w:val="000232C0"/>
    <w:rsid w:val="00044EB0"/>
    <w:rsid w:val="000A1D2B"/>
    <w:rsid w:val="001230A8"/>
    <w:rsid w:val="00125506"/>
    <w:rsid w:val="001E305C"/>
    <w:rsid w:val="00253665"/>
    <w:rsid w:val="002C78CB"/>
    <w:rsid w:val="00424ED6"/>
    <w:rsid w:val="0051123C"/>
    <w:rsid w:val="00513DF6"/>
    <w:rsid w:val="005860AC"/>
    <w:rsid w:val="005C6438"/>
    <w:rsid w:val="00607F77"/>
    <w:rsid w:val="007E1E43"/>
    <w:rsid w:val="009C3C76"/>
    <w:rsid w:val="00A75CA5"/>
    <w:rsid w:val="00B65940"/>
    <w:rsid w:val="00C65431"/>
    <w:rsid w:val="00CE43B6"/>
    <w:rsid w:val="00D33D08"/>
    <w:rsid w:val="00D669F9"/>
    <w:rsid w:val="00DD040A"/>
    <w:rsid w:val="00DF41D8"/>
    <w:rsid w:val="00EA39FD"/>
    <w:rsid w:val="00EE45CF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03D2"/>
  <w15:chartTrackingRefBased/>
  <w15:docId w15:val="{050F5FBB-7821-48CD-8CEE-B654D3D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DF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E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4ED6"/>
  </w:style>
  <w:style w:type="paragraph" w:styleId="a4">
    <w:name w:val="footer"/>
    <w:basedOn w:val="a"/>
    <w:link w:val="Char0"/>
    <w:uiPriority w:val="99"/>
    <w:unhideWhenUsed/>
    <w:rsid w:val="00424E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4ED6"/>
  </w:style>
  <w:style w:type="paragraph" w:styleId="a5">
    <w:name w:val="Balloon Text"/>
    <w:basedOn w:val="a"/>
    <w:link w:val="Char1"/>
    <w:uiPriority w:val="99"/>
    <w:semiHidden/>
    <w:unhideWhenUsed/>
    <w:rsid w:val="002536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53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1A52-89C6-46E6-B74A-510CB8E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SCHBC</dc:creator>
  <cp:keywords/>
  <dc:description/>
  <cp:lastModifiedBy>Administrator</cp:lastModifiedBy>
  <cp:revision>2</cp:revision>
  <cp:lastPrinted>2020-03-23T03:34:00Z</cp:lastPrinted>
  <dcterms:created xsi:type="dcterms:W3CDTF">2020-03-24T04:49:00Z</dcterms:created>
  <dcterms:modified xsi:type="dcterms:W3CDTF">2020-03-24T04:49:00Z</dcterms:modified>
</cp:coreProperties>
</file>