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9BFD" w14:textId="2C098975" w:rsidR="00C12BAA" w:rsidRPr="006E20C3" w:rsidRDefault="00EA6A10" w:rsidP="006E20C3">
      <w:pPr>
        <w:pStyle w:val="Articletitle"/>
        <w:spacing w:after="240" w:line="288" w:lineRule="auto"/>
        <w:rPr>
          <w:rFonts w:ascii="Calibri" w:hAnsi="Calibri" w:cs="Calibri"/>
          <w:szCs w:val="28"/>
        </w:rPr>
      </w:pPr>
      <w:r w:rsidRPr="000B1135">
        <w:rPr>
          <w:rFonts w:ascii="Calibri" w:hAnsi="Calibri" w:cs="Calibri"/>
          <w:szCs w:val="28"/>
        </w:rPr>
        <w:t>An open-source model of the Western Climate Initiative cap-and-trade program with supply-demand scenarios through 2030: Supplemental Information</w:t>
      </w:r>
    </w:p>
    <w:p w14:paraId="5390FC60" w14:textId="2335F168" w:rsidR="00EA6A10" w:rsidRPr="005C036B" w:rsidRDefault="00EA6A10" w:rsidP="00C12BAA">
      <w:pPr>
        <w:spacing w:after="240" w:line="288" w:lineRule="auto"/>
        <w:rPr>
          <w:rFonts w:asciiTheme="minorHAnsi" w:hAnsiTheme="minorHAnsi" w:cstheme="minorHAnsi"/>
          <w:b/>
          <w:bCs/>
        </w:rPr>
      </w:pPr>
      <w:r w:rsidRPr="005C036B">
        <w:rPr>
          <w:rFonts w:asciiTheme="minorHAnsi" w:hAnsiTheme="minorHAnsi" w:cstheme="minorHAnsi"/>
          <w:b/>
          <w:bCs/>
        </w:rPr>
        <w:t>Table of Contents</w:t>
      </w:r>
    </w:p>
    <w:p w14:paraId="6CBA32C8" w14:textId="43C84BCE" w:rsidR="005C036B" w:rsidRPr="00D05B1E" w:rsidRDefault="00EA6A10" w:rsidP="00D05B1E">
      <w:pPr>
        <w:pStyle w:val="TOC1"/>
        <w:rPr>
          <w:rFonts w:ascii="Calibri" w:eastAsiaTheme="minorEastAsia" w:hAnsi="Calibri" w:cs="Calibri"/>
          <w:sz w:val="22"/>
          <w:szCs w:val="22"/>
          <w:lang w:val="en-US" w:eastAsia="en-US"/>
        </w:rPr>
      </w:pPr>
      <w:r w:rsidRPr="00D05B1E">
        <w:rPr>
          <w:rFonts w:ascii="Calibri" w:hAnsi="Calibri" w:cs="Calibri"/>
          <w:bCs/>
        </w:rPr>
        <w:fldChar w:fldCharType="begin"/>
      </w:r>
      <w:r w:rsidRPr="00D05B1E">
        <w:rPr>
          <w:rFonts w:ascii="Calibri" w:hAnsi="Calibri" w:cs="Calibri"/>
          <w:bCs/>
        </w:rPr>
        <w:instrText xml:space="preserve"> TOC \o "1-3" \h \z \u </w:instrText>
      </w:r>
      <w:r w:rsidRPr="00D05B1E">
        <w:rPr>
          <w:rFonts w:ascii="Calibri" w:hAnsi="Calibri" w:cs="Calibri"/>
          <w:bCs/>
        </w:rPr>
        <w:fldChar w:fldCharType="separate"/>
      </w:r>
      <w:hyperlink w:anchor="_Toc18670602" w:history="1">
        <w:r w:rsidR="005C036B" w:rsidRPr="00D05B1E">
          <w:rPr>
            <w:rStyle w:val="Hyperlink"/>
            <w:rFonts w:ascii="Calibri" w:hAnsi="Calibri" w:cs="Calibri"/>
          </w:rPr>
          <w:t>1.</w:t>
        </w:r>
        <w:r w:rsidR="005C036B" w:rsidRPr="00D05B1E">
          <w:rPr>
            <w:rFonts w:ascii="Calibri" w:eastAsiaTheme="minorEastAsia" w:hAnsi="Calibri" w:cs="Calibri"/>
            <w:sz w:val="22"/>
            <w:szCs w:val="22"/>
            <w:lang w:val="en-US" w:eastAsia="en-US"/>
          </w:rPr>
          <w:tab/>
        </w:r>
        <w:r w:rsidR="005C036B" w:rsidRPr="00D05B1E">
          <w:rPr>
            <w:rStyle w:val="Hyperlink"/>
            <w:rFonts w:ascii="Calibri" w:hAnsi="Calibri" w:cs="Calibri"/>
          </w:rPr>
          <w:t>Supplement to Section 1 (Introduction)</w:t>
        </w:r>
        <w:r w:rsidR="005C036B" w:rsidRPr="00D05B1E">
          <w:rPr>
            <w:rFonts w:ascii="Calibri" w:hAnsi="Calibri" w:cs="Calibri"/>
            <w:webHidden/>
          </w:rPr>
          <w:tab/>
        </w:r>
        <w:r w:rsidR="005C036B" w:rsidRPr="00D05B1E">
          <w:rPr>
            <w:rFonts w:ascii="Calibri" w:hAnsi="Calibri" w:cs="Calibri"/>
            <w:webHidden/>
          </w:rPr>
          <w:fldChar w:fldCharType="begin"/>
        </w:r>
        <w:r w:rsidR="005C036B" w:rsidRPr="00D05B1E">
          <w:rPr>
            <w:rFonts w:ascii="Calibri" w:hAnsi="Calibri" w:cs="Calibri"/>
            <w:webHidden/>
          </w:rPr>
          <w:instrText xml:space="preserve"> PAGEREF _Toc18670602 \h </w:instrText>
        </w:r>
        <w:r w:rsidR="005C036B" w:rsidRPr="00D05B1E">
          <w:rPr>
            <w:rFonts w:ascii="Calibri" w:hAnsi="Calibri" w:cs="Calibri"/>
            <w:webHidden/>
          </w:rPr>
        </w:r>
        <w:r w:rsidR="005C036B" w:rsidRPr="00D05B1E">
          <w:rPr>
            <w:rFonts w:ascii="Calibri" w:hAnsi="Calibri" w:cs="Calibri"/>
            <w:webHidden/>
          </w:rPr>
          <w:fldChar w:fldCharType="separate"/>
        </w:r>
        <w:r w:rsidR="001E76AC">
          <w:rPr>
            <w:rFonts w:ascii="Calibri" w:hAnsi="Calibri" w:cs="Calibri"/>
            <w:webHidden/>
          </w:rPr>
          <w:t>2</w:t>
        </w:r>
        <w:r w:rsidR="005C036B" w:rsidRPr="00D05B1E">
          <w:rPr>
            <w:rFonts w:ascii="Calibri" w:hAnsi="Calibri" w:cs="Calibri"/>
            <w:webHidden/>
          </w:rPr>
          <w:fldChar w:fldCharType="end"/>
        </w:r>
      </w:hyperlink>
    </w:p>
    <w:p w14:paraId="3E3B2731" w14:textId="04EBEEA9"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03" w:history="1">
        <w:r w:rsidR="005C036B" w:rsidRPr="00D05B1E">
          <w:rPr>
            <w:rStyle w:val="Hyperlink"/>
            <w:rFonts w:ascii="Calibri" w:hAnsi="Calibri" w:cs="Calibri"/>
            <w:noProof/>
          </w:rPr>
          <w:t>1.1.</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rPr>
          <w:t>“Covered emissions” and “non-covered emissions”</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_Toc18670603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2</w:t>
        </w:r>
        <w:r w:rsidR="005C036B" w:rsidRPr="00D05B1E">
          <w:rPr>
            <w:rFonts w:ascii="Calibri" w:hAnsi="Calibri" w:cs="Calibri"/>
            <w:noProof/>
            <w:webHidden/>
          </w:rPr>
          <w:fldChar w:fldCharType="end"/>
        </w:r>
      </w:hyperlink>
    </w:p>
    <w:p w14:paraId="7E5B5225" w14:textId="3AA84AC1"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04" w:history="1">
        <w:r w:rsidR="005C036B" w:rsidRPr="00D05B1E">
          <w:rPr>
            <w:rStyle w:val="Hyperlink"/>
            <w:rFonts w:ascii="Calibri" w:hAnsi="Calibri" w:cs="Calibri"/>
            <w:noProof/>
          </w:rPr>
          <w:t>1.2.</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rPr>
          <w:t>Figure 1 data sources</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_Toc18670604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3</w:t>
        </w:r>
        <w:r w:rsidR="005C036B" w:rsidRPr="00D05B1E">
          <w:rPr>
            <w:rFonts w:ascii="Calibri" w:hAnsi="Calibri" w:cs="Calibri"/>
            <w:noProof/>
            <w:webHidden/>
          </w:rPr>
          <w:fldChar w:fldCharType="end"/>
        </w:r>
      </w:hyperlink>
    </w:p>
    <w:p w14:paraId="106B635C" w14:textId="2DB0E0B6" w:rsidR="005C036B" w:rsidRPr="00D05B1E" w:rsidRDefault="0084502D" w:rsidP="00D05B1E">
      <w:pPr>
        <w:pStyle w:val="TOC1"/>
        <w:rPr>
          <w:rFonts w:ascii="Calibri" w:eastAsiaTheme="minorEastAsia" w:hAnsi="Calibri" w:cs="Calibri"/>
          <w:sz w:val="22"/>
          <w:szCs w:val="22"/>
          <w:lang w:val="en-US" w:eastAsia="en-US"/>
        </w:rPr>
      </w:pPr>
      <w:hyperlink w:anchor="_Toc18670605" w:history="1">
        <w:r w:rsidR="005C036B" w:rsidRPr="00D05B1E">
          <w:rPr>
            <w:rStyle w:val="Hyperlink"/>
            <w:rFonts w:ascii="Calibri" w:hAnsi="Calibri" w:cs="Calibri"/>
            <w:lang w:val="en"/>
          </w:rPr>
          <w:t>2.</w:t>
        </w:r>
        <w:r w:rsidR="005C036B" w:rsidRPr="00D05B1E">
          <w:rPr>
            <w:rFonts w:ascii="Calibri" w:eastAsiaTheme="minorEastAsia" w:hAnsi="Calibri" w:cs="Calibri"/>
            <w:sz w:val="22"/>
            <w:szCs w:val="22"/>
            <w:lang w:val="en-US" w:eastAsia="en-US"/>
          </w:rPr>
          <w:tab/>
        </w:r>
        <w:r w:rsidR="005C036B" w:rsidRPr="00D05B1E">
          <w:rPr>
            <w:rStyle w:val="Hyperlink"/>
            <w:rFonts w:ascii="Calibri" w:hAnsi="Calibri" w:cs="Calibri"/>
          </w:rPr>
          <w:t>Supplement to Section 2 (Methods)</w:t>
        </w:r>
        <w:r w:rsidR="005C036B" w:rsidRPr="00D05B1E">
          <w:rPr>
            <w:rFonts w:ascii="Calibri" w:hAnsi="Calibri" w:cs="Calibri"/>
            <w:webHidden/>
          </w:rPr>
          <w:tab/>
        </w:r>
        <w:r w:rsidR="005C036B" w:rsidRPr="00D05B1E">
          <w:rPr>
            <w:rFonts w:ascii="Calibri" w:hAnsi="Calibri" w:cs="Calibri"/>
            <w:webHidden/>
          </w:rPr>
          <w:fldChar w:fldCharType="begin"/>
        </w:r>
        <w:r w:rsidR="005C036B" w:rsidRPr="00D05B1E">
          <w:rPr>
            <w:rFonts w:ascii="Calibri" w:hAnsi="Calibri" w:cs="Calibri"/>
            <w:webHidden/>
          </w:rPr>
          <w:instrText xml:space="preserve"> PAGEREF _Toc18670605 \h </w:instrText>
        </w:r>
        <w:r w:rsidR="005C036B" w:rsidRPr="00D05B1E">
          <w:rPr>
            <w:rFonts w:ascii="Calibri" w:hAnsi="Calibri" w:cs="Calibri"/>
            <w:webHidden/>
          </w:rPr>
        </w:r>
        <w:r w:rsidR="005C036B" w:rsidRPr="00D05B1E">
          <w:rPr>
            <w:rFonts w:ascii="Calibri" w:hAnsi="Calibri" w:cs="Calibri"/>
            <w:webHidden/>
          </w:rPr>
          <w:fldChar w:fldCharType="separate"/>
        </w:r>
        <w:r w:rsidR="001E76AC">
          <w:rPr>
            <w:rFonts w:ascii="Calibri" w:hAnsi="Calibri" w:cs="Calibri"/>
            <w:webHidden/>
          </w:rPr>
          <w:t>4</w:t>
        </w:r>
        <w:r w:rsidR="005C036B" w:rsidRPr="00D05B1E">
          <w:rPr>
            <w:rFonts w:ascii="Calibri" w:hAnsi="Calibri" w:cs="Calibri"/>
            <w:webHidden/>
          </w:rPr>
          <w:fldChar w:fldCharType="end"/>
        </w:r>
      </w:hyperlink>
    </w:p>
    <w:p w14:paraId="02CF751A" w14:textId="033424F4"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06" w:history="1">
        <w:r w:rsidR="005C036B" w:rsidRPr="00D05B1E">
          <w:rPr>
            <w:rStyle w:val="Hyperlink"/>
            <w:rFonts w:ascii="Calibri" w:hAnsi="Calibri" w:cs="Calibri"/>
            <w:noProof/>
          </w:rPr>
          <w:t>2.1.</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rPr>
          <w:t>Global Warming Potentials (GWPs) used in regulations</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_Toc18670606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4</w:t>
        </w:r>
        <w:r w:rsidR="005C036B" w:rsidRPr="00D05B1E">
          <w:rPr>
            <w:rFonts w:ascii="Calibri" w:hAnsi="Calibri" w:cs="Calibri"/>
            <w:noProof/>
            <w:webHidden/>
          </w:rPr>
          <w:fldChar w:fldCharType="end"/>
        </w:r>
      </w:hyperlink>
    </w:p>
    <w:p w14:paraId="6BCC0E28" w14:textId="2CE92DAD"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07" w:history="1">
        <w:r w:rsidR="005C036B" w:rsidRPr="00D05B1E">
          <w:rPr>
            <w:rStyle w:val="Hyperlink"/>
            <w:rFonts w:ascii="Calibri" w:hAnsi="Calibri" w:cs="Calibri"/>
            <w:noProof/>
          </w:rPr>
          <w:t>2.2.</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lang w:val="en"/>
          </w:rPr>
          <w:t>Voluntary Renewable Electricity (VRE) Program</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_Toc18670607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4</w:t>
        </w:r>
        <w:r w:rsidR="005C036B" w:rsidRPr="00D05B1E">
          <w:rPr>
            <w:rFonts w:ascii="Calibri" w:hAnsi="Calibri" w:cs="Calibri"/>
            <w:noProof/>
            <w:webHidden/>
          </w:rPr>
          <w:fldChar w:fldCharType="end"/>
        </w:r>
      </w:hyperlink>
    </w:p>
    <w:p w14:paraId="0E47F8B7" w14:textId="3195D8A7"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08" w:history="1">
        <w:r w:rsidR="005C036B" w:rsidRPr="00D05B1E">
          <w:rPr>
            <w:rStyle w:val="Hyperlink"/>
            <w:rFonts w:ascii="Calibri" w:hAnsi="Calibri" w:cs="Calibri"/>
            <w:noProof/>
          </w:rPr>
          <w:t>2.3.</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rPr>
          <w:t>WCI-RULES model framework and validation</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_Toc18670608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5</w:t>
        </w:r>
        <w:r w:rsidR="005C036B" w:rsidRPr="00D05B1E">
          <w:rPr>
            <w:rFonts w:ascii="Calibri" w:hAnsi="Calibri" w:cs="Calibri"/>
            <w:noProof/>
            <w:webHidden/>
          </w:rPr>
          <w:fldChar w:fldCharType="end"/>
        </w:r>
      </w:hyperlink>
    </w:p>
    <w:p w14:paraId="7A1D4956" w14:textId="4E7222B3"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09" w:history="1">
        <w:r w:rsidR="005C036B" w:rsidRPr="00D05B1E">
          <w:rPr>
            <w:rStyle w:val="Hyperlink"/>
            <w:rFonts w:ascii="Calibri" w:hAnsi="Calibri" w:cs="Calibri"/>
            <w:noProof/>
          </w:rPr>
          <w:t>2.4.</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rPr>
          <w:t>WCI-RULES historical data inputs</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_Toc18670609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5</w:t>
        </w:r>
        <w:r w:rsidR="005C036B" w:rsidRPr="00D05B1E">
          <w:rPr>
            <w:rFonts w:ascii="Calibri" w:hAnsi="Calibri" w:cs="Calibri"/>
            <w:noProof/>
            <w:webHidden/>
          </w:rPr>
          <w:fldChar w:fldCharType="end"/>
        </w:r>
      </w:hyperlink>
    </w:p>
    <w:p w14:paraId="509365AC" w14:textId="15C4D997"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10" w:history="1">
        <w:r w:rsidR="005C036B" w:rsidRPr="00D05B1E">
          <w:rPr>
            <w:rStyle w:val="Hyperlink"/>
            <w:rFonts w:ascii="Calibri" w:hAnsi="Calibri" w:cs="Calibri"/>
            <w:noProof/>
            <w:lang w:val="en"/>
          </w:rPr>
          <w:t>2.5.</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lang w:val="en"/>
          </w:rPr>
          <w:t>Effects of Ontario’s linkage and de-linkage</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_Toc18670610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5</w:t>
        </w:r>
        <w:r w:rsidR="005C036B" w:rsidRPr="00D05B1E">
          <w:rPr>
            <w:rFonts w:ascii="Calibri" w:hAnsi="Calibri" w:cs="Calibri"/>
            <w:noProof/>
            <w:webHidden/>
          </w:rPr>
          <w:fldChar w:fldCharType="end"/>
        </w:r>
      </w:hyperlink>
    </w:p>
    <w:p w14:paraId="41B05405" w14:textId="0894CEC5"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11" w:history="1">
        <w:r w:rsidR="005C036B" w:rsidRPr="00D05B1E">
          <w:rPr>
            <w:rStyle w:val="Hyperlink"/>
            <w:rFonts w:ascii="Calibri" w:hAnsi="Calibri" w:cs="Calibri"/>
            <w:noProof/>
            <w:lang w:val="en"/>
          </w:rPr>
          <w:t>2.6.</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lang w:val="en"/>
          </w:rPr>
          <w:t>Built-in projections</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_Toc18670611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6</w:t>
        </w:r>
        <w:r w:rsidR="005C036B" w:rsidRPr="00D05B1E">
          <w:rPr>
            <w:rFonts w:ascii="Calibri" w:hAnsi="Calibri" w:cs="Calibri"/>
            <w:noProof/>
            <w:webHidden/>
          </w:rPr>
          <w:fldChar w:fldCharType="end"/>
        </w:r>
      </w:hyperlink>
    </w:p>
    <w:p w14:paraId="24942A2C" w14:textId="08DB09C4"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12" w:history="1">
        <w:r w:rsidR="005C036B" w:rsidRPr="00D05B1E">
          <w:rPr>
            <w:rStyle w:val="Hyperlink"/>
            <w:rFonts w:ascii="Calibri" w:hAnsi="Calibri" w:cs="Calibri"/>
            <w:noProof/>
          </w:rPr>
          <w:t>2.7.</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rPr>
          <w:t>Model validation: Comparison to CIR</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_Toc18670612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7</w:t>
        </w:r>
        <w:r w:rsidR="005C036B" w:rsidRPr="00D05B1E">
          <w:rPr>
            <w:rFonts w:ascii="Calibri" w:hAnsi="Calibri" w:cs="Calibri"/>
            <w:noProof/>
            <w:webHidden/>
          </w:rPr>
          <w:fldChar w:fldCharType="end"/>
        </w:r>
      </w:hyperlink>
    </w:p>
    <w:p w14:paraId="6322921B" w14:textId="1A16503D"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13" w:history="1">
        <w:r w:rsidR="005C036B" w:rsidRPr="00D05B1E">
          <w:rPr>
            <w:rStyle w:val="Hyperlink"/>
            <w:rFonts w:ascii="Calibri" w:hAnsi="Calibri" w:cs="Calibri"/>
            <w:noProof/>
          </w:rPr>
          <w:t>2.8.</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rPr>
          <w:t>Model validation: Comparison of banking metrics</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_Toc18670613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8</w:t>
        </w:r>
        <w:r w:rsidR="005C036B" w:rsidRPr="00D05B1E">
          <w:rPr>
            <w:rFonts w:ascii="Calibri" w:hAnsi="Calibri" w:cs="Calibri"/>
            <w:noProof/>
            <w:webHidden/>
          </w:rPr>
          <w:fldChar w:fldCharType="end"/>
        </w:r>
      </w:hyperlink>
    </w:p>
    <w:p w14:paraId="404BF185" w14:textId="5484CA88" w:rsidR="005C036B" w:rsidRPr="00D05B1E" w:rsidRDefault="0084502D" w:rsidP="00D05B1E">
      <w:pPr>
        <w:pStyle w:val="TOC1"/>
        <w:rPr>
          <w:rFonts w:ascii="Calibri" w:eastAsiaTheme="minorEastAsia" w:hAnsi="Calibri" w:cs="Calibri"/>
          <w:sz w:val="22"/>
          <w:szCs w:val="22"/>
          <w:lang w:val="en-US" w:eastAsia="en-US"/>
        </w:rPr>
      </w:pPr>
      <w:hyperlink w:anchor="_Toc18670614" w:history="1">
        <w:r w:rsidR="005C036B" w:rsidRPr="00D05B1E">
          <w:rPr>
            <w:rStyle w:val="Hyperlink"/>
            <w:rFonts w:ascii="Calibri" w:hAnsi="Calibri" w:cs="Calibri"/>
          </w:rPr>
          <w:t>3.</w:t>
        </w:r>
        <w:r w:rsidR="005C036B" w:rsidRPr="00D05B1E">
          <w:rPr>
            <w:rFonts w:ascii="Calibri" w:eastAsiaTheme="minorEastAsia" w:hAnsi="Calibri" w:cs="Calibri"/>
            <w:sz w:val="22"/>
            <w:szCs w:val="22"/>
            <w:lang w:val="en-US" w:eastAsia="en-US"/>
          </w:rPr>
          <w:tab/>
        </w:r>
        <w:r w:rsidR="005C036B" w:rsidRPr="00D05B1E">
          <w:rPr>
            <w:rStyle w:val="Hyperlink"/>
            <w:rFonts w:ascii="Calibri" w:hAnsi="Calibri" w:cs="Calibri"/>
          </w:rPr>
          <w:t>Supplement to Section 3 (Results)</w:t>
        </w:r>
        <w:r w:rsidR="005C036B" w:rsidRPr="00D05B1E">
          <w:rPr>
            <w:rFonts w:ascii="Calibri" w:hAnsi="Calibri" w:cs="Calibri"/>
            <w:webHidden/>
          </w:rPr>
          <w:tab/>
        </w:r>
        <w:r w:rsidR="005C036B" w:rsidRPr="00D05B1E">
          <w:rPr>
            <w:rFonts w:ascii="Calibri" w:hAnsi="Calibri" w:cs="Calibri"/>
            <w:webHidden/>
          </w:rPr>
          <w:fldChar w:fldCharType="begin"/>
        </w:r>
        <w:r w:rsidR="005C036B" w:rsidRPr="00D05B1E">
          <w:rPr>
            <w:rFonts w:ascii="Calibri" w:hAnsi="Calibri" w:cs="Calibri"/>
            <w:webHidden/>
          </w:rPr>
          <w:instrText xml:space="preserve"> PAGEREF _Toc18670614 \h </w:instrText>
        </w:r>
        <w:r w:rsidR="005C036B" w:rsidRPr="00D05B1E">
          <w:rPr>
            <w:rFonts w:ascii="Calibri" w:hAnsi="Calibri" w:cs="Calibri"/>
            <w:webHidden/>
          </w:rPr>
        </w:r>
        <w:r w:rsidR="005C036B" w:rsidRPr="00D05B1E">
          <w:rPr>
            <w:rFonts w:ascii="Calibri" w:hAnsi="Calibri" w:cs="Calibri"/>
            <w:webHidden/>
          </w:rPr>
          <w:fldChar w:fldCharType="separate"/>
        </w:r>
        <w:r w:rsidR="001E76AC">
          <w:rPr>
            <w:rFonts w:ascii="Calibri" w:hAnsi="Calibri" w:cs="Calibri"/>
            <w:webHidden/>
          </w:rPr>
          <w:t>9</w:t>
        </w:r>
        <w:r w:rsidR="005C036B" w:rsidRPr="00D05B1E">
          <w:rPr>
            <w:rFonts w:ascii="Calibri" w:hAnsi="Calibri" w:cs="Calibri"/>
            <w:webHidden/>
          </w:rPr>
          <w:fldChar w:fldCharType="end"/>
        </w:r>
      </w:hyperlink>
    </w:p>
    <w:p w14:paraId="3C7D61BE" w14:textId="035488C6"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15" w:history="1">
        <w:r w:rsidR="005C036B" w:rsidRPr="00D05B1E">
          <w:rPr>
            <w:rStyle w:val="Hyperlink"/>
            <w:rFonts w:ascii="Calibri" w:hAnsi="Calibri" w:cs="Calibri"/>
            <w:noProof/>
          </w:rPr>
          <w:t>3.1.</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rPr>
          <w:t>Calculation of unused offset credits</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_Toc18670615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9</w:t>
        </w:r>
        <w:r w:rsidR="005C036B" w:rsidRPr="00D05B1E">
          <w:rPr>
            <w:rFonts w:ascii="Calibri" w:hAnsi="Calibri" w:cs="Calibri"/>
            <w:noProof/>
            <w:webHidden/>
          </w:rPr>
          <w:fldChar w:fldCharType="end"/>
        </w:r>
      </w:hyperlink>
    </w:p>
    <w:p w14:paraId="311B9B7A" w14:textId="41E8CC61"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16" w:history="1">
        <w:r w:rsidR="005C036B" w:rsidRPr="00D05B1E">
          <w:rPr>
            <w:rStyle w:val="Hyperlink"/>
            <w:rFonts w:ascii="Calibri" w:hAnsi="Calibri" w:cs="Calibri"/>
            <w:noProof/>
          </w:rPr>
          <w:t>3.2.</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rPr>
          <w:t>PATHWAYS Scenario: 2017 Scoping Plan emissions projections</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_Toc18670616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9</w:t>
        </w:r>
        <w:r w:rsidR="005C036B" w:rsidRPr="00D05B1E">
          <w:rPr>
            <w:rFonts w:ascii="Calibri" w:hAnsi="Calibri" w:cs="Calibri"/>
            <w:noProof/>
            <w:webHidden/>
          </w:rPr>
          <w:fldChar w:fldCharType="end"/>
        </w:r>
      </w:hyperlink>
    </w:p>
    <w:p w14:paraId="0B286EEA" w14:textId="54729275" w:rsidR="005C036B" w:rsidRPr="00D05B1E" w:rsidRDefault="0084502D" w:rsidP="00D05B1E">
      <w:pPr>
        <w:pStyle w:val="TOC1"/>
        <w:rPr>
          <w:rFonts w:ascii="Calibri" w:eastAsiaTheme="minorEastAsia" w:hAnsi="Calibri" w:cs="Calibri"/>
          <w:sz w:val="22"/>
          <w:szCs w:val="22"/>
          <w:lang w:val="en-US" w:eastAsia="en-US"/>
        </w:rPr>
      </w:pPr>
      <w:hyperlink w:anchor="_Toc18670617" w:history="1">
        <w:r w:rsidR="005C036B" w:rsidRPr="00D05B1E">
          <w:rPr>
            <w:rStyle w:val="Hyperlink"/>
            <w:rFonts w:ascii="Calibri" w:hAnsi="Calibri" w:cs="Calibri"/>
          </w:rPr>
          <w:t>4.</w:t>
        </w:r>
        <w:r w:rsidR="005C036B" w:rsidRPr="00D05B1E">
          <w:rPr>
            <w:rFonts w:ascii="Calibri" w:eastAsiaTheme="minorEastAsia" w:hAnsi="Calibri" w:cs="Calibri"/>
            <w:sz w:val="22"/>
            <w:szCs w:val="22"/>
            <w:lang w:val="en-US" w:eastAsia="en-US"/>
          </w:rPr>
          <w:tab/>
        </w:r>
        <w:r w:rsidR="005C036B" w:rsidRPr="00D05B1E">
          <w:rPr>
            <w:rStyle w:val="Hyperlink"/>
            <w:rFonts w:ascii="Calibri" w:hAnsi="Calibri" w:cs="Calibri"/>
          </w:rPr>
          <w:t>Supplement to Section 4 (Discussion)</w:t>
        </w:r>
        <w:r w:rsidR="005C036B" w:rsidRPr="00D05B1E">
          <w:rPr>
            <w:rFonts w:ascii="Calibri" w:hAnsi="Calibri" w:cs="Calibri"/>
            <w:webHidden/>
          </w:rPr>
          <w:tab/>
        </w:r>
        <w:r w:rsidR="005C036B" w:rsidRPr="00D05B1E">
          <w:rPr>
            <w:rFonts w:ascii="Calibri" w:hAnsi="Calibri" w:cs="Calibri"/>
            <w:webHidden/>
          </w:rPr>
          <w:fldChar w:fldCharType="begin"/>
        </w:r>
        <w:r w:rsidR="005C036B" w:rsidRPr="00D05B1E">
          <w:rPr>
            <w:rFonts w:ascii="Calibri" w:hAnsi="Calibri" w:cs="Calibri"/>
            <w:webHidden/>
          </w:rPr>
          <w:instrText xml:space="preserve"> PAGEREF _Toc18670617 \h </w:instrText>
        </w:r>
        <w:r w:rsidR="005C036B" w:rsidRPr="00D05B1E">
          <w:rPr>
            <w:rFonts w:ascii="Calibri" w:hAnsi="Calibri" w:cs="Calibri"/>
            <w:webHidden/>
          </w:rPr>
        </w:r>
        <w:r w:rsidR="005C036B" w:rsidRPr="00D05B1E">
          <w:rPr>
            <w:rFonts w:ascii="Calibri" w:hAnsi="Calibri" w:cs="Calibri"/>
            <w:webHidden/>
          </w:rPr>
          <w:fldChar w:fldCharType="separate"/>
        </w:r>
        <w:r w:rsidR="001E76AC">
          <w:rPr>
            <w:rFonts w:ascii="Calibri" w:hAnsi="Calibri" w:cs="Calibri"/>
            <w:webHidden/>
          </w:rPr>
          <w:t>10</w:t>
        </w:r>
        <w:r w:rsidR="005C036B" w:rsidRPr="00D05B1E">
          <w:rPr>
            <w:rFonts w:ascii="Calibri" w:hAnsi="Calibri" w:cs="Calibri"/>
            <w:webHidden/>
          </w:rPr>
          <w:fldChar w:fldCharType="end"/>
        </w:r>
      </w:hyperlink>
    </w:p>
    <w:p w14:paraId="2933C773" w14:textId="4B626723" w:rsidR="005C036B" w:rsidRPr="00D05B1E" w:rsidRDefault="0084502D" w:rsidP="00D05B1E">
      <w:pPr>
        <w:pStyle w:val="TOC2"/>
        <w:spacing w:after="120" w:line="288" w:lineRule="auto"/>
        <w:ind w:left="360"/>
        <w:rPr>
          <w:rFonts w:ascii="Calibri" w:eastAsiaTheme="minorEastAsia" w:hAnsi="Calibri" w:cs="Calibri"/>
          <w:noProof/>
          <w:sz w:val="22"/>
          <w:szCs w:val="22"/>
          <w:lang w:val="en-US" w:eastAsia="en-US"/>
        </w:rPr>
      </w:pPr>
      <w:hyperlink w:anchor="_Toc18670618" w:history="1">
        <w:r w:rsidR="005C036B" w:rsidRPr="00D05B1E">
          <w:rPr>
            <w:rStyle w:val="Hyperlink"/>
            <w:rFonts w:ascii="Calibri" w:hAnsi="Calibri" w:cs="Calibri"/>
            <w:noProof/>
          </w:rPr>
          <w:t>4.1.</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rPr>
          <w:t>Reductions in covered emissions vs. non-covered emissions</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_Toc18670618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10</w:t>
        </w:r>
        <w:r w:rsidR="005C036B" w:rsidRPr="00D05B1E">
          <w:rPr>
            <w:rFonts w:ascii="Calibri" w:hAnsi="Calibri" w:cs="Calibri"/>
            <w:noProof/>
            <w:webHidden/>
          </w:rPr>
          <w:fldChar w:fldCharType="end"/>
        </w:r>
      </w:hyperlink>
    </w:p>
    <w:p w14:paraId="26AA0C5F" w14:textId="51479C99" w:rsidR="00C12BAA" w:rsidRPr="00D05B1E" w:rsidRDefault="0084502D" w:rsidP="00D05B1E">
      <w:pPr>
        <w:pStyle w:val="TOC2"/>
        <w:spacing w:after="120" w:line="288" w:lineRule="auto"/>
        <w:ind w:left="360"/>
        <w:rPr>
          <w:rFonts w:ascii="Calibri" w:hAnsi="Calibri" w:cs="Calibri"/>
        </w:rPr>
      </w:pPr>
      <w:hyperlink w:anchor="_Toc18670619" w:history="1">
        <w:r w:rsidR="005C036B" w:rsidRPr="00D05B1E">
          <w:rPr>
            <w:rStyle w:val="Hyperlink"/>
            <w:rFonts w:ascii="Calibri" w:hAnsi="Calibri" w:cs="Calibri"/>
            <w:noProof/>
          </w:rPr>
          <w:t>4.2.</w:t>
        </w:r>
        <w:r w:rsidR="005C036B" w:rsidRPr="00D05B1E">
          <w:rPr>
            <w:rFonts w:ascii="Calibri" w:eastAsiaTheme="minorEastAsia" w:hAnsi="Calibri" w:cs="Calibri"/>
            <w:noProof/>
            <w:sz w:val="22"/>
            <w:szCs w:val="22"/>
            <w:lang w:val="en-US" w:eastAsia="en-US"/>
          </w:rPr>
          <w:tab/>
        </w:r>
        <w:r w:rsidR="005C036B" w:rsidRPr="00D05B1E">
          <w:rPr>
            <w:rStyle w:val="Hyperlink"/>
            <w:rFonts w:ascii="Calibri" w:hAnsi="Calibri" w:cs="Calibri"/>
            <w:noProof/>
          </w:rPr>
          <w:t>Allowance prices and reserve sales projections</w:t>
        </w:r>
        <w:r w:rsidR="005C036B" w:rsidRPr="00D05B1E">
          <w:rPr>
            <w:rFonts w:ascii="Calibri" w:hAnsi="Calibri" w:cs="Calibri"/>
            <w:noProof/>
            <w:webHidden/>
          </w:rPr>
          <w:tab/>
        </w:r>
        <w:r w:rsidR="005C036B" w:rsidRPr="00D05B1E">
          <w:rPr>
            <w:rFonts w:ascii="Calibri" w:hAnsi="Calibri" w:cs="Calibri"/>
            <w:noProof/>
            <w:webHidden/>
          </w:rPr>
          <w:fldChar w:fldCharType="begin"/>
        </w:r>
        <w:r w:rsidR="005C036B" w:rsidRPr="00D05B1E">
          <w:rPr>
            <w:rFonts w:ascii="Calibri" w:hAnsi="Calibri" w:cs="Calibri"/>
            <w:noProof/>
            <w:webHidden/>
          </w:rPr>
          <w:instrText xml:space="preserve"> PAGEREF _Toc18670619 \h </w:instrText>
        </w:r>
        <w:r w:rsidR="005C036B" w:rsidRPr="00D05B1E">
          <w:rPr>
            <w:rFonts w:ascii="Calibri" w:hAnsi="Calibri" w:cs="Calibri"/>
            <w:noProof/>
            <w:webHidden/>
          </w:rPr>
        </w:r>
        <w:r w:rsidR="005C036B" w:rsidRPr="00D05B1E">
          <w:rPr>
            <w:rFonts w:ascii="Calibri" w:hAnsi="Calibri" w:cs="Calibri"/>
            <w:noProof/>
            <w:webHidden/>
          </w:rPr>
          <w:fldChar w:fldCharType="separate"/>
        </w:r>
        <w:r w:rsidR="001E76AC">
          <w:rPr>
            <w:rFonts w:ascii="Calibri" w:hAnsi="Calibri" w:cs="Calibri"/>
            <w:noProof/>
            <w:webHidden/>
          </w:rPr>
          <w:t>10</w:t>
        </w:r>
        <w:r w:rsidR="005C036B" w:rsidRPr="00D05B1E">
          <w:rPr>
            <w:rFonts w:ascii="Calibri" w:hAnsi="Calibri" w:cs="Calibri"/>
            <w:noProof/>
            <w:webHidden/>
          </w:rPr>
          <w:fldChar w:fldCharType="end"/>
        </w:r>
      </w:hyperlink>
      <w:r w:rsidR="00EA6A10" w:rsidRPr="00D05B1E">
        <w:rPr>
          <w:rFonts w:ascii="Calibri" w:hAnsi="Calibri" w:cs="Calibri"/>
          <w:bCs/>
        </w:rPr>
        <w:fldChar w:fldCharType="end"/>
      </w:r>
    </w:p>
    <w:p w14:paraId="24D207A9" w14:textId="7F1666D3" w:rsidR="00EA6A10" w:rsidRPr="00C12BAA" w:rsidRDefault="00EA6A10" w:rsidP="00B03F7D">
      <w:pPr>
        <w:pStyle w:val="Heading1"/>
        <w:rPr>
          <w:rFonts w:ascii="Calibri" w:hAnsi="Calibri" w:cs="Calibri"/>
        </w:rPr>
      </w:pPr>
      <w:bookmarkStart w:id="0" w:name="_Toc18670602"/>
      <w:r w:rsidRPr="00C12BAA">
        <w:rPr>
          <w:rFonts w:ascii="Calibri" w:hAnsi="Calibri" w:cs="Calibri"/>
        </w:rPr>
        <w:t xml:space="preserve">Supplement to </w:t>
      </w:r>
      <w:r w:rsidR="00B03F7D" w:rsidRPr="00C12BAA">
        <w:rPr>
          <w:rFonts w:ascii="Calibri" w:hAnsi="Calibri" w:cs="Calibri"/>
        </w:rPr>
        <w:t xml:space="preserve">Section </w:t>
      </w:r>
      <w:r w:rsidRPr="00C12BAA">
        <w:rPr>
          <w:rFonts w:ascii="Calibri" w:hAnsi="Calibri" w:cs="Calibri"/>
        </w:rPr>
        <w:t>1</w:t>
      </w:r>
      <w:r w:rsidR="00B03F7D" w:rsidRPr="00C12BAA">
        <w:rPr>
          <w:rFonts w:ascii="Calibri" w:hAnsi="Calibri" w:cs="Calibri"/>
        </w:rPr>
        <w:t xml:space="preserve"> (Introduction)</w:t>
      </w:r>
      <w:bookmarkEnd w:id="0"/>
    </w:p>
    <w:p w14:paraId="287C9578" w14:textId="77777777" w:rsidR="00EA6A10" w:rsidRPr="00C12BAA" w:rsidRDefault="00EA6A10" w:rsidP="00712F27">
      <w:pPr>
        <w:pStyle w:val="Heading2"/>
        <w:rPr>
          <w:rFonts w:ascii="Calibri" w:hAnsi="Calibri" w:cs="Calibri"/>
        </w:rPr>
      </w:pPr>
      <w:bookmarkStart w:id="1" w:name="_Ref18666584"/>
      <w:bookmarkStart w:id="2" w:name="_Toc18670603"/>
      <w:r w:rsidRPr="00C12BAA">
        <w:rPr>
          <w:rFonts w:ascii="Calibri" w:hAnsi="Calibri" w:cs="Calibri"/>
        </w:rPr>
        <w:t>“Covered emissions” and “non-covered emissions”</w:t>
      </w:r>
      <w:bookmarkEnd w:id="1"/>
      <w:bookmarkEnd w:id="2"/>
    </w:p>
    <w:p w14:paraId="4E7EE37A" w14:textId="12C23CC1" w:rsidR="00EA6A10" w:rsidRPr="006302DF" w:rsidRDefault="00EA6A10" w:rsidP="006302DF">
      <w:pPr>
        <w:pStyle w:val="Paragraph"/>
      </w:pPr>
      <w:r w:rsidRPr="006302DF">
        <w:t xml:space="preserve">For both California and Québec, emissions subject to the cap-and-trade program with associated compliance obligations (“covered emissions”) </w:t>
      </w:r>
      <w:r w:rsidRPr="006302DF">
        <w:fldChar w:fldCharType="begin"/>
      </w:r>
      <w:r w:rsidRPr="006302DF">
        <w:instrText xml:space="preserve"> ADDIN ZOTERO_ITEM CSL_CITATION {"citationID":"m6qDxSAw","properties":{"formattedCitation":"(CARB, 2019a; Qu\\uc0\\u233{}bec, 2019)","plainCitation":"(CARB, 2019a; Québec, 2019)","noteIndex":0},"citationItems":[{"id":37,"uris":["http://zotero.org/users/local/AEGCSEej/items/SI784YEG"],"uri":["http://zotero.org/users/local/AEGCSEej/items/SI784YEG"],"itemData":{"id":37,"type":"report","title":"Mandatory Greenhouse Gas Reporting Regulation","publisher":"https://ww2.arb.ca.gov/mrr-regulation","URL":"https://ww2.arb.ca.gov/mrr-regulation","author":[{"family":"CARB","given":""}],"issued":{"date-parts":[["2019",4,1]]}}},{"id":91,"uris":["http://zotero.org/users/local/AEGCSEej/items/VTQZ8J44"],"uri":["http://zotero.org/users/local/AEGCSEej/items/VTQZ8J44"],"itemData":{"id":91,"type":"report","title":"Regulation respecting mandatory reporting of certain emissions of contaminants into the atmosphere","publisher":"http://legisquebec.gouv.qc.ca/en/ShowDoc/cr/Q-2,%20r.%2015","URL":"http://legisquebec.gouv.qc.ca/en/ShowDoc/cr/Q-2,%20r.%2015","author":[{"family":"Québec","given":""}],"issued":{"date-parts":[["2019"]]}}}],"schema":"https://github.com/citation-style-language/schema/raw/master/csl-citation.json"} </w:instrText>
      </w:r>
      <w:r w:rsidRPr="006302DF">
        <w:fldChar w:fldCharType="separate"/>
      </w:r>
      <w:r w:rsidRPr="006302DF">
        <w:t>(CARB, 2019a; Québec, 2019)</w:t>
      </w:r>
      <w:r w:rsidRPr="006302DF">
        <w:fldChar w:fldCharType="end"/>
      </w:r>
      <w:r w:rsidRPr="006302DF">
        <w:t xml:space="preserve"> are a subset of </w:t>
      </w:r>
      <w:r w:rsidRPr="006302DF">
        <w:lastRenderedPageBreak/>
        <w:t xml:space="preserve">the economy-wide total emissions counted in each jurisdiction’s greenhouse gas inventory </w:t>
      </w:r>
      <w:r w:rsidRPr="006302DF">
        <w:fldChar w:fldCharType="begin"/>
      </w:r>
      <w:r w:rsidR="00450B19" w:rsidRPr="006302DF">
        <w:instrText xml:space="preserve"> ADDIN ZOTERO_ITEM CSL_CITATION {"citationID":"ARUPdgB1","properties":{"formattedCitation":"(CARB, 2019b; MELCC, 2018)","plainCitation":"(CARB, 2019b; MELCC, 2018)","noteIndex":0},"citationItems":[{"id":93,"uris":["http://zotero.org/users/local/AEGCSEej/items/8ZHXG4VS"],"uri":["http://zotero.org/users/local/AEGCSEej/items/8ZHXG4VS"],"itemData":{"id":93,"type":"report","title":"California Greenhouse Gas Emission Inventory Program","publisher":"https://www.arb.ca.gov/cc/inventory/inventory.htm","URL":"https://www.arb.ca.gov/cc/inventory/inventory.htm","author":[{"family":"CARB","given":""}],"issued":{"date-parts":[["2019"]]}}},{"id":94,"uris":["http://zotero.org/users/local/AEGCSEej/items/MGYFPJ3V"],"uri":["http://zotero.org/users/local/AEGCSEej/items/MGYFPJ3V"],"itemData":{"id":94,"type":"report","title":"Inventaire québécois des émissions de gaz à effet de serre","publisher":"http://www.environnement.gouv.qc.ca/changements/ges/","URL":"http://www.environnement.gouv.qc.ca/changements/ges/","author":[{"family":"MELCC","given":""}],"issued":{"date-parts":[["2018"]]}}}],"schema":"https://github.com/citation-style-language/schema/raw/master/csl-citation.json"} </w:instrText>
      </w:r>
      <w:r w:rsidRPr="006302DF">
        <w:fldChar w:fldCharType="separate"/>
      </w:r>
      <w:r w:rsidR="00450B19" w:rsidRPr="006302DF">
        <w:t>(CARB, 2019b; MELCC, 2018)</w:t>
      </w:r>
      <w:r w:rsidRPr="006302DF">
        <w:fldChar w:fldCharType="end"/>
      </w:r>
      <w:r w:rsidRPr="006302DF">
        <w:t>. Covered emissions are only for the gases CO2, CH4, and N2O, and only from specified activities.</w:t>
      </w:r>
    </w:p>
    <w:p w14:paraId="74E992B6" w14:textId="38731B34" w:rsidR="00EA6A10" w:rsidRPr="00C12BAA" w:rsidRDefault="00EA6A10" w:rsidP="00A42B13">
      <w:pPr>
        <w:pStyle w:val="Paragraph"/>
      </w:pPr>
      <w:r w:rsidRPr="00C12BAA">
        <w:t>Therefore, emissions of other greenhouse gases</w:t>
      </w:r>
      <w:proofErr w:type="gramStart"/>
      <w:r w:rsidRPr="00C12BAA">
        <w:t>—“</w:t>
      </w:r>
      <w:proofErr w:type="gramEnd"/>
      <w:r w:rsidRPr="00C12BAA">
        <w:t>non-covered emissions,” including various high-GWP (global warming potential) gases such as HFCs—may be included in the jurisdiction’s inventories, but are not counted as covered emissions with associated compliance obligations. Non-covered emissions include emissions from sectors that are generally excluded from the cap-and-trade program, as well as some emissions from sectors that are generally subject to the cap-and-trade program. We address each in turn.</w:t>
      </w:r>
      <w:r w:rsidR="00BC1DDF">
        <w:tab/>
      </w:r>
    </w:p>
    <w:p w14:paraId="3FAE56B0" w14:textId="77777777" w:rsidR="00EA6A10" w:rsidRPr="00C12BAA" w:rsidRDefault="00EA6A10" w:rsidP="00A42B13">
      <w:pPr>
        <w:pStyle w:val="Paragraph"/>
      </w:pPr>
      <w:r w:rsidRPr="00C12BAA">
        <w:t>First, while most emissions of the gases CO</w:t>
      </w:r>
      <w:r w:rsidRPr="00C12BAA">
        <w:rPr>
          <w:vertAlign w:val="subscript"/>
        </w:rPr>
        <w:t>2</w:t>
      </w:r>
      <w:r w:rsidRPr="00C12BAA">
        <w:t>, CH</w:t>
      </w:r>
      <w:r w:rsidRPr="00C12BAA">
        <w:rPr>
          <w:vertAlign w:val="subscript"/>
        </w:rPr>
        <w:t>4</w:t>
      </w:r>
      <w:r w:rsidRPr="00C12BAA">
        <w:t>, and N</w:t>
      </w:r>
      <w:r w:rsidRPr="00C12BAA">
        <w:rPr>
          <w:vertAlign w:val="subscript"/>
        </w:rPr>
        <w:t>2</w:t>
      </w:r>
      <w:r w:rsidRPr="00C12BAA">
        <w:t>O are counted as covered emissions, emissions of these gases from certain activities are not counted as covered emissions. For example, most activities in the agricultural sector are excluded (e.g., CH</w:t>
      </w:r>
      <w:r w:rsidRPr="00C12BAA">
        <w:rPr>
          <w:vertAlign w:val="subscript"/>
        </w:rPr>
        <w:t>4</w:t>
      </w:r>
      <w:r w:rsidRPr="00C12BAA">
        <w:t xml:space="preserve"> from livestock).</w:t>
      </w:r>
    </w:p>
    <w:p w14:paraId="1E408078" w14:textId="77777777" w:rsidR="00EA6A10" w:rsidRPr="00C12BAA" w:rsidRDefault="00EA6A10" w:rsidP="00A42B13">
      <w:pPr>
        <w:pStyle w:val="Paragraph"/>
      </w:pPr>
      <w:r w:rsidRPr="00C12BAA">
        <w:t>Second, some emissions of the gases CO</w:t>
      </w:r>
      <w:r w:rsidRPr="00C12BAA">
        <w:rPr>
          <w:vertAlign w:val="subscript"/>
        </w:rPr>
        <w:t>2</w:t>
      </w:r>
      <w:r w:rsidRPr="00C12BAA">
        <w:t>, CH</w:t>
      </w:r>
      <w:r w:rsidRPr="00C12BAA">
        <w:rPr>
          <w:vertAlign w:val="subscript"/>
        </w:rPr>
        <w:t>4</w:t>
      </w:r>
      <w:r w:rsidRPr="00C12BAA">
        <w:t>, and N</w:t>
      </w:r>
      <w:r w:rsidRPr="00C12BAA">
        <w:rPr>
          <w:vertAlign w:val="subscript"/>
        </w:rPr>
        <w:t>2</w:t>
      </w:r>
      <w:r w:rsidRPr="00C12BAA">
        <w:t xml:space="preserve">O within so-called “covered sectors” (e.g., emissions from the industrial sector) are not counted as covered emissions. For example, under California’s Mandatory Greenhouse Gas Reporting Regulation </w:t>
      </w:r>
      <w:r w:rsidRPr="00C12BAA">
        <w:fldChar w:fldCharType="begin"/>
      </w:r>
      <w:r w:rsidRPr="00C12BAA">
        <w:instrText xml:space="preserve"> ADDIN ZOTERO_ITEM CSL_CITATION {"citationID":"FFO5jqp6","properties":{"formattedCitation":"(CARB, 2019a)","plainCitation":"(CARB, 2019a)","noteIndex":0},"citationItems":[{"id":37,"uris":["http://zotero.org/users/local/AEGCSEej/items/SI784YEG"],"uri":["http://zotero.org/users/local/AEGCSEej/items/SI784YEG"],"itemData":{"id":37,"type":"report","title":"Mandatory Greenhouse Gas Reporting Regulation","publisher":"https://ww2.arb.ca.gov/mrr-regulation","URL":"https://ww2.arb.ca.gov/mrr-regulation","author":[{"family":"CARB","given":""}],"issued":{"date-parts":[["2019",4,1]]}}}],"schema":"https://github.com/citation-style-language/schema/raw/master/csl-citation.json"} </w:instrText>
      </w:r>
      <w:r w:rsidRPr="00C12BAA">
        <w:fldChar w:fldCharType="separate"/>
      </w:r>
      <w:r w:rsidRPr="00C12BAA">
        <w:rPr>
          <w:noProof/>
        </w:rPr>
        <w:t>(CARB, 2019a)</w:t>
      </w:r>
      <w:r w:rsidRPr="00C12BAA">
        <w:fldChar w:fldCharType="end"/>
      </w:r>
      <w:r w:rsidRPr="00C12BAA">
        <w:t>, various emissions of CH</w:t>
      </w:r>
      <w:r w:rsidRPr="00C12BAA">
        <w:rPr>
          <w:vertAlign w:val="subscript"/>
        </w:rPr>
        <w:t>4</w:t>
      </w:r>
      <w:r w:rsidRPr="00C12BAA">
        <w:t xml:space="preserve"> from oil and gas operations that are considered leakage are calculated; however in California’s cap-and-trade regulations </w:t>
      </w:r>
      <w:r w:rsidRPr="00C12BAA">
        <w:fldChar w:fldCharType="begin"/>
      </w:r>
      <w:r w:rsidRPr="00C12BAA">
        <w:instrText xml:space="preserve"> ADDIN ZOTERO_ITEM CSL_CITATION {"citationID":"R6Y4DIHk","properties":{"formattedCitation":"(Cal. Code Regs., 2019)","plainCitation":"(Cal. Code Regs., 2019)","noteIndex":0},"citationItems":[{"id":19,"uris":["http://zotero.org/users/local/AEGCSEej/items/4W6CU8JA"],"uri":["http://zotero.org/users/local/AEGCSEej/items/4W6CU8JA"],"itemData":{"id":19,"type":"report","title":"tit. 17, § 95801-96022","URL":"https://govt.westlaw.com/calregs/Browse/Home/California/CaliforniaCodeofRegulations?guid=I47A831C02EBC11E194EACEFFB46E37D1&amp;originationContext=documenttoc&amp;transitionType=Default&amp;contextData=(sc.Default)","note":"Regulation for the California Cap on Greenhouse Gas Emissions and Market-Based Compliance Mechanisms","author":[{"family":"Cal. Code Regs.","given":""}],"issued":{"date-parts":[["2019",4]]}}}],"schema":"https://github.com/citation-style-language/schema/raw/master/csl-citation.json"} </w:instrText>
      </w:r>
      <w:r w:rsidRPr="00C12BAA">
        <w:fldChar w:fldCharType="separate"/>
      </w:r>
      <w:r w:rsidRPr="00C12BAA">
        <w:rPr>
          <w:noProof/>
        </w:rPr>
        <w:t>(Cal. Code Regs., 2019)</w:t>
      </w:r>
      <w:r w:rsidRPr="00C12BAA">
        <w:fldChar w:fldCharType="end"/>
      </w:r>
      <w:r w:rsidRPr="00C12BAA">
        <w:t>, some of these leakage emissions are not regulated by the cap-and-trade program, and thus are not counted as covered emissions (see § 95852.2, “Emissions without a Compliance Obligation”).</w:t>
      </w:r>
    </w:p>
    <w:p w14:paraId="2B8D4FF7" w14:textId="77777777" w:rsidR="00EA6A10" w:rsidRPr="00C12BAA" w:rsidRDefault="00EA6A10" w:rsidP="00A42B13">
      <w:pPr>
        <w:pStyle w:val="Paragraph"/>
      </w:pPr>
      <w:r w:rsidRPr="00C12BAA">
        <w:t>Also, under California’s regulations, there are thresholds for the quantity of emissions of particular types per facility required for those emissions to be counted as covered emissions (and therefore to incur a compliance obligation). For example, under § 95101(e) for “Petroleum and Natural Gas Systems,” facilities are “required to report under this article when their stationary combustion emissions (including flaring) and process emissions equal or exceed 10,000 metric tons of CO₂e, or their stationary combustion, process, fugitive, and vented emissions equal or exceed 25,000 metric tons of CO₂e.”</w:t>
      </w:r>
    </w:p>
    <w:p w14:paraId="67417E6F" w14:textId="77777777" w:rsidR="00EA6A10" w:rsidRPr="00C12BAA" w:rsidRDefault="00EA6A10" w:rsidP="00A42B13">
      <w:pPr>
        <w:pStyle w:val="Paragraph"/>
      </w:pPr>
      <w:r w:rsidRPr="00C12BAA">
        <w:t>Thus, the emissions that are counted as covered emissions within each jurisdiction depend on a complex set of rules that depend on the types of greenhouse gases emitted, the types of emitting activities, and the quantity of emissions per facility.</w:t>
      </w:r>
    </w:p>
    <w:p w14:paraId="569C6202" w14:textId="77777777" w:rsidR="00EA6A10" w:rsidRPr="00C12BAA" w:rsidRDefault="00EA6A10" w:rsidP="00A42B13">
      <w:pPr>
        <w:pStyle w:val="Paragraph"/>
      </w:pPr>
      <w:r w:rsidRPr="00C12BAA">
        <w:t>We calculate non-covered emissions as the total emissions that are counted in each jurisdiction’s greenhouse gas inventory for economy-wide emissions, minus covered emissions (that is, minus those emissions with associated compliance obligations).</w:t>
      </w:r>
    </w:p>
    <w:p w14:paraId="75994D61" w14:textId="7A4DDF0B" w:rsidR="00EA6A10" w:rsidRPr="00C12BAA" w:rsidRDefault="00EA6A10" w:rsidP="00712F27">
      <w:pPr>
        <w:pStyle w:val="Heading2"/>
        <w:rPr>
          <w:rFonts w:ascii="Calibri" w:hAnsi="Calibri" w:cs="Calibri"/>
        </w:rPr>
      </w:pPr>
      <w:bookmarkStart w:id="3" w:name="_Ref18662605"/>
      <w:bookmarkStart w:id="4" w:name="_Ref18662614"/>
      <w:bookmarkStart w:id="5" w:name="_Toc18670604"/>
      <w:r w:rsidRPr="00C12BAA">
        <w:rPr>
          <w:rFonts w:ascii="Calibri" w:hAnsi="Calibri" w:cs="Calibri"/>
        </w:rPr>
        <w:t xml:space="preserve">Figure 1 </w:t>
      </w:r>
      <w:r w:rsidR="005C036B">
        <w:rPr>
          <w:rFonts w:ascii="Calibri" w:hAnsi="Calibri" w:cs="Calibri"/>
        </w:rPr>
        <w:t>d</w:t>
      </w:r>
      <w:r w:rsidRPr="00C12BAA">
        <w:rPr>
          <w:rFonts w:ascii="Calibri" w:hAnsi="Calibri" w:cs="Calibri"/>
        </w:rPr>
        <w:t xml:space="preserve">ata </w:t>
      </w:r>
      <w:r w:rsidR="005C036B">
        <w:rPr>
          <w:rFonts w:ascii="Calibri" w:hAnsi="Calibri" w:cs="Calibri"/>
        </w:rPr>
        <w:t>s</w:t>
      </w:r>
      <w:r w:rsidRPr="00C12BAA">
        <w:rPr>
          <w:rFonts w:ascii="Calibri" w:hAnsi="Calibri" w:cs="Calibri"/>
        </w:rPr>
        <w:t>ources</w:t>
      </w:r>
      <w:bookmarkEnd w:id="3"/>
      <w:bookmarkEnd w:id="4"/>
      <w:bookmarkEnd w:id="5"/>
    </w:p>
    <w:p w14:paraId="48E241FC" w14:textId="2B0A33F2" w:rsidR="00770996" w:rsidRPr="00770996" w:rsidRDefault="00EA6A10" w:rsidP="00A42B13">
      <w:pPr>
        <w:pStyle w:val="Paragraph"/>
      </w:pPr>
      <w:r w:rsidRPr="00C12BAA">
        <w:t xml:space="preserve">Data sources for Figure 1 are listed below, for: (a) Historical data for covered emissions and the supply of compliance instruments entering private accounts in the WCI program, and (b) </w:t>
      </w:r>
      <w:r w:rsidRPr="00C12BAA">
        <w:lastRenderedPageBreak/>
        <w:t xml:space="preserve">Annual banking metrics, with the number of excess allowances and offsets held in private accounts (Private Bank) and the number of unsold allowances temporarily retained in government accounts (Government Holding Accounts). Details on the calculations are published elsewhere </w:t>
      </w:r>
      <w:r w:rsidRPr="00C12BAA">
        <w:fldChar w:fldCharType="begin"/>
      </w:r>
      <w:r w:rsidR="00450B19" w:rsidRPr="00C12BAA">
        <w:instrText xml:space="preserve"> ADDIN ZOTERO_ITEM CSL_CITATION {"citationID":"BRyciJ2r","properties":{"formattedCitation":"(Cullenward et al., 2019)","plainCitation":"(Cullenward et al., 2019)","noteIndex":0},"citationItems":[{"id":5,"uris":["http://zotero.org/users/local/AEGCSEej/items/SUNHPVHL"],"uri":["http://zotero.org/users/local/AEGCSEej/items/SUNHPVHL"],"itemData":{"id":5,"type":"article-journal","title":"Tracking banking in the Western Climate Initiative cap-and-trade program","container-title":"Preprint","DOI":"10.17605/OSF.IO/U7HRP","author":[{"family":"Cullenward","given":"Danny"},{"family":"Inman","given":"Mason"},{"family":"Mastrandrea","given":"Michael"}],"issued":{"date-parts":[["2019"]]}}}],"schema":"https://github.com/citation-style-language/schema/raw/master/csl-citation.json"} </w:instrText>
      </w:r>
      <w:r w:rsidRPr="00C12BAA">
        <w:fldChar w:fldCharType="separate"/>
      </w:r>
      <w:r w:rsidRPr="00C12BAA">
        <w:rPr>
          <w:noProof/>
        </w:rPr>
        <w:t>(Cullenward et al., 2019)</w:t>
      </w:r>
      <w:r w:rsidRPr="00C12BAA">
        <w:fldChar w:fldCharType="end"/>
      </w:r>
      <w:r w:rsidRPr="00C12BAA">
        <w:t>.</w:t>
      </w:r>
    </w:p>
    <w:p w14:paraId="45B2CE2C" w14:textId="779C3EAE" w:rsidR="00770996" w:rsidRPr="00770996" w:rsidRDefault="00EA6A10" w:rsidP="00770996">
      <w:pPr>
        <w:pStyle w:val="Newparagraph"/>
        <w:spacing w:before="240" w:after="240" w:line="288" w:lineRule="auto"/>
        <w:ind w:firstLine="0"/>
        <w:rPr>
          <w:rFonts w:ascii="Calibri" w:hAnsi="Calibri" w:cs="Calibri"/>
          <w:b/>
        </w:rPr>
      </w:pPr>
      <w:r w:rsidRPr="00770996">
        <w:rPr>
          <w:rFonts w:ascii="Calibri" w:hAnsi="Calibri" w:cs="Calibri"/>
          <w:b/>
        </w:rPr>
        <w:t>Cap levels:</w:t>
      </w:r>
    </w:p>
    <w:p w14:paraId="20F000FF" w14:textId="77777777" w:rsidR="00EA6A10" w:rsidRPr="00C12BAA" w:rsidRDefault="00EA6A10" w:rsidP="00A42B13">
      <w:pPr>
        <w:pStyle w:val="Bulletedlist"/>
        <w:jc w:val="left"/>
      </w:pPr>
      <w:r w:rsidRPr="00C12BAA">
        <w:t>California, 2013-2030: Cal. Code Regs., 2019. tit. 17, § 95841(a).</w:t>
      </w:r>
    </w:p>
    <w:p w14:paraId="326309E2" w14:textId="6F892094" w:rsidR="00EA6A10" w:rsidRPr="00C12BAA" w:rsidRDefault="00EA6A10" w:rsidP="00A42B13">
      <w:pPr>
        <w:pStyle w:val="Bulletedlist"/>
        <w:jc w:val="left"/>
      </w:pPr>
      <w:r w:rsidRPr="00C12BAA">
        <w:rPr>
          <w:lang w:val="en"/>
        </w:rPr>
        <w:t xml:space="preserve">Québec, 2013-2020: </w:t>
      </w:r>
      <w:r w:rsidRPr="00C12BAA">
        <w:t xml:space="preserve">Quebec Environment Quality Act (chapter Q-2), r. 15.2, </w:t>
      </w:r>
      <w:hyperlink r:id="rId8" w:history="1">
        <w:r w:rsidR="00B03F7D" w:rsidRPr="00C12BAA">
          <w:rPr>
            <w:rStyle w:val="Hyperlink"/>
          </w:rPr>
          <w:t>http://legisquebec.gouv.qc.ca/en/ShowDoc/cr/Q-2,%20r.%2015.2</w:t>
        </w:r>
      </w:hyperlink>
      <w:r w:rsidR="00B03F7D" w:rsidRPr="00C12BAA">
        <w:t xml:space="preserve"> </w:t>
      </w:r>
    </w:p>
    <w:p w14:paraId="1C7EF560" w14:textId="4897B79B" w:rsidR="00EA6A10" w:rsidRPr="00C12BAA" w:rsidRDefault="00EA6A10" w:rsidP="00A42B13">
      <w:pPr>
        <w:pStyle w:val="Bulletedlist"/>
        <w:jc w:val="left"/>
      </w:pPr>
      <w:r w:rsidRPr="00C12BAA">
        <w:rPr>
          <w:lang w:val="en"/>
        </w:rPr>
        <w:t xml:space="preserve">Québec, 2021-2030: </w:t>
      </w:r>
      <w:r w:rsidRPr="00C12BAA">
        <w:t xml:space="preserve">Quebec Environment Quality Act (chapter Q-2), r. 15.3, </w:t>
      </w:r>
      <w:hyperlink r:id="rId9" w:history="1">
        <w:r w:rsidR="00B03F7D" w:rsidRPr="00C12BAA">
          <w:rPr>
            <w:rStyle w:val="Hyperlink"/>
          </w:rPr>
          <w:t>http://legisquebec.gouv.qc.ca/en/ShowDoc/cr/Q-2,%20r.%2015.3</w:t>
        </w:r>
      </w:hyperlink>
      <w:r w:rsidR="00B03F7D" w:rsidRPr="00C12BAA">
        <w:t xml:space="preserve"> </w:t>
      </w:r>
    </w:p>
    <w:p w14:paraId="4D982849" w14:textId="77777777" w:rsidR="00EA6A10" w:rsidRPr="00C12BAA" w:rsidRDefault="00EA6A10" w:rsidP="00770996">
      <w:pPr>
        <w:pStyle w:val="Newparagraph"/>
        <w:spacing w:before="240" w:after="240" w:line="288" w:lineRule="auto"/>
        <w:ind w:firstLine="0"/>
        <w:rPr>
          <w:rFonts w:ascii="Calibri" w:hAnsi="Calibri" w:cs="Calibri"/>
          <w:b/>
          <w:bCs/>
        </w:rPr>
      </w:pPr>
      <w:r w:rsidRPr="00C12BAA">
        <w:rPr>
          <w:rFonts w:ascii="Calibri" w:hAnsi="Calibri" w:cs="Calibri"/>
          <w:b/>
          <w:bCs/>
        </w:rPr>
        <w:t>Covered emissions:</w:t>
      </w:r>
    </w:p>
    <w:p w14:paraId="614E4C23" w14:textId="77777777" w:rsidR="00EA6A10" w:rsidRPr="00C12BAA" w:rsidRDefault="00EA6A10" w:rsidP="00A42B13">
      <w:pPr>
        <w:pStyle w:val="Bulletedlist"/>
        <w:jc w:val="left"/>
      </w:pPr>
      <w:r w:rsidRPr="00C12BAA">
        <w:t xml:space="preserve">California: Mandatory Greenhouse Gas Reporting (MRR), available at </w:t>
      </w:r>
      <w:hyperlink r:id="rId10" w:history="1">
        <w:r w:rsidRPr="00C12BAA">
          <w:rPr>
            <w:rStyle w:val="Hyperlink"/>
            <w:rFonts w:eastAsiaTheme="minorEastAsia"/>
          </w:rPr>
          <w:t>https://ww2.arb.ca.gov/mrr-data</w:t>
        </w:r>
      </w:hyperlink>
      <w:r w:rsidRPr="00C12BAA">
        <w:rPr>
          <w:rStyle w:val="Hyperlink"/>
          <w:rFonts w:eastAsiaTheme="minorEastAsia"/>
        </w:rPr>
        <w:t>.</w:t>
      </w:r>
    </w:p>
    <w:p w14:paraId="0CF0CE30" w14:textId="0A7C8F03" w:rsidR="00EA6A10" w:rsidRPr="00C12BAA" w:rsidRDefault="00EA6A10" w:rsidP="00A42B13">
      <w:pPr>
        <w:pStyle w:val="Bulletedlist"/>
        <w:jc w:val="left"/>
        <w:rPr>
          <w:b/>
          <w:bCs/>
        </w:rPr>
      </w:pPr>
      <w:r w:rsidRPr="00C12BAA">
        <w:rPr>
          <w:lang w:val="en"/>
        </w:rPr>
        <w:t xml:space="preserve">Québec: </w:t>
      </w:r>
      <w:r w:rsidRPr="00C12BAA">
        <w:t xml:space="preserve">Verified and declared greenhouse gas (GHG) emissions of the establishments covered by the Regulation respecting a cap-and-trade (C&amp;T) system for GHG emission allowances, available at </w:t>
      </w:r>
      <w:hyperlink r:id="rId11" w:history="1">
        <w:r w:rsidRPr="00C12BAA">
          <w:rPr>
            <w:rStyle w:val="Hyperlink"/>
            <w:rFonts w:eastAsiaTheme="minorEastAsia"/>
          </w:rPr>
          <w:t>http://environnement.gouv.qc.ca/changements/carbone/documentation-en.htm</w:t>
        </w:r>
      </w:hyperlink>
      <w:r w:rsidRPr="00C12BAA">
        <w:rPr>
          <w:rStyle w:val="Hyperlink"/>
          <w:rFonts w:eastAsiaTheme="minorEastAsia"/>
        </w:rPr>
        <w:t>.</w:t>
      </w:r>
    </w:p>
    <w:p w14:paraId="0D22B692" w14:textId="77777777" w:rsidR="00EA6A10" w:rsidRPr="00C12BAA" w:rsidRDefault="00EA6A10" w:rsidP="00770996">
      <w:pPr>
        <w:pStyle w:val="Newparagraph"/>
        <w:spacing w:before="240" w:after="240" w:line="288" w:lineRule="auto"/>
        <w:ind w:firstLine="0"/>
        <w:rPr>
          <w:rFonts w:ascii="Calibri" w:hAnsi="Calibri" w:cs="Calibri"/>
          <w:b/>
          <w:bCs/>
        </w:rPr>
      </w:pPr>
      <w:r w:rsidRPr="00C12BAA">
        <w:rPr>
          <w:rFonts w:ascii="Calibri" w:hAnsi="Calibri" w:cs="Calibri"/>
          <w:b/>
          <w:bCs/>
        </w:rPr>
        <w:t>Compliance obligations (incurred and satisfied):</w:t>
      </w:r>
    </w:p>
    <w:p w14:paraId="07C2BC2F" w14:textId="77777777" w:rsidR="00EA6A10" w:rsidRPr="00C12BAA" w:rsidRDefault="00EA6A10" w:rsidP="00A42B13">
      <w:pPr>
        <w:pStyle w:val="Bulletedlist"/>
        <w:jc w:val="left"/>
      </w:pPr>
      <w:r w:rsidRPr="00C12BAA">
        <w:t xml:space="preserve">California: annual Compliance Reports, available at </w:t>
      </w:r>
      <w:hyperlink r:id="rId12" w:history="1">
        <w:r w:rsidRPr="00C12BAA">
          <w:rPr>
            <w:rStyle w:val="Hyperlink"/>
            <w:rFonts w:eastAsiaTheme="minorEastAsia"/>
          </w:rPr>
          <w:t>https://arb.ca.gov/cc/capandtrade/capandtrade.htm</w:t>
        </w:r>
      </w:hyperlink>
      <w:r w:rsidRPr="00C12BAA">
        <w:rPr>
          <w:rStyle w:val="Hyperlink"/>
          <w:rFonts w:eastAsiaTheme="minorEastAsia"/>
        </w:rPr>
        <w:t>.</w:t>
      </w:r>
    </w:p>
    <w:p w14:paraId="54BA12F1" w14:textId="77777777" w:rsidR="00EA6A10" w:rsidRPr="00C12BAA" w:rsidRDefault="00EA6A10" w:rsidP="00A42B13">
      <w:pPr>
        <w:pStyle w:val="Bulletedlist"/>
        <w:jc w:val="left"/>
      </w:pPr>
      <w:r w:rsidRPr="00C12BAA">
        <w:rPr>
          <w:lang w:val="en"/>
        </w:rPr>
        <w:t xml:space="preserve">Québec: “Report on the 2013-2014 Compliance Period of the Québec Cap-and-Trade System” and “Report on the 2015-2017 Compliance Period of the Québec Cap-and-Trade System,” available at </w:t>
      </w:r>
      <w:hyperlink r:id="rId13" w:history="1">
        <w:r w:rsidRPr="00C12BAA">
          <w:rPr>
            <w:rStyle w:val="Hyperlink"/>
            <w:rFonts w:eastAsiaTheme="minorEastAsia"/>
            <w:lang w:val="en"/>
          </w:rPr>
          <w:t>http://environnement.gouv.qc.ca/changements/carbone/documentation-en.htm</w:t>
        </w:r>
      </w:hyperlink>
      <w:r w:rsidRPr="00C12BAA">
        <w:rPr>
          <w:rStyle w:val="Hyperlink"/>
          <w:rFonts w:eastAsiaTheme="minorEastAsia"/>
          <w:lang w:val="en"/>
        </w:rPr>
        <w:t>.</w:t>
      </w:r>
    </w:p>
    <w:p w14:paraId="0175866A" w14:textId="77777777" w:rsidR="00EA6A10" w:rsidRPr="00C12BAA" w:rsidRDefault="00EA6A10" w:rsidP="00770996">
      <w:pPr>
        <w:pStyle w:val="Newparagraph"/>
        <w:keepNext/>
        <w:spacing w:before="240" w:after="240" w:line="288" w:lineRule="auto"/>
        <w:ind w:firstLine="0"/>
        <w:rPr>
          <w:rFonts w:ascii="Calibri" w:hAnsi="Calibri" w:cs="Calibri"/>
          <w:b/>
          <w:bCs/>
        </w:rPr>
      </w:pPr>
      <w:r w:rsidRPr="00C12BAA">
        <w:rPr>
          <w:rFonts w:ascii="Calibri" w:hAnsi="Calibri" w:cs="Calibri"/>
          <w:b/>
          <w:bCs/>
        </w:rPr>
        <w:t xml:space="preserve">Supplies from free allocations: </w:t>
      </w:r>
    </w:p>
    <w:p w14:paraId="14B24257" w14:textId="6607820B" w:rsidR="00EA6A10" w:rsidRPr="00C12BAA" w:rsidRDefault="00EA6A10" w:rsidP="00A42B13">
      <w:pPr>
        <w:pStyle w:val="Bulletedlist"/>
        <w:jc w:val="left"/>
      </w:pPr>
      <w:r w:rsidRPr="00C12BAA">
        <w:t>California: Cap-and-Trade Program Allowance Allocation annual reports, available at</w:t>
      </w:r>
      <w:r w:rsidR="00F33D3B" w:rsidRPr="00C12BAA">
        <w:t xml:space="preserve"> </w:t>
      </w:r>
      <w:hyperlink r:id="rId14" w:history="1">
        <w:r w:rsidR="00F33D3B" w:rsidRPr="00C12BAA">
          <w:rPr>
            <w:rStyle w:val="Hyperlink"/>
          </w:rPr>
          <w:t>https://www.arb.ca.gov/cc/capandtrade/allowanceallocation/publicallocation.htm</w:t>
        </w:r>
      </w:hyperlink>
      <w:r w:rsidR="00F33D3B" w:rsidRPr="00C12BAA">
        <w:t>.</w:t>
      </w:r>
    </w:p>
    <w:p w14:paraId="15A7AF11" w14:textId="41D82223" w:rsidR="00EA6A10" w:rsidRPr="00C12BAA" w:rsidRDefault="00EA6A10" w:rsidP="00A42B13">
      <w:pPr>
        <w:pStyle w:val="Bulletedlist"/>
        <w:jc w:val="left"/>
      </w:pPr>
      <w:r w:rsidRPr="00C12BAA">
        <w:t>Québec: MELCC, “</w:t>
      </w:r>
      <w:proofErr w:type="spellStart"/>
      <w:r w:rsidRPr="00C12BAA">
        <w:t>Quantité</w:t>
      </w:r>
      <w:proofErr w:type="spellEnd"/>
      <w:r w:rsidRPr="00C12BAA">
        <w:t xml:space="preserve"> </w:t>
      </w:r>
      <w:proofErr w:type="spellStart"/>
      <w:r w:rsidRPr="00C12BAA">
        <w:t>d’unités</w:t>
      </w:r>
      <w:proofErr w:type="spellEnd"/>
      <w:r w:rsidRPr="00C12BAA">
        <w:t xml:space="preserve"> </w:t>
      </w:r>
      <w:proofErr w:type="spellStart"/>
      <w:r w:rsidRPr="00C12BAA">
        <w:t>d’émission</w:t>
      </w:r>
      <w:proofErr w:type="spellEnd"/>
      <w:r w:rsidRPr="00C12BAA">
        <w:t xml:space="preserve"> </w:t>
      </w:r>
      <w:proofErr w:type="spellStart"/>
      <w:r w:rsidRPr="00C12BAA">
        <w:t>versées</w:t>
      </w:r>
      <w:proofErr w:type="spellEnd"/>
      <w:r w:rsidRPr="00C12BAA">
        <w:t xml:space="preserve"> </w:t>
      </w:r>
      <w:proofErr w:type="spellStart"/>
      <w:r w:rsidRPr="00C12BAA">
        <w:t>en</w:t>
      </w:r>
      <w:proofErr w:type="spellEnd"/>
      <w:r w:rsidRPr="00C12BAA">
        <w:t xml:space="preserve"> allocation </w:t>
      </w:r>
      <w:proofErr w:type="spellStart"/>
      <w:r w:rsidRPr="00C12BAA">
        <w:t>gratuite</w:t>
      </w:r>
      <w:proofErr w:type="spellEnd"/>
      <w:r w:rsidRPr="00C12BAA">
        <w:t>,” published Jan 14, 2019 at</w:t>
      </w:r>
      <w:r w:rsidR="00F33D3B" w:rsidRPr="00C12BAA">
        <w:t xml:space="preserve"> </w:t>
      </w:r>
      <w:hyperlink r:id="rId15" w:history="1">
        <w:r w:rsidR="00F33D3B" w:rsidRPr="00C12BAA">
          <w:rPr>
            <w:rStyle w:val="Hyperlink"/>
          </w:rPr>
          <w:t>http://environnement.gouv.qc.ca/changements/carbone/documentation-en.htm</w:t>
        </w:r>
      </w:hyperlink>
      <w:r w:rsidRPr="00C12BAA">
        <w:t xml:space="preserve">. Earlier reports published for individual allocation years were saved from the MELCC website, and are available in the WCI-RULES repository </w:t>
      </w:r>
      <w:r w:rsidRPr="00C12BAA">
        <w:fldChar w:fldCharType="begin"/>
      </w:r>
      <w:r w:rsidRPr="00C12BAA">
        <w:instrText xml:space="preserve"> ADDIN ZOTERO_ITEM CSL_CITATION {"citationID":"CIVdMXq5","properties":{"formattedCitation":"(Inman, 2019)","plainCitation":"(Inman, 2019)","noteIndex":0},"citationItems":[{"id":97,"uris":["http://zotero.org/users/local/AEGCSEej/items/XW75XZHZ"],"uri":["http://zotero.org/users/local/AEGCSEej/items/XW75XZHZ"],"itemData":{"id":97,"type":"article-journal","title":"WCI-RULES repository for model code and data inputs","URL":"https://osf.io/s7hq3/","DOI":"10.17605/OSF.IO/S7HQ3","author":[{"family":"Inman","given":"Mason"}],"issued":{"date-parts":[["2019"]]}}}],"schema":"https://github.com/citation-style-language/schema/raw/master/csl-citation.json"} </w:instrText>
      </w:r>
      <w:r w:rsidRPr="00C12BAA">
        <w:fldChar w:fldCharType="separate"/>
      </w:r>
      <w:r w:rsidRPr="00C12BAA">
        <w:t>(Inman, 2019)</w:t>
      </w:r>
      <w:r w:rsidRPr="00C12BAA">
        <w:fldChar w:fldCharType="end"/>
      </w:r>
      <w:r w:rsidRPr="00C12BAA">
        <w:t>.</w:t>
      </w:r>
    </w:p>
    <w:p w14:paraId="5CF3EBA3" w14:textId="77777777" w:rsidR="00EA6A10" w:rsidRPr="00C12BAA" w:rsidRDefault="00EA6A10" w:rsidP="00770996">
      <w:pPr>
        <w:pStyle w:val="Newparagraph"/>
        <w:keepNext/>
        <w:spacing w:before="240" w:after="240" w:line="288" w:lineRule="auto"/>
        <w:ind w:firstLine="0"/>
        <w:rPr>
          <w:rFonts w:ascii="Calibri" w:hAnsi="Calibri" w:cs="Calibri"/>
          <w:b/>
          <w:bCs/>
        </w:rPr>
      </w:pPr>
      <w:r w:rsidRPr="00C12BAA">
        <w:rPr>
          <w:rFonts w:ascii="Calibri" w:hAnsi="Calibri" w:cs="Calibri"/>
          <w:b/>
          <w:bCs/>
        </w:rPr>
        <w:lastRenderedPageBreak/>
        <w:t>Supplies from auction sales:</w:t>
      </w:r>
    </w:p>
    <w:p w14:paraId="14A3C736" w14:textId="026F9061" w:rsidR="00EA6A10" w:rsidRPr="00C12BAA" w:rsidRDefault="00EA6A10" w:rsidP="00A42B13">
      <w:pPr>
        <w:pStyle w:val="Bulletedlist"/>
        <w:jc w:val="left"/>
      </w:pPr>
      <w:r w:rsidRPr="00C12BAA">
        <w:t xml:space="preserve">California-only auctions and joint auctions: Quarterly Auction Summary Results Report, available at </w:t>
      </w:r>
      <w:hyperlink r:id="rId16" w:history="1">
        <w:r w:rsidR="00F33D3B" w:rsidRPr="00C12BAA">
          <w:rPr>
            <w:rStyle w:val="Hyperlink"/>
            <w:rFonts w:eastAsiaTheme="minorEastAsia"/>
          </w:rPr>
          <w:t>https://www.arb.ca.gov/cc/capandtrade/auction/auction_notices_and_reports.htm</w:t>
        </w:r>
      </w:hyperlink>
      <w:r w:rsidR="00F33D3B" w:rsidRPr="00C12BAA">
        <w:t>.</w:t>
      </w:r>
    </w:p>
    <w:p w14:paraId="6A1E2F7E" w14:textId="214E8B15" w:rsidR="00EA6A10" w:rsidRPr="00770996" w:rsidRDefault="00EA6A10" w:rsidP="00A42B13">
      <w:pPr>
        <w:pStyle w:val="Bulletedlist"/>
        <w:jc w:val="left"/>
        <w:rPr>
          <w:lang w:val="en-US"/>
        </w:rPr>
      </w:pPr>
      <w:r w:rsidRPr="00C12BAA">
        <w:rPr>
          <w:lang w:val="en"/>
        </w:rPr>
        <w:t xml:space="preserve">Québec-only auctions: Auction of Québec Greenhouse Gas Emission Units: Summary Results, available at </w:t>
      </w:r>
      <w:hyperlink r:id="rId17" w:history="1">
        <w:r w:rsidR="00770996" w:rsidRPr="00770996">
          <w:rPr>
            <w:rStyle w:val="Hyperlink"/>
            <w:lang w:val="en-US"/>
          </w:rPr>
          <w:t>http://environnement.gouv.qc.ca/changements/carbone/ventes-encheres/avis-resultats-en.htm</w:t>
        </w:r>
      </w:hyperlink>
      <w:r w:rsidR="00770996">
        <w:rPr>
          <w:lang w:val="en-US"/>
        </w:rPr>
        <w:t>.</w:t>
      </w:r>
    </w:p>
    <w:p w14:paraId="2310DC8D" w14:textId="77777777" w:rsidR="00EA6A10" w:rsidRPr="00C12BAA" w:rsidRDefault="00EA6A10" w:rsidP="00770996">
      <w:pPr>
        <w:pStyle w:val="Newparagraph"/>
        <w:spacing w:before="240" w:after="240" w:line="288" w:lineRule="auto"/>
        <w:ind w:firstLine="0"/>
        <w:rPr>
          <w:rFonts w:ascii="Calibri" w:hAnsi="Calibri" w:cs="Calibri"/>
          <w:b/>
          <w:bCs/>
        </w:rPr>
      </w:pPr>
      <w:r w:rsidRPr="00C12BAA">
        <w:rPr>
          <w:rFonts w:ascii="Calibri" w:hAnsi="Calibri" w:cs="Calibri"/>
          <w:b/>
          <w:bCs/>
        </w:rPr>
        <w:t xml:space="preserve">Supplies from offset issuance: </w:t>
      </w:r>
    </w:p>
    <w:p w14:paraId="58E9D6A7" w14:textId="48B533DF" w:rsidR="00EA6A10" w:rsidRPr="00C12BAA" w:rsidRDefault="00EA6A10" w:rsidP="00A42B13">
      <w:pPr>
        <w:pStyle w:val="Bulletedlist"/>
        <w:jc w:val="left"/>
      </w:pPr>
      <w:r w:rsidRPr="00C12BAA">
        <w:t xml:space="preserve">Compliance Instrument Report </w:t>
      </w:r>
      <w:r w:rsidRPr="00C12BAA">
        <w:fldChar w:fldCharType="begin"/>
      </w:r>
      <w:r w:rsidR="00450B19" w:rsidRPr="00C12BAA">
        <w:instrText xml:space="preserve"> ADDIN ZOTERO_ITEM CSL_CITATION {"citationID":"sOUaJQJm","properties":{"formattedCitation":"(CARB, 2019c)","plainCitation":"(CARB, 2019c)","noteIndex":0},"citationItems":[{"id":36,"uris":["http://zotero.org/users/local/AEGCSEej/items/UJS7AA5H"],"uri":["http://zotero.org/users/local/AEGCSEej/items/UJS7AA5H"],"itemData":{"id":36,"type":"report","title":"Compliance Instrument Report","publisher":"https://arb.ca.gov/cc/capandtrade/complianceinstrumentreport.xlsx","author":[{"family":"CARB","given":""}],"issued":{"date-parts":[["2019"]]}}}],"schema":"https://github.com/citation-style-language/schema/raw/master/csl-citation.json"} </w:instrText>
      </w:r>
      <w:r w:rsidRPr="00C12BAA">
        <w:fldChar w:fldCharType="separate"/>
      </w:r>
      <w:r w:rsidR="00450B19" w:rsidRPr="00C12BAA">
        <w:rPr>
          <w:noProof/>
        </w:rPr>
        <w:t>(CARB, 2019c)</w:t>
      </w:r>
      <w:r w:rsidRPr="00C12BAA">
        <w:fldChar w:fldCharType="end"/>
      </w:r>
      <w:r w:rsidRPr="00C12BAA">
        <w:t xml:space="preserve">, available at </w:t>
      </w:r>
      <w:hyperlink r:id="rId18" w:history="1">
        <w:r w:rsidR="00F33D3B" w:rsidRPr="00C12BAA">
          <w:rPr>
            <w:rStyle w:val="Hyperlink"/>
            <w:rFonts w:eastAsiaTheme="minorEastAsia"/>
          </w:rPr>
          <w:t>https://arb.ca.gov/cc/capandtrade/complianceinstrumentreport.xlsx</w:t>
        </w:r>
      </w:hyperlink>
      <w:r w:rsidR="00F33D3B" w:rsidRPr="00C12BAA">
        <w:t>.</w:t>
      </w:r>
    </w:p>
    <w:p w14:paraId="1DDC9ECF" w14:textId="0B42127F" w:rsidR="00EA6A10" w:rsidRPr="00C12BAA" w:rsidRDefault="00EA6A10" w:rsidP="00B03F7D">
      <w:pPr>
        <w:pStyle w:val="Heading1"/>
        <w:rPr>
          <w:rFonts w:ascii="Calibri" w:hAnsi="Calibri" w:cs="Calibri"/>
          <w:lang w:val="en"/>
        </w:rPr>
      </w:pPr>
      <w:bookmarkStart w:id="6" w:name="_Toc18670605"/>
      <w:r w:rsidRPr="00C12BAA">
        <w:rPr>
          <w:rFonts w:ascii="Calibri" w:hAnsi="Calibri" w:cs="Calibri"/>
        </w:rPr>
        <w:t xml:space="preserve">Supplement to </w:t>
      </w:r>
      <w:r w:rsidR="00B03F7D" w:rsidRPr="00C12BAA">
        <w:rPr>
          <w:rFonts w:ascii="Calibri" w:hAnsi="Calibri" w:cs="Calibri"/>
        </w:rPr>
        <w:t>Section 2 (Methods)</w:t>
      </w:r>
      <w:bookmarkEnd w:id="6"/>
    </w:p>
    <w:p w14:paraId="33C53262" w14:textId="77777777" w:rsidR="00EA6A10" w:rsidRPr="00C12BAA" w:rsidRDefault="00EA6A10" w:rsidP="00712F27">
      <w:pPr>
        <w:pStyle w:val="Heading2"/>
        <w:rPr>
          <w:rFonts w:ascii="Calibri" w:hAnsi="Calibri" w:cs="Calibri"/>
        </w:rPr>
      </w:pPr>
      <w:bookmarkStart w:id="7" w:name="_Toc18670606"/>
      <w:r w:rsidRPr="00C12BAA">
        <w:rPr>
          <w:rFonts w:ascii="Calibri" w:hAnsi="Calibri" w:cs="Calibri"/>
        </w:rPr>
        <w:t>Global Warming Potentials (GWPs) used in regulations</w:t>
      </w:r>
      <w:bookmarkEnd w:id="7"/>
    </w:p>
    <w:p w14:paraId="2F2AA282" w14:textId="478D7B30" w:rsidR="00EA6A10" w:rsidRPr="00C12BAA" w:rsidRDefault="00EA6A10" w:rsidP="00A42B13">
      <w:pPr>
        <w:pStyle w:val="Paragraph"/>
      </w:pPr>
      <w:r w:rsidRPr="00C12BAA">
        <w:t>Each WCI compliance instrument represents 1 tCO</w:t>
      </w:r>
      <w:r w:rsidRPr="00C12BAA">
        <w:rPr>
          <w:vertAlign w:val="subscript"/>
        </w:rPr>
        <w:t>2</w:t>
      </w:r>
      <w:r w:rsidRPr="00C12BAA">
        <w:t>e, with equivalence for the non-CO</w:t>
      </w:r>
      <w:r w:rsidRPr="00C12BAA">
        <w:rPr>
          <w:vertAlign w:val="subscript"/>
        </w:rPr>
        <w:t>2</w:t>
      </w:r>
      <w:r w:rsidRPr="00C12BAA">
        <w:t xml:space="preserve"> covered gases (CH</w:t>
      </w:r>
      <w:r w:rsidRPr="00C12BAA">
        <w:rPr>
          <w:vertAlign w:val="subscript"/>
        </w:rPr>
        <w:t>4</w:t>
      </w:r>
      <w:r w:rsidRPr="00C12BAA">
        <w:t xml:space="preserve"> and N</w:t>
      </w:r>
      <w:r w:rsidRPr="00C12BAA">
        <w:rPr>
          <w:vertAlign w:val="subscript"/>
        </w:rPr>
        <w:t>2</w:t>
      </w:r>
      <w:r w:rsidRPr="00C12BAA">
        <w:t xml:space="preserve">O) using 100-year global warming potentials (GWPs) from the Intergovernmental Panel on Climate Change (IPCC). As established by California’s Mandatory Reporting Regulations </w:t>
      </w:r>
      <w:r w:rsidRPr="00C12BAA">
        <w:fldChar w:fldCharType="begin"/>
      </w:r>
      <w:r w:rsidRPr="00C12BAA">
        <w:instrText xml:space="preserve"> ADDIN ZOTERO_ITEM CSL_CITATION {"citationID":"ywYDTzaj","properties":{"formattedCitation":"(CARB, 2019a)","plainCitation":"(CARB, 2019a)","noteIndex":0},"citationItems":[{"id":37,"uris":["http://zotero.org/users/local/AEGCSEej/items/SI784YEG"],"uri":["http://zotero.org/users/local/AEGCSEej/items/SI784YEG"],"itemData":{"id":37,"type":"report","title":"Mandatory Greenhouse Gas Reporting Regulation","publisher":"https://ww2.arb.ca.gov/mrr-regulation","URL":"https://ww2.arb.ca.gov/mrr-regulation","author":[{"family":"CARB","given":""}],"issued":{"date-parts":[["2019",4,1]]}}}],"schema":"https://github.com/citation-style-language/schema/raw/master/csl-citation.json"} </w:instrText>
      </w:r>
      <w:r w:rsidRPr="00C12BAA">
        <w:fldChar w:fldCharType="separate"/>
      </w:r>
      <w:r w:rsidRPr="00C12BAA">
        <w:rPr>
          <w:noProof/>
        </w:rPr>
        <w:t>(CARB, 2019a)</w:t>
      </w:r>
      <w:r w:rsidRPr="00C12BAA">
        <w:fldChar w:fldCharType="end"/>
      </w:r>
      <w:r w:rsidRPr="00C12BAA">
        <w:t xml:space="preserve">, California’s covered emissions up to 2020 use </w:t>
      </w:r>
      <w:r w:rsidR="000F77AF">
        <w:t xml:space="preserve">the 1995 </w:t>
      </w:r>
      <w:r w:rsidRPr="00C12BAA">
        <w:t>IPCC Second Assessment Report GWPs (21 for CH</w:t>
      </w:r>
      <w:r w:rsidRPr="00C12BAA">
        <w:rPr>
          <w:vertAlign w:val="subscript"/>
        </w:rPr>
        <w:t>4</w:t>
      </w:r>
      <w:r w:rsidRPr="00C12BAA">
        <w:t>, and 310 for N</w:t>
      </w:r>
      <w:r w:rsidRPr="00C12BAA">
        <w:rPr>
          <w:vertAlign w:val="subscript"/>
        </w:rPr>
        <w:t>2</w:t>
      </w:r>
      <w:r w:rsidRPr="00C12BAA">
        <w:t xml:space="preserve">O), and California’s covered emissions from 2021 onward will use </w:t>
      </w:r>
      <w:r w:rsidR="000F77AF">
        <w:t xml:space="preserve">the 2007 </w:t>
      </w:r>
      <w:r w:rsidRPr="00C12BAA">
        <w:t>IPCC Fourth Assessment Report GWPs (25 for CH</w:t>
      </w:r>
      <w:r w:rsidRPr="00C12BAA">
        <w:rPr>
          <w:vertAlign w:val="subscript"/>
        </w:rPr>
        <w:t>4</w:t>
      </w:r>
      <w:r w:rsidRPr="00C12BAA">
        <w:t>, and 298 for N</w:t>
      </w:r>
      <w:r w:rsidRPr="00C12BAA">
        <w:rPr>
          <w:vertAlign w:val="subscript"/>
        </w:rPr>
        <w:t>2</w:t>
      </w:r>
      <w:r w:rsidRPr="00C12BAA">
        <w:t xml:space="preserve">O). For Québec, covered emissions in all years are based on </w:t>
      </w:r>
      <w:r w:rsidR="000F77AF">
        <w:t xml:space="preserve">the 1995 </w:t>
      </w:r>
      <w:r w:rsidRPr="00C12BAA">
        <w:t xml:space="preserve">IPCC Second Assessment Report GWPs </w:t>
      </w:r>
      <w:r w:rsidRPr="00C12BAA">
        <w:fldChar w:fldCharType="begin"/>
      </w:r>
      <w:r w:rsidRPr="00C12BAA">
        <w:instrText xml:space="preserve"> ADDIN ZOTERO_ITEM CSL_CITATION {"citationID":"H1wnWOVl","properties":{"formattedCitation":"(Qu\\uc0\\u233{}bec, 2019)","plainCitation":"(Québec, 2019)","noteIndex":0},"citationItems":[{"id":91,"uris":["http://zotero.org/users/local/AEGCSEej/items/VTQZ8J44"],"uri":["http://zotero.org/users/local/AEGCSEej/items/VTQZ8J44"],"itemData":{"id":91,"type":"report","title":"Regulation respecting mandatory reporting of certain emissions of contaminants into the atmosphere","publisher":"http://legisquebec.gouv.qc.ca/en/ShowDoc/cr/Q-2,%20r.%2015","URL":"http://legisquebec.gouv.qc.ca/en/ShowDoc/cr/Q-2,%20r.%2015","author":[{"family":"Québec","given":""}],"issued":{"date-parts":[["2019"]]}}}],"schema":"https://github.com/citation-style-language/schema/raw/master/csl-citation.json"} </w:instrText>
      </w:r>
      <w:r w:rsidRPr="00C12BAA">
        <w:fldChar w:fldCharType="separate"/>
      </w:r>
      <w:r w:rsidRPr="00C12BAA">
        <w:t>(Québec, 2019)</w:t>
      </w:r>
      <w:r w:rsidRPr="00C12BAA">
        <w:fldChar w:fldCharType="end"/>
      </w:r>
      <w:r w:rsidRPr="00C12BAA">
        <w:t>.</w:t>
      </w:r>
    </w:p>
    <w:p w14:paraId="11A924F4" w14:textId="77777777" w:rsidR="00EA6A10" w:rsidRPr="00C12BAA" w:rsidRDefault="00EA6A10" w:rsidP="00712F27">
      <w:pPr>
        <w:pStyle w:val="Heading2"/>
        <w:rPr>
          <w:rFonts w:ascii="Calibri" w:hAnsi="Calibri" w:cs="Calibri"/>
        </w:rPr>
      </w:pPr>
      <w:bookmarkStart w:id="8" w:name="_Toc18670607"/>
      <w:r w:rsidRPr="00C12BAA">
        <w:rPr>
          <w:rFonts w:ascii="Calibri" w:hAnsi="Calibri" w:cs="Calibri"/>
          <w:lang w:val="en"/>
        </w:rPr>
        <w:t>Voluntary Renewable Electricity (VRE) Program</w:t>
      </w:r>
      <w:bookmarkEnd w:id="8"/>
    </w:p>
    <w:p w14:paraId="20FB624F" w14:textId="1872A4DB" w:rsidR="00EA6A10" w:rsidRPr="00C12BAA" w:rsidRDefault="00EA6A10" w:rsidP="00A42B13">
      <w:pPr>
        <w:pStyle w:val="Paragraph"/>
        <w:rPr>
          <w:lang w:val="en"/>
        </w:rPr>
      </w:pPr>
      <w:r w:rsidRPr="00C12BAA">
        <w:rPr>
          <w:lang w:val="en"/>
        </w:rPr>
        <w:t>California also has a Voluntary Renewable Electricity (VRE) Program. Approximately 7 M allowances from budget years 2013-2020 were set aside for the VRE program in a dedicated account; allowances that are transferred into the VRE account are permanently removed from circulation in the cap-and-trade program. No further removals of cap-and-trade allowances for the VRE Program are scheduled for future program years.</w:t>
      </w:r>
    </w:p>
    <w:p w14:paraId="66F736FB" w14:textId="60762F78" w:rsidR="00EA6A10" w:rsidRPr="00C12BAA" w:rsidRDefault="00EA6A10" w:rsidP="00B03F7D">
      <w:pPr>
        <w:pStyle w:val="Heading2"/>
        <w:rPr>
          <w:rFonts w:ascii="Calibri" w:hAnsi="Calibri" w:cs="Calibri"/>
        </w:rPr>
      </w:pPr>
      <w:bookmarkStart w:id="9" w:name="_Toc18670608"/>
      <w:r w:rsidRPr="00C12BAA">
        <w:rPr>
          <w:rFonts w:ascii="Calibri" w:hAnsi="Calibri" w:cs="Calibri"/>
        </w:rPr>
        <w:t>WCI-RULES model framework and validation</w:t>
      </w:r>
      <w:bookmarkEnd w:id="9"/>
    </w:p>
    <w:p w14:paraId="0B046B92" w14:textId="77777777" w:rsidR="00770996" w:rsidRDefault="00EA6A10" w:rsidP="00A42B13">
      <w:pPr>
        <w:pStyle w:val="Paragraph"/>
      </w:pPr>
      <w:r w:rsidRPr="00C12BAA">
        <w:t xml:space="preserve">Full documentation and code for the WCI-RULES model are available in the WCI-RULES repository hosted by the Open Science Framework </w:t>
      </w:r>
      <w:r w:rsidRPr="00C12BAA">
        <w:fldChar w:fldCharType="begin"/>
      </w:r>
      <w:r w:rsidRPr="00C12BAA">
        <w:instrText xml:space="preserve"> ADDIN ZOTERO_ITEM CSL_CITATION {"citationID":"r7rfz6ln","properties":{"formattedCitation":"(Inman, 2019)","plainCitation":"(Inman, 2019)","noteIndex":0},"citationItems":[{"id":97,"uris":["http://zotero.org/users/local/AEGCSEej/items/XW75XZHZ"],"uri":["http://zotero.org/users/local/AEGCSEej/items/XW75XZHZ"],"itemData":{"id":97,"type":"article-journal","title":"WCI-RULES repository for model code and data inputs","URL":"https://osf.io/s7hq3/","DOI":"10.17605/OSF.IO/S7HQ3","author":[{"family":"Inman","given":"Mason"}],"issued":{"date-parts":[["2019"]]}}}],"schema":"https://github.com/citation-style-language/schema/raw/master/csl-citation.json"} </w:instrText>
      </w:r>
      <w:r w:rsidRPr="00C12BAA">
        <w:fldChar w:fldCharType="separate"/>
      </w:r>
      <w:r w:rsidRPr="00C12BAA">
        <w:rPr>
          <w:noProof/>
        </w:rPr>
        <w:t>(Inman, 2019)</w:t>
      </w:r>
      <w:r w:rsidRPr="00C12BAA">
        <w:fldChar w:fldCharType="end"/>
      </w:r>
      <w:r w:rsidRPr="00C12BAA">
        <w:t xml:space="preserve">, as well as on Near Zero’s Github </w:t>
      </w:r>
      <w:r w:rsidRPr="00C12BAA">
        <w:lastRenderedPageBreak/>
        <w:t xml:space="preserve">page, </w:t>
      </w:r>
      <w:hyperlink r:id="rId19" w:history="1">
        <w:r w:rsidRPr="00C12BAA">
          <w:rPr>
            <w:rStyle w:val="Hyperlink"/>
            <w:rFonts w:eastAsiaTheme="minorEastAsia"/>
          </w:rPr>
          <w:t>https://github.com/nearzero/WCI-cap-and-trade</w:t>
        </w:r>
      </w:hyperlink>
      <w:r w:rsidRPr="00C12BAA">
        <w:t>. All results in this paper are from WCI-RULES version 1.1.</w:t>
      </w:r>
      <w:r w:rsidR="00770996">
        <w:t xml:space="preserve"> </w:t>
      </w:r>
    </w:p>
    <w:p w14:paraId="162DBB60" w14:textId="22F0CD65" w:rsidR="00EA6A10" w:rsidRPr="00C12BAA" w:rsidRDefault="00EA6A10" w:rsidP="00A42B13">
      <w:pPr>
        <w:pStyle w:val="Paragraph"/>
      </w:pPr>
      <w:r w:rsidRPr="00C12BAA">
        <w:t>WCI-RULES is written in Python code, using only open-source libraries, principally:</w:t>
      </w:r>
    </w:p>
    <w:p w14:paraId="737A1C0D" w14:textId="046A838F" w:rsidR="00EA6A10" w:rsidRPr="00C12BAA" w:rsidRDefault="00EA6A10" w:rsidP="00A42B13">
      <w:pPr>
        <w:pStyle w:val="Bulletedlist"/>
        <w:jc w:val="left"/>
      </w:pPr>
      <w:r w:rsidRPr="00C12BAA">
        <w:t>Pandas (</w:t>
      </w:r>
      <w:hyperlink r:id="rId20" w:history="1">
        <w:r w:rsidRPr="00C12BAA">
          <w:rPr>
            <w:rStyle w:val="Hyperlink"/>
          </w:rPr>
          <w:t>https://pandas.pydata.org</w:t>
        </w:r>
      </w:hyperlink>
      <w:r w:rsidRPr="00C12BAA">
        <w:t>), for handling and analyzing large data sets.</w:t>
      </w:r>
    </w:p>
    <w:p w14:paraId="2E93182F" w14:textId="738D5452" w:rsidR="00EA6A10" w:rsidRPr="00C12BAA" w:rsidRDefault="00EA6A10" w:rsidP="00A42B13">
      <w:pPr>
        <w:pStyle w:val="Bulletedlist"/>
        <w:jc w:val="left"/>
      </w:pPr>
      <w:proofErr w:type="spellStart"/>
      <w:r w:rsidRPr="00C12BAA">
        <w:t>Jupyter</w:t>
      </w:r>
      <w:proofErr w:type="spellEnd"/>
      <w:r w:rsidRPr="00C12BAA">
        <w:t xml:space="preserve"> Notebook (</w:t>
      </w:r>
      <w:hyperlink r:id="rId21" w:history="1">
        <w:r w:rsidRPr="00C12BAA">
          <w:rPr>
            <w:rStyle w:val="Hyperlink"/>
          </w:rPr>
          <w:t>https://jupyter.org</w:t>
        </w:r>
      </w:hyperlink>
      <w:r w:rsidRPr="00C12BAA">
        <w:t>), for organizing code and creating the user interface.</w:t>
      </w:r>
    </w:p>
    <w:p w14:paraId="5C13877B" w14:textId="1D5F5D5E" w:rsidR="00EA6A10" w:rsidRPr="00C12BAA" w:rsidRDefault="00EA6A10" w:rsidP="00A42B13">
      <w:pPr>
        <w:pStyle w:val="Bulletedlist"/>
        <w:jc w:val="left"/>
      </w:pPr>
      <w:r w:rsidRPr="00C12BAA">
        <w:t>Bokeh (</w:t>
      </w:r>
      <w:hyperlink r:id="rId22" w:history="1">
        <w:r w:rsidRPr="00C12BAA">
          <w:rPr>
            <w:rStyle w:val="Hyperlink"/>
          </w:rPr>
          <w:t>https://bokeh.pydata.org</w:t>
        </w:r>
      </w:hyperlink>
      <w:r w:rsidRPr="00C12BAA">
        <w:t>), for creating interactive web graphics.</w:t>
      </w:r>
    </w:p>
    <w:p w14:paraId="744173AA" w14:textId="77777777" w:rsidR="00EA6A10" w:rsidRPr="00C12BAA" w:rsidRDefault="00EA6A10" w:rsidP="00A42B13">
      <w:pPr>
        <w:pStyle w:val="Paragraph"/>
      </w:pPr>
      <w:r w:rsidRPr="00C12BAA">
        <w:t>The model’s full name, WCI Regulations and Uncertainties for Lowering Emissions across Scenarios, refers to the detailed representation of the rules in regulations for the WCI system, and the uncertainties that can be explored through user-specified scenarios.</w:t>
      </w:r>
    </w:p>
    <w:p w14:paraId="0DFF35E0" w14:textId="0D5DB0CC" w:rsidR="00EA6A10" w:rsidRPr="00C12BAA" w:rsidRDefault="00EA6A10" w:rsidP="00A42B13">
      <w:pPr>
        <w:pStyle w:val="Paragraph"/>
      </w:pPr>
      <w:r w:rsidRPr="00C12BAA">
        <w:t xml:space="preserve">A full </w:t>
      </w:r>
      <w:r w:rsidR="001C641A" w:rsidRPr="00C12BAA">
        <w:t xml:space="preserve">list </w:t>
      </w:r>
      <w:r w:rsidRPr="00C12BAA">
        <w:t>of the libraries used</w:t>
      </w:r>
      <w:r w:rsidR="001C641A" w:rsidRPr="00C12BAA">
        <w:t>, with particular version numbers,</w:t>
      </w:r>
      <w:r w:rsidRPr="00C12BAA">
        <w:t xml:space="preserve"> is in the WCI-RULES repository </w:t>
      </w:r>
      <w:r w:rsidRPr="00C12BAA">
        <w:fldChar w:fldCharType="begin"/>
      </w:r>
      <w:r w:rsidRPr="00C12BAA">
        <w:instrText xml:space="preserve"> ADDIN ZOTERO_ITEM CSL_CITATION {"citationID":"ueqtUfNH","properties":{"formattedCitation":"(Inman, 2019)","plainCitation":"(Inman, 2019)","noteIndex":0},"citationItems":[{"id":97,"uris":["http://zotero.org/users/local/AEGCSEej/items/XW75XZHZ"],"uri":["http://zotero.org/users/local/AEGCSEej/items/XW75XZHZ"],"itemData":{"id":97,"type":"article-journal","title":"WCI-RULES repository for model code and data inputs","URL":"https://osf.io/s7hq3/","DOI":"10.17605/OSF.IO/S7HQ3","author":[{"family":"Inman","given":"Mason"}],"issued":{"date-parts":[["2019"]]}}}],"schema":"https://github.com/citation-style-language/schema/raw/master/csl-citation.json"} </w:instrText>
      </w:r>
      <w:r w:rsidRPr="00C12BAA">
        <w:fldChar w:fldCharType="separate"/>
      </w:r>
      <w:r w:rsidRPr="00C12BAA">
        <w:rPr>
          <w:noProof/>
        </w:rPr>
        <w:t>(Inman, 2019)</w:t>
      </w:r>
      <w:r w:rsidRPr="00C12BAA">
        <w:fldChar w:fldCharType="end"/>
      </w:r>
      <w:r w:rsidRPr="00C12BAA">
        <w:t>, in the file &lt;</w:t>
      </w:r>
      <w:proofErr w:type="spellStart"/>
      <w:r w:rsidRPr="00C12BAA">
        <w:t>environment.yml</w:t>
      </w:r>
      <w:proofErr w:type="spellEnd"/>
      <w:r w:rsidRPr="00C12BAA">
        <w:t>&gt;.</w:t>
      </w:r>
    </w:p>
    <w:p w14:paraId="12C28242" w14:textId="5F1377F5" w:rsidR="00EA6A10" w:rsidRPr="00C12BAA" w:rsidRDefault="00B03F7D" w:rsidP="00712F27">
      <w:pPr>
        <w:pStyle w:val="Heading2"/>
        <w:rPr>
          <w:rFonts w:ascii="Calibri" w:hAnsi="Calibri" w:cs="Calibri"/>
        </w:rPr>
      </w:pPr>
      <w:bookmarkStart w:id="10" w:name="_Toc18670609"/>
      <w:r w:rsidRPr="00C12BAA">
        <w:rPr>
          <w:rFonts w:ascii="Calibri" w:hAnsi="Calibri" w:cs="Calibri"/>
        </w:rPr>
        <w:t>WCI-RULES h</w:t>
      </w:r>
      <w:r w:rsidR="00EA6A10" w:rsidRPr="00C12BAA">
        <w:rPr>
          <w:rFonts w:ascii="Calibri" w:hAnsi="Calibri" w:cs="Calibri"/>
        </w:rPr>
        <w:t xml:space="preserve">istorical </w:t>
      </w:r>
      <w:r w:rsidRPr="00C12BAA">
        <w:rPr>
          <w:rFonts w:ascii="Calibri" w:hAnsi="Calibri" w:cs="Calibri"/>
        </w:rPr>
        <w:t>d</w:t>
      </w:r>
      <w:r w:rsidR="00EA6A10" w:rsidRPr="00C12BAA">
        <w:rPr>
          <w:rFonts w:ascii="Calibri" w:hAnsi="Calibri" w:cs="Calibri"/>
        </w:rPr>
        <w:t xml:space="preserve">ata </w:t>
      </w:r>
      <w:r w:rsidRPr="00C12BAA">
        <w:rPr>
          <w:rFonts w:ascii="Calibri" w:hAnsi="Calibri" w:cs="Calibri"/>
        </w:rPr>
        <w:t>i</w:t>
      </w:r>
      <w:r w:rsidR="00EA6A10" w:rsidRPr="00C12BAA">
        <w:rPr>
          <w:rFonts w:ascii="Calibri" w:hAnsi="Calibri" w:cs="Calibri"/>
        </w:rPr>
        <w:t>nputs</w:t>
      </w:r>
      <w:bookmarkEnd w:id="10"/>
    </w:p>
    <w:p w14:paraId="4B0BD413" w14:textId="7D52C3D3" w:rsidR="00EA6A10" w:rsidRPr="00C12BAA" w:rsidRDefault="00EA6A10" w:rsidP="00A42B13">
      <w:pPr>
        <w:pStyle w:val="Paragraph"/>
        <w:rPr>
          <w:lang w:val="en"/>
        </w:rPr>
      </w:pPr>
      <w:r w:rsidRPr="00C12BAA">
        <w:rPr>
          <w:lang w:val="en"/>
        </w:rPr>
        <w:t xml:space="preserve">The model uses historical data on allocations, auctions, offset issuance, and transfers into and out of reserves to simulate all instrument transfers listed in public reports. Input data is drawn from a variety of publications issued by regulators in participating jurisdictions (Table </w:t>
      </w:r>
      <w:r w:rsidR="00921B0B">
        <w:rPr>
          <w:lang w:val="en"/>
        </w:rPr>
        <w:t>S-1</w:t>
      </w:r>
      <w:r w:rsidRPr="00C12BAA">
        <w:rPr>
          <w:lang w:val="en"/>
        </w:rPr>
        <w:t>; full data sources in model documentation).</w:t>
      </w:r>
    </w:p>
    <w:p w14:paraId="1FD3BC4A" w14:textId="77777777" w:rsidR="00EA6A10" w:rsidRPr="00C12BAA" w:rsidRDefault="00EA6A10" w:rsidP="00712F27">
      <w:pPr>
        <w:pStyle w:val="Heading2"/>
        <w:rPr>
          <w:rFonts w:ascii="Calibri" w:hAnsi="Calibri" w:cs="Calibri"/>
          <w:lang w:val="en"/>
        </w:rPr>
      </w:pPr>
      <w:bookmarkStart w:id="11" w:name="_Toc18670610"/>
      <w:r w:rsidRPr="00C12BAA">
        <w:rPr>
          <w:rFonts w:ascii="Calibri" w:hAnsi="Calibri" w:cs="Calibri"/>
          <w:lang w:val="en"/>
        </w:rPr>
        <w:t>Effects of Ontario’s linkage and de-linkage</w:t>
      </w:r>
      <w:bookmarkEnd w:id="11"/>
    </w:p>
    <w:p w14:paraId="18EB1F21" w14:textId="77777777" w:rsidR="00EA6A10" w:rsidRPr="00C12BAA" w:rsidRDefault="00EA6A10" w:rsidP="00A42B13">
      <w:pPr>
        <w:pStyle w:val="Paragraph"/>
        <w:rPr>
          <w:lang w:val="en"/>
        </w:rPr>
      </w:pPr>
      <w:r w:rsidRPr="00C12BAA">
        <w:rPr>
          <w:lang w:val="en"/>
        </w:rPr>
        <w:t xml:space="preserve">The model also represents the effect of Ontario’s brief linkage with WCI in 2018, which led to a net flow of 13.2 M allowances to entities based in California and/or Québec, beyond the number of allowances issued by these two jurisdictions alone. Despite incomplete public reporting data, the net flow can be attributed to particular vintages of allowances </w:t>
      </w:r>
      <w:r w:rsidRPr="00C12BAA">
        <w:rPr>
          <w:lang w:val="en"/>
        </w:rPr>
        <w:fldChar w:fldCharType="begin"/>
      </w:r>
      <w:r w:rsidRPr="00C12BAA">
        <w:rPr>
          <w:lang w:val="en"/>
        </w:rPr>
        <w:instrText xml:space="preserve"> ADDIN ZOTERO_ITEM CSL_CITATION {"citationID":"y7xc0KlE","properties":{"formattedCitation":"(Mastrandrea et al., 2018)","plainCitation":"(Mastrandrea et al., 2018)","noteIndex":0},"citationItems":[{"id":20,"uris":["http://zotero.org/users/local/AEGCSEej/items/FZSGFXBE"],"uri":["http://zotero.org/users/local/AEGCSEej/items/FZSGFXBE"],"itemData":{"id":20,"type":"report","title":"Ontario’s exit exacerbates allowance overallocation in the Western Climate Initiative cap-and-trade program","publisher":"Near Zero. http://www.nearzero.org/wp/2018/07/16/ontarios-exit-exacerbates-allowance-overallocation-in-the-western-climate-initiative-cap-and-trade-program/","URL":"http://www.nearzero.org/wp/2018/07/16/ontarios-exit-exacerbates-allowance-overallocation-in-the-western-climate-initiative-cap-and-trade-program/","author":[{"family":"Mastrandrea","given":"Michael"},{"family":"Cullenward","given":"Danny"},{"family":"Inman","given":"Mason"}],"issued":{"date-parts":[["2018"]]}}}],"schema":"https://github.com/citation-style-language/schema/raw/master/csl-citation.json"} </w:instrText>
      </w:r>
      <w:r w:rsidRPr="00C12BAA">
        <w:rPr>
          <w:lang w:val="en"/>
        </w:rPr>
        <w:fldChar w:fldCharType="separate"/>
      </w:r>
      <w:r w:rsidRPr="00C12BAA">
        <w:rPr>
          <w:noProof/>
          <w:lang w:val="en"/>
        </w:rPr>
        <w:t>(Mastrandrea et al., 2018)</w:t>
      </w:r>
      <w:r w:rsidRPr="00C12BAA">
        <w:rPr>
          <w:lang w:val="en"/>
        </w:rPr>
        <w:fldChar w:fldCharType="end"/>
      </w:r>
      <w:r w:rsidRPr="00C12BAA">
        <w:rPr>
          <w:lang w:val="en"/>
        </w:rPr>
        <w:t>. Attributing the net flow to particular vintages affects the calculation of banking metrics as used in this paper, since the metrics for a given year count allowances with vintages of that year and earlier.</w:t>
      </w:r>
    </w:p>
    <w:p w14:paraId="0F15E9F7" w14:textId="3DD41B4A" w:rsidR="00EA6A10" w:rsidRPr="00C12BAA" w:rsidRDefault="00EA6A10" w:rsidP="00A42B13">
      <w:pPr>
        <w:pStyle w:val="Paragraph"/>
      </w:pPr>
      <w:r w:rsidRPr="00C12BAA">
        <w:rPr>
          <w:lang w:val="en"/>
        </w:rPr>
        <w:t xml:space="preserve">In 2019, regulators retired allowances to compensate for the net flow of allowances from Ontario. The Compliance Instrument Report (CIR) </w:t>
      </w:r>
      <w:r w:rsidRPr="00C12BAA">
        <w:rPr>
          <w:lang w:val="en"/>
        </w:rPr>
        <w:fldChar w:fldCharType="begin"/>
      </w:r>
      <w:r w:rsidR="00450B19" w:rsidRPr="00C12BAA">
        <w:rPr>
          <w:lang w:val="en"/>
        </w:rPr>
        <w:instrText xml:space="preserve"> ADDIN ZOTERO_ITEM CSL_CITATION {"citationID":"luchK4CE","properties":{"formattedCitation":"(CARB, 2019c)","plainCitation":"(CARB, 2019c)","noteIndex":0},"citationItems":[{"id":36,"uris":["http://zotero.org/users/local/AEGCSEej/items/UJS7AA5H"],"uri":["http://zotero.org/users/local/AEGCSEej/items/UJS7AA5H"],"itemData":{"id":36,"type":"report","title":"Compliance Instrument Report","publisher":"https://arb.ca.gov/cc/capandtrade/complianceinstrumentreport.xlsx","author":[{"family":"CARB","given":""}],"issued":{"date-parts":[["2019"]]}}}],"schema":"https://github.com/citation-style-language/schema/raw/master/csl-citation.json"} </w:instrText>
      </w:r>
      <w:r w:rsidRPr="00C12BAA">
        <w:rPr>
          <w:lang w:val="en"/>
        </w:rPr>
        <w:fldChar w:fldCharType="separate"/>
      </w:r>
      <w:r w:rsidR="00450B19" w:rsidRPr="00C12BAA">
        <w:rPr>
          <w:noProof/>
          <w:lang w:val="en"/>
        </w:rPr>
        <w:t>(CARB, 2019c)</w:t>
      </w:r>
      <w:r w:rsidRPr="00C12BAA">
        <w:rPr>
          <w:lang w:val="en"/>
        </w:rPr>
        <w:fldChar w:fldCharType="end"/>
      </w:r>
      <w:r w:rsidRPr="00C12BAA">
        <w:rPr>
          <w:lang w:val="en"/>
        </w:rPr>
        <w:t xml:space="preserve"> for Q2 2019 stated: “</w:t>
      </w:r>
      <w:r w:rsidRPr="00C12BAA">
        <w:t>On June 27, 2019, California retired an equal amount of vintages 2021 through 2030 for a total of 11,340,792 allowances. Québec retired 1,846,175 vintage 2017 allowances from the Auction Account on July 10, 2019.” (Note that Québec’s retirements occurred after July 5, 2019, the date at which a snapshot of the state of the market was taken for the CIR, so those retirements are not reflected in the Q2 2019 CIR.) WCI-RULES retires allowances from government holding accounts following regulators’ description above.</w:t>
      </w:r>
    </w:p>
    <w:p w14:paraId="56BD6C51" w14:textId="77777777" w:rsidR="00EA6A10" w:rsidRPr="00C12BAA" w:rsidRDefault="00EA6A10" w:rsidP="00712F27">
      <w:pPr>
        <w:pStyle w:val="Heading2"/>
        <w:rPr>
          <w:rFonts w:ascii="Calibri" w:hAnsi="Calibri" w:cs="Calibri"/>
          <w:lang w:val="en"/>
        </w:rPr>
      </w:pPr>
      <w:bookmarkStart w:id="12" w:name="_Toc18670611"/>
      <w:r w:rsidRPr="00C12BAA">
        <w:rPr>
          <w:rFonts w:ascii="Calibri" w:hAnsi="Calibri" w:cs="Calibri"/>
          <w:lang w:val="en"/>
        </w:rPr>
        <w:lastRenderedPageBreak/>
        <w:t>Built-in projections</w:t>
      </w:r>
      <w:bookmarkEnd w:id="12"/>
    </w:p>
    <w:p w14:paraId="3BF1331F" w14:textId="77777777" w:rsidR="00EA6A10" w:rsidRPr="00C12BAA" w:rsidRDefault="00EA6A10" w:rsidP="00A42B13">
      <w:pPr>
        <w:pStyle w:val="Paragraph"/>
      </w:pPr>
      <w:r w:rsidRPr="00C12BAA">
        <w:rPr>
          <w:lang w:val="en"/>
        </w:rPr>
        <w:t xml:space="preserve">WCI-RULES relies on several built-in projections that cannot be modified through the model interface (although they could be modified in the model code). </w:t>
      </w:r>
      <w:r w:rsidRPr="00C12BAA">
        <w:t>These built-in projections do not affect the total quantity of allowances that are in circulation. Thus, these projections have only a minor effect on other aspects of the performance of the program.</w:t>
      </w:r>
    </w:p>
    <w:p w14:paraId="2F4301FB" w14:textId="77777777" w:rsidR="00EA6A10" w:rsidRPr="00C12BAA" w:rsidRDefault="00EA6A10" w:rsidP="00A42B13">
      <w:pPr>
        <w:pStyle w:val="Paragraph"/>
        <w:rPr>
          <w:lang w:val="en"/>
        </w:rPr>
      </w:pPr>
      <w:r w:rsidRPr="00C12BAA">
        <w:rPr>
          <w:lang w:val="en"/>
        </w:rPr>
        <w:t>The quantities of allowances that California freely allocates to electrical distribution utilities and natural gas suppliers are pre-determined by regulations. California’s remaining allocations vary from year to year; they are primarily industrial allocations, which are determined based on equations in the regulations that adjust the levels based on industrial product output or energy consumption. Similarly, Québec’s allocations are based on equations established in regulations, and the quantities allocated vary from year to year.</w:t>
      </w:r>
    </w:p>
    <w:p w14:paraId="38AFCC3B" w14:textId="7D65E03E" w:rsidR="00EA6A10" w:rsidRPr="00C12BAA" w:rsidRDefault="00EA6A10" w:rsidP="00A42B13">
      <w:pPr>
        <w:pStyle w:val="Paragraph"/>
      </w:pPr>
      <w:r w:rsidRPr="00C12BAA">
        <w:rPr>
          <w:lang w:val="en"/>
        </w:rPr>
        <w:t xml:space="preserve">For California’s variable allocations that are not pre-established by regulation (primarily, industrial allocations), WCI-RULES uses a forecast that CARB published as part of 2018 rulemaking to implement A.B. 398 </w:t>
      </w:r>
      <w:r w:rsidRPr="00C12BAA">
        <w:rPr>
          <w:lang w:val="en"/>
        </w:rPr>
        <w:fldChar w:fldCharType="begin"/>
      </w:r>
      <w:r w:rsidR="00450B19" w:rsidRPr="00C12BAA">
        <w:rPr>
          <w:lang w:val="en"/>
        </w:rPr>
        <w:instrText xml:space="preserve"> ADDIN ZOTERO_ITEM CSL_CITATION {"citationID":"d3Qxmg9S","properties":{"formattedCitation":"(CARB, 2018a)","plainCitation":"(CARB, 2018a)","noteIndex":0},"citationItems":[{"id":63,"uris":["http://zotero.org/users/local/AEGCSEej/items/TVQ7P6XN"],"uri":["http://zotero.org/users/local/AEGCSEej/items/TVQ7P6XN"],"itemData":{"id":63,"type":"report","title":"Amendments to Cap-and-Trade Regulation Workshop","publisher":"https://www.arb.ca.gov/cc/capandtrade/meetings/20180302/ct_workshop_3-1-18.pdf","URL":"https://www.arb.ca.gov/cc/capandtrade/meetings/20180302/ct_workshop_3-1-18.pdf","author":[{"family":"CARB","given":""}],"issued":{"date-parts":[["2018"]]}}}],"schema":"https://github.com/citation-style-language/schema/raw/master/csl-citation.json"} </w:instrText>
      </w:r>
      <w:r w:rsidRPr="00C12BAA">
        <w:rPr>
          <w:lang w:val="en"/>
        </w:rPr>
        <w:fldChar w:fldCharType="separate"/>
      </w:r>
      <w:r w:rsidR="00450B19" w:rsidRPr="00C12BAA">
        <w:rPr>
          <w:noProof/>
          <w:lang w:val="en"/>
        </w:rPr>
        <w:t>(CARB, 2018a)</w:t>
      </w:r>
      <w:r w:rsidRPr="00C12BAA">
        <w:rPr>
          <w:lang w:val="en"/>
        </w:rPr>
        <w:fldChar w:fldCharType="end"/>
      </w:r>
      <w:r w:rsidRPr="00C12BAA">
        <w:rPr>
          <w:lang w:val="en"/>
        </w:rPr>
        <w:t>. In CARB’s forecast, variable allocations scale down in line with</w:t>
      </w:r>
      <w:r w:rsidRPr="00C12BAA">
        <w:t xml:space="preserve"> the state’s declining caps. We are not aware of a similar forecast from Québec regulators, so we adopted a projection that Québec’s allocations would similarly scale down in line with the province’s declining caps. </w:t>
      </w:r>
    </w:p>
    <w:p w14:paraId="4B3AC94D" w14:textId="77777777" w:rsidR="00EA6A10" w:rsidRPr="00C12BAA" w:rsidRDefault="00EA6A10" w:rsidP="00A42B13">
      <w:pPr>
        <w:pStyle w:val="Paragraph"/>
      </w:pPr>
      <w:r w:rsidRPr="00C12BAA">
        <w:t xml:space="preserve">WCI-RULES also makes projections for quantities of allocations to utilities that are consigned to auction. In California’s program, electrical distribution utilities that are Investor Owned Utilities (IOUs) must consign 100% of their allocation to auction, making those allowances available for sale to other parties. Electricity utilities that are Publicly Owned Utilities (POUs) do not have to consign any of their allocation to </w:t>
      </w:r>
      <w:proofErr w:type="gramStart"/>
      <w:r w:rsidRPr="00C12BAA">
        <w:t>auction, but</w:t>
      </w:r>
      <w:proofErr w:type="gramEnd"/>
      <w:r w:rsidRPr="00C12BAA">
        <w:t xml:space="preserve"> may opt to consign some or all of their allocation. Natural gas utilities, whether IOUs or POUs, are required to consign a fraction of their allocation to auction; that fraction is established by regulation and rises from 25% in 2015 to 100% by 2030. California’s natural gas distribution utilities may opt to consign more than the required percentage to auction; however, to date, they have not consigned any significant quantities. WCI-RULES makes a projection for the quantities that California electricity POUs, projecting that the optional consignment percentage will be equal to the historical average for that category; for natural gas utilities, the projection is that optional consignment will be zero.</w:t>
      </w:r>
    </w:p>
    <w:p w14:paraId="29496EF5" w14:textId="77777777" w:rsidR="00EA6A10" w:rsidRPr="00C12BAA" w:rsidRDefault="00EA6A10" w:rsidP="00712F27">
      <w:pPr>
        <w:pStyle w:val="Heading2"/>
        <w:rPr>
          <w:rFonts w:ascii="Calibri" w:hAnsi="Calibri" w:cs="Calibri"/>
        </w:rPr>
      </w:pPr>
      <w:bookmarkStart w:id="13" w:name="_Toc18670612"/>
      <w:r w:rsidRPr="00C12BAA">
        <w:rPr>
          <w:rFonts w:ascii="Calibri" w:hAnsi="Calibri" w:cs="Calibri"/>
        </w:rPr>
        <w:t>Model validation: Comparison to CIR</w:t>
      </w:r>
      <w:bookmarkEnd w:id="13"/>
    </w:p>
    <w:p w14:paraId="01327AA2" w14:textId="77777777" w:rsidR="00EA6A10" w:rsidRPr="00C12BAA" w:rsidRDefault="00EA6A10" w:rsidP="00A42B13">
      <w:pPr>
        <w:pStyle w:val="Paragraph"/>
        <w:rPr>
          <w:lang w:val="en"/>
        </w:rPr>
      </w:pPr>
      <w:r w:rsidRPr="00C12BAA">
        <w:rPr>
          <w:lang w:val="en"/>
        </w:rPr>
        <w:t xml:space="preserve">The CIR aggregates totals across the participating jurisdictions, distinguishing instruments in various types of accounts (e.g., government holding accounts, private accounts, and retirement accounts), and also by allowance vintage or other type (APCR or Early Action non-vintaged allowance). While this data is detailed, changes in each account in a given quarter can reflect a number </w:t>
      </w:r>
      <w:r w:rsidRPr="00C12BAA">
        <w:rPr>
          <w:lang w:val="en"/>
        </w:rPr>
        <w:lastRenderedPageBreak/>
        <w:t>of market processes, including allocation distributions, auction sales, and surrenders for compliance.</w:t>
      </w:r>
    </w:p>
    <w:p w14:paraId="3060784B" w14:textId="30E2BF1C" w:rsidR="00EA6A10" w:rsidRPr="00C12BAA" w:rsidRDefault="00EA6A10" w:rsidP="00A42B13">
      <w:pPr>
        <w:pStyle w:val="Paragraph"/>
      </w:pPr>
      <w:r w:rsidRPr="00C12BAA">
        <w:t xml:space="preserve">While WCI-RULES represents all major flows of compliance instruments in the program, other one-time movements of instruments can occur that are not fully documented in public data and cannot be predicted by program rules. Examples include penalties for the late surrender of compliance obligations; transfers of allowances in private accounts back to the auction pool upon closure of an entity’s program account; and voluntary retirements of allowances, in which market participants choose to retire allowances without a corresponding compliance obligation being </w:t>
      </w:r>
      <w:r w:rsidR="009A17AB" w:rsidRPr="00C12BAA">
        <w:t>cancelled</w:t>
      </w:r>
      <w:r w:rsidRPr="00C12BAA">
        <w:t>. Such movements could be responsible for observed differences between WCI-RULES and historical data.</w:t>
      </w:r>
    </w:p>
    <w:p w14:paraId="582DFA0C" w14:textId="38099F92" w:rsidR="00E02461" w:rsidRPr="00C12BAA" w:rsidRDefault="00EA6A10" w:rsidP="00A42B13">
      <w:pPr>
        <w:pStyle w:val="Paragraph"/>
      </w:pPr>
      <w:r w:rsidRPr="00C12BAA">
        <w:t xml:space="preserve">WCI-RULES combines its results in a grouping similar to that of the CIRs, and the model results closely replicate the historical CIRs. Detailed comparisons of WCI-RULES </w:t>
      </w:r>
      <w:proofErr w:type="gramStart"/>
      <w:r w:rsidRPr="00C12BAA">
        <w:t>results</w:t>
      </w:r>
      <w:proofErr w:type="gramEnd"/>
      <w:r w:rsidRPr="00C12BAA">
        <w:t xml:space="preserve"> with the CIR data are in Table </w:t>
      </w:r>
      <w:r w:rsidR="00921B0B">
        <w:t>S-2</w:t>
      </w:r>
      <w:r w:rsidRPr="00C12BAA">
        <w:t xml:space="preserve"> (for private accounts) and Table </w:t>
      </w:r>
      <w:r w:rsidR="00921B0B">
        <w:t>S-3</w:t>
      </w:r>
      <w:r w:rsidRPr="00C12BAA">
        <w:t xml:space="preserve"> (for government holding accounts).</w:t>
      </w:r>
      <w:r w:rsidR="00E02461" w:rsidRPr="00C12BAA">
        <w:t xml:space="preserve"> </w:t>
      </w:r>
    </w:p>
    <w:p w14:paraId="221620AF" w14:textId="6EE1EF20" w:rsidR="00E02461" w:rsidRPr="00C12BAA" w:rsidRDefault="00E02461" w:rsidP="00A42B13">
      <w:pPr>
        <w:pStyle w:val="Paragraph"/>
      </w:pPr>
      <w:r w:rsidRPr="00C12BAA">
        <w:t xml:space="preserve">For Table </w:t>
      </w:r>
      <w:r w:rsidR="00921B0B">
        <w:t>S-2</w:t>
      </w:r>
      <w:r w:rsidRPr="00C12BAA">
        <w:t xml:space="preserve">, values in Private Accounts are the sum of </w:t>
      </w:r>
      <w:r w:rsidR="000F77AF">
        <w:t xml:space="preserve">all holdings in Entity </w:t>
      </w:r>
      <w:r w:rsidRPr="00C12BAA">
        <w:t>Accounts (</w:t>
      </w:r>
      <w:r w:rsidR="009A17AB" w:rsidRPr="00C12BAA">
        <w:t>labelled</w:t>
      </w:r>
      <w:r w:rsidRPr="00C12BAA">
        <w:t xml:space="preserve"> in the CIR as “General</w:t>
      </w:r>
      <w:r w:rsidR="000F77AF">
        <w:t>,</w:t>
      </w:r>
      <w:r w:rsidRPr="00C12BAA">
        <w:t>”</w:t>
      </w:r>
      <w:r w:rsidR="000F77AF">
        <w:t xml:space="preserve"> </w:t>
      </w:r>
      <w:r w:rsidRPr="00C12BAA">
        <w:t>“Compliance</w:t>
      </w:r>
      <w:r w:rsidR="000F77AF">
        <w:t>,</w:t>
      </w:r>
      <w:r w:rsidRPr="00C12BAA">
        <w:t>”</w:t>
      </w:r>
      <w:r w:rsidR="000F77AF">
        <w:t xml:space="preserve"> and “Limited Use Holding Account (CA)”</w:t>
      </w:r>
      <w:r w:rsidRPr="00C12BAA">
        <w:t xml:space="preserve">). Differences are CIR values minus WCI-RULES values; percentage differences are the difference divided by the CIR values. </w:t>
      </w:r>
      <w:r w:rsidR="00290F57" w:rsidRPr="00C12BAA">
        <w:t xml:space="preserve">The mean </w:t>
      </w:r>
      <w:r w:rsidRPr="00C12BAA">
        <w:t>absolute difference is calculated for only allowances of vintages ≤ 2018, the latest vintage that has come completely into normal circulation.</w:t>
      </w:r>
    </w:p>
    <w:p w14:paraId="7FF39844" w14:textId="33B9CB6C" w:rsidR="00EA6A10" w:rsidRPr="00C12BAA" w:rsidRDefault="00E02461" w:rsidP="00A42B13">
      <w:pPr>
        <w:pStyle w:val="Paragraph"/>
      </w:pPr>
      <w:r w:rsidRPr="00C12BAA">
        <w:t xml:space="preserve">For Table </w:t>
      </w:r>
      <w:r w:rsidR="00921B0B">
        <w:t>S-3</w:t>
      </w:r>
      <w:r w:rsidRPr="00C12BAA">
        <w:t>, values in Government Holding Accounts are for jurisdictions’ Allocation Holding Accounts and Auction Holding Accounts (</w:t>
      </w:r>
      <w:r w:rsidR="009A17AB" w:rsidRPr="00C12BAA">
        <w:t>labelled</w:t>
      </w:r>
      <w:r w:rsidRPr="00C12BAA">
        <w:t xml:space="preserve"> in the CIR as “Auction + Issuance + Allocation”). APCR allowances are those allowances assigned to the Allowance Price Containment Reserves per regulation; they do not include California state-owned allowances that, when unsold for &gt; 24 months, transfer to the APCR.</w:t>
      </w:r>
      <w:r w:rsidR="001379F9" w:rsidRPr="00C12BAA">
        <w:t xml:space="preserve"> </w:t>
      </w:r>
      <w:r w:rsidRPr="00C12BAA">
        <w:t xml:space="preserve">In Q2 2019, there were 52.4 M California allowances in government holding accounts which were </w:t>
      </w:r>
      <w:r w:rsidR="00386631">
        <w:t xml:space="preserve">designated </w:t>
      </w:r>
      <w:r w:rsidRPr="00C12BAA">
        <w:t>for the APCR but had not yet been transferred to the APCR account</w:t>
      </w:r>
      <w:r w:rsidR="00386631">
        <w:t xml:space="preserve"> as of the Q2 2019 CIR</w:t>
      </w:r>
      <w:r w:rsidRPr="00C12BAA">
        <w:t>. Differences are CIR values minus WCI-RULES values; percentage differences are the difference</w:t>
      </w:r>
      <w:r w:rsidR="000F77AF">
        <w:t>s</w:t>
      </w:r>
      <w:r w:rsidRPr="00C12BAA">
        <w:t xml:space="preserve"> divided by the CIR values. </w:t>
      </w:r>
      <w:r w:rsidR="00290F57" w:rsidRPr="00C12BAA">
        <w:t xml:space="preserve">The mean </w:t>
      </w:r>
      <w:r w:rsidRPr="00C12BAA">
        <w:t>absolute difference is calculated for only allowances of vintages ≤ 2018, the latest vintage that has come completely into normal circulation.</w:t>
      </w:r>
    </w:p>
    <w:p w14:paraId="00E3BF64" w14:textId="42BF86C0" w:rsidR="00524638" w:rsidRPr="00C12BAA" w:rsidRDefault="00EA6A10" w:rsidP="00A42B13">
      <w:pPr>
        <w:pStyle w:val="Paragraph"/>
      </w:pPr>
      <w:r w:rsidRPr="00C12BAA">
        <w:t xml:space="preserve">Relative to historical data in the Q2 2019 CIR </w:t>
      </w:r>
      <w:r w:rsidR="000F77AF">
        <w:t>(</w:t>
      </w:r>
      <w:r w:rsidR="002A0CFE" w:rsidRPr="00C12BAA">
        <w:t>the latest CIR available</w:t>
      </w:r>
      <w:r w:rsidR="000B1135">
        <w:t xml:space="preserve"> as of this writing</w:t>
      </w:r>
      <w:r w:rsidR="000F77AF">
        <w:t>)</w:t>
      </w:r>
      <w:r w:rsidR="002A0CFE" w:rsidRPr="00C12BAA">
        <w:t xml:space="preserve">, </w:t>
      </w:r>
      <w:r w:rsidRPr="00C12BAA">
        <w:t xml:space="preserve">the model has an excess of </w:t>
      </w:r>
      <w:r w:rsidR="00BA7167" w:rsidRPr="00C12BAA">
        <w:rPr>
          <w:color w:val="000000"/>
        </w:rPr>
        <w:t>2.</w:t>
      </w:r>
      <w:r w:rsidR="00C16647" w:rsidRPr="00C12BAA">
        <w:rPr>
          <w:color w:val="000000"/>
        </w:rPr>
        <w:t>70</w:t>
      </w:r>
      <w:r w:rsidRPr="00C12BAA">
        <w:t xml:space="preserve"> M instruments in private accounts; a</w:t>
      </w:r>
      <w:r w:rsidR="00BA7167" w:rsidRPr="00C12BAA">
        <w:t xml:space="preserve"> deficit</w:t>
      </w:r>
      <w:r w:rsidRPr="00C12BAA">
        <w:t xml:space="preserve"> of </w:t>
      </w:r>
      <w:r w:rsidR="00BA7167" w:rsidRPr="00C12BAA">
        <w:rPr>
          <w:color w:val="000000"/>
        </w:rPr>
        <w:t>1.7</w:t>
      </w:r>
      <w:r w:rsidR="00C16647" w:rsidRPr="00C12BAA">
        <w:rPr>
          <w:color w:val="000000"/>
        </w:rPr>
        <w:t>7</w:t>
      </w:r>
      <w:r w:rsidRPr="00C12BAA">
        <w:t xml:space="preserve"> M instruments in government holding accounts; and a deficit of 0.3</w:t>
      </w:r>
      <w:r w:rsidR="00BA7167" w:rsidRPr="00C12BAA">
        <w:t>0</w:t>
      </w:r>
      <w:r w:rsidRPr="00C12BAA">
        <w:t xml:space="preserve"> M instruments in retirement accounts.</w:t>
      </w:r>
      <w:r w:rsidR="002A0CFE" w:rsidRPr="00C12BAA">
        <w:t xml:space="preserve"> For Q2 2019, for vintages that have fully come into normal circulation (that is, vintages ≤ 2018), the maximum absolute difference between the historical CIR and the model results for any particular set of allowances is 0.82 M, which was for vintage 2019 allowances held in private accounts; that is a percentage difference of 0.3% for this set of allowances, of which there were 238 M in private accounts according to the CIR.</w:t>
      </w:r>
    </w:p>
    <w:p w14:paraId="19154F7B" w14:textId="2E80226B" w:rsidR="00EA6A10" w:rsidRPr="00C12BAA" w:rsidRDefault="00524638" w:rsidP="00A42B13">
      <w:pPr>
        <w:pStyle w:val="Paragraph"/>
      </w:pPr>
      <w:r w:rsidRPr="00C12BAA">
        <w:t xml:space="preserve">Across all </w:t>
      </w:r>
      <w:r w:rsidR="00D43776" w:rsidRPr="00C12BAA">
        <w:t xml:space="preserve">quarterly </w:t>
      </w:r>
      <w:r w:rsidRPr="00C12BAA">
        <w:t xml:space="preserve">comparisons of the model results with the CIRs, </w:t>
      </w:r>
      <w:r w:rsidR="00EA6A10" w:rsidRPr="00C12BAA">
        <w:t xml:space="preserve">discrepancies for each </w:t>
      </w:r>
      <w:r w:rsidR="00EA6A10" w:rsidRPr="00C12BAA">
        <w:lastRenderedPageBreak/>
        <w:t xml:space="preserve">set of allowances (e.g., vintage 2018 allowances in private accounts) are generally within </w:t>
      </w:r>
      <w:r w:rsidRPr="00C12BAA">
        <w:t>1</w:t>
      </w:r>
      <w:r w:rsidR="00EA6A10" w:rsidRPr="00C12BAA">
        <w:t xml:space="preserve">% of the historical values; the exceptions are </w:t>
      </w:r>
      <w:r w:rsidR="007956A3" w:rsidRPr="00C12BAA">
        <w:t xml:space="preserve">for sets of allowances </w:t>
      </w:r>
      <w:r w:rsidR="00EA6A10" w:rsidRPr="00C12BAA">
        <w:t xml:space="preserve">in the CIRs </w:t>
      </w:r>
      <w:r w:rsidR="007956A3" w:rsidRPr="00C12BAA">
        <w:t xml:space="preserve">with relatively </w:t>
      </w:r>
      <w:r w:rsidR="00EA6A10" w:rsidRPr="00C12BAA">
        <w:t>small</w:t>
      </w:r>
      <w:r w:rsidR="007956A3" w:rsidRPr="00C12BAA">
        <w:t xml:space="preserve"> </w:t>
      </w:r>
      <w:r w:rsidR="00595034">
        <w:t xml:space="preserve">total </w:t>
      </w:r>
      <w:r w:rsidR="007956A3" w:rsidRPr="00C12BAA">
        <w:t>quantities</w:t>
      </w:r>
      <w:r w:rsidR="00EA6A10" w:rsidRPr="00C12BAA">
        <w:t xml:space="preserve"> (&lt; </w:t>
      </w:r>
      <w:r w:rsidR="00986782" w:rsidRPr="00C12BAA">
        <w:t>10</w:t>
      </w:r>
      <w:r w:rsidR="00EA6A10" w:rsidRPr="00C12BAA">
        <w:t xml:space="preserve"> M).</w:t>
      </w:r>
      <w:r w:rsidRPr="00C12BAA">
        <w:t xml:space="preserve"> </w:t>
      </w:r>
      <w:r w:rsidR="00EA6A10" w:rsidRPr="00C12BAA">
        <w:t xml:space="preserve">Across all vintages of allowances that have fully come into circulation (that is, vintages </w:t>
      </w:r>
      <w:r w:rsidR="00EA6A10" w:rsidRPr="00C12BAA">
        <w:rPr>
          <w:color w:val="000000"/>
        </w:rPr>
        <w:t>≤</w:t>
      </w:r>
      <w:r w:rsidR="00EA6A10" w:rsidRPr="00C12BAA">
        <w:rPr>
          <w:b/>
          <w:bCs/>
          <w:color w:val="000000"/>
        </w:rPr>
        <w:t xml:space="preserve"> </w:t>
      </w:r>
      <w:r w:rsidR="00EA6A10" w:rsidRPr="00C12BAA">
        <w:t>2018), allowances in private accounts and government holding accounts</w:t>
      </w:r>
      <w:r w:rsidR="00A42985" w:rsidRPr="00C12BAA">
        <w:t xml:space="preserve"> had</w:t>
      </w:r>
      <w:r w:rsidR="00EA6A10" w:rsidRPr="00C12BAA">
        <w:t xml:space="preserve"> absolute mean differences </w:t>
      </w:r>
      <w:r w:rsidR="00A42985" w:rsidRPr="00C12BAA">
        <w:t xml:space="preserve">of </w:t>
      </w:r>
      <w:r w:rsidR="001379F9" w:rsidRPr="00C12BAA">
        <w:t>0.31</w:t>
      </w:r>
      <w:r w:rsidR="00EA6A10" w:rsidRPr="00C12BAA">
        <w:t xml:space="preserve"> M and </w:t>
      </w:r>
      <w:r w:rsidR="001379F9" w:rsidRPr="00C12BAA">
        <w:t>0.1</w:t>
      </w:r>
      <w:r w:rsidR="00581895" w:rsidRPr="00C12BAA">
        <w:t>8</w:t>
      </w:r>
      <w:r w:rsidR="00EA6A10" w:rsidRPr="00C12BAA">
        <w:t xml:space="preserve"> M, respectively.</w:t>
      </w:r>
    </w:p>
    <w:p w14:paraId="6196E139" w14:textId="77777777" w:rsidR="00EA6A10" w:rsidRPr="00C12BAA" w:rsidRDefault="00EA6A10" w:rsidP="00712F27">
      <w:pPr>
        <w:pStyle w:val="Heading2"/>
        <w:rPr>
          <w:rFonts w:ascii="Calibri" w:hAnsi="Calibri" w:cs="Calibri"/>
        </w:rPr>
      </w:pPr>
      <w:bookmarkStart w:id="14" w:name="_Toc18670613"/>
      <w:r w:rsidRPr="00C12BAA">
        <w:rPr>
          <w:rFonts w:ascii="Calibri" w:hAnsi="Calibri" w:cs="Calibri"/>
        </w:rPr>
        <w:t>Model validation: Comparison of banking metrics</w:t>
      </w:r>
      <w:bookmarkEnd w:id="14"/>
    </w:p>
    <w:p w14:paraId="4B97D22C" w14:textId="5DD75C31" w:rsidR="00595034" w:rsidRDefault="00EA6A10" w:rsidP="00A42B13">
      <w:pPr>
        <w:pStyle w:val="Paragraph"/>
      </w:pPr>
      <w:r w:rsidRPr="00C12BAA">
        <w:t xml:space="preserve">WCI-RULES’s values for banking metrics (Private Bank, Government Holding Accounts, and Reserve Accounts) closely match values previously published based on the CIRs (Cullenward et al., 2019), as shown in Table </w:t>
      </w:r>
      <w:r w:rsidR="00921B0B">
        <w:t>S-4</w:t>
      </w:r>
      <w:r w:rsidRPr="00C12BAA">
        <w:t xml:space="preserve">. </w:t>
      </w:r>
      <w:r w:rsidR="00D9668A" w:rsidRPr="00C12BAA">
        <w:t xml:space="preserve">For both Cullenward et al., 2019, and WCI-RULES, compliance obligations are based on compliance reports issued by each jurisdiction (see </w:t>
      </w:r>
      <w:r w:rsidR="00595034">
        <w:t xml:space="preserve">Section </w:t>
      </w:r>
      <w:r w:rsidR="00595034">
        <w:fldChar w:fldCharType="begin"/>
      </w:r>
      <w:r w:rsidR="00595034">
        <w:instrText xml:space="preserve"> REF _Ref18662614 \w \h </w:instrText>
      </w:r>
      <w:r w:rsidR="00595034">
        <w:fldChar w:fldCharType="separate"/>
      </w:r>
      <w:r w:rsidR="001E76AC">
        <w:t>1.2</w:t>
      </w:r>
      <w:r w:rsidR="00595034">
        <w:fldChar w:fldCharType="end"/>
      </w:r>
      <w:r w:rsidR="00595034">
        <w:t xml:space="preserve"> above</w:t>
      </w:r>
      <w:r w:rsidR="00D9668A" w:rsidRPr="00C12BAA">
        <w:t>)</w:t>
      </w:r>
      <w:r w:rsidR="00595034">
        <w:t>.</w:t>
      </w:r>
      <w:r w:rsidR="00D9668A" w:rsidRPr="00C12BAA">
        <w:t xml:space="preserve"> </w:t>
      </w:r>
      <w:r w:rsidR="00595034">
        <w:t xml:space="preserve">Both sources adjust compliance obligations to account for </w:t>
      </w:r>
      <w:r w:rsidR="00D9668A" w:rsidRPr="00C12BAA">
        <w:t>permanently unfulfilled obligations</w:t>
      </w:r>
      <w:r w:rsidR="00595034">
        <w:t>—</w:t>
      </w:r>
      <w:r w:rsidR="00D9668A" w:rsidRPr="00C12BAA">
        <w:t xml:space="preserve"> primarily due to the bankruptcy of La Paloma Generating Company, LLC, and a known late surrender </w:t>
      </w:r>
      <w:r w:rsidR="00595034">
        <w:t xml:space="preserve">from </w:t>
      </w:r>
      <w:r w:rsidR="00D9668A" w:rsidRPr="00C12BAA">
        <w:t xml:space="preserve">Mexico’s </w:t>
      </w:r>
      <w:proofErr w:type="spellStart"/>
      <w:r w:rsidR="00D9668A" w:rsidRPr="00C12BAA">
        <w:t>Comisión</w:t>
      </w:r>
      <w:proofErr w:type="spellEnd"/>
      <w:r w:rsidR="00D9668A" w:rsidRPr="00C12BAA">
        <w:t xml:space="preserve"> Federal de </w:t>
      </w:r>
      <w:proofErr w:type="spellStart"/>
      <w:r w:rsidR="00D9668A" w:rsidRPr="00C12BAA">
        <w:t>Electricidad</w:t>
      </w:r>
      <w:proofErr w:type="spellEnd"/>
      <w:r w:rsidR="00D9668A" w:rsidRPr="00C12BAA">
        <w:t xml:space="preserve">. In WCI-RULES, the Annual Private Bank is calculated according to the method in Cullenward et al., 2019, but as applied to the model results rather than calculated directly from CIR data. For covered emissions (and hence compliance obligations) in 2018, Cullenward et al., 2019 used a projection that the rate of change from 2017 to 2018 would be the same as from 2016 to 2017 (-0.4%). WCI-RULES instead uses user-specified projections for covered emissions; </w:t>
      </w:r>
      <w:r w:rsidR="00595034">
        <w:t xml:space="preserve">this paper reports </w:t>
      </w:r>
      <w:r w:rsidR="00D9668A" w:rsidRPr="00C12BAA">
        <w:t xml:space="preserve">values for the PATHWAYS Scenario, in which covered emissions after 2017 decrease 2% per year. </w:t>
      </w:r>
    </w:p>
    <w:p w14:paraId="744B22BE" w14:textId="6C057A18" w:rsidR="00EA6A10" w:rsidRPr="00C12BAA" w:rsidRDefault="00EA6A10" w:rsidP="00595034">
      <w:pPr>
        <w:pStyle w:val="Paragraph"/>
      </w:pPr>
      <w:r w:rsidRPr="00C12BAA">
        <w:t xml:space="preserve">For the PATHWAYS Scenario, the Private Bank calculated in WCI-RULES for 2018 is </w:t>
      </w:r>
      <w:r w:rsidR="00595034">
        <w:t>7.1</w:t>
      </w:r>
      <w:r w:rsidRPr="00C12BAA">
        <w:t xml:space="preserve"> M higher than in the CIR-based method</w:t>
      </w:r>
      <w:r w:rsidR="000F77AF">
        <w:t>. T</w:t>
      </w:r>
      <w:r w:rsidRPr="00C12BAA">
        <w:t>his is primarily due to the emissions projection for 2018 being 6.1 M higher than the central estimate used in the CIR-based method. After adjusting for that difference in the 2018 emissions projection, the Private Bank</w:t>
      </w:r>
      <w:r w:rsidR="00BA7167" w:rsidRPr="00C12BAA">
        <w:t xml:space="preserve"> for 2018</w:t>
      </w:r>
      <w:r w:rsidRPr="00C12BAA">
        <w:t xml:space="preserve"> in WCI-RULES is</w:t>
      </w:r>
      <w:r w:rsidR="00595034">
        <w:t xml:space="preserve"> only</w:t>
      </w:r>
      <w:r w:rsidRPr="00C12BAA">
        <w:t xml:space="preserve"> </w:t>
      </w:r>
      <w:r w:rsidR="00BB49E6" w:rsidRPr="00C12BAA">
        <w:t>1.2</w:t>
      </w:r>
      <w:r w:rsidRPr="00C12BAA">
        <w:t xml:space="preserve"> M lower than the CIR-based method (a difference of </w:t>
      </w:r>
      <w:r w:rsidR="004F395B" w:rsidRPr="00C12BAA">
        <w:t>0.</w:t>
      </w:r>
      <w:r w:rsidR="00BB49E6" w:rsidRPr="00C12BAA">
        <w:t>5</w:t>
      </w:r>
      <w:r w:rsidRPr="00C12BAA">
        <w:t>%). The largest difference in the Private Bank in earlier years is for 2015, a difference of 1.</w:t>
      </w:r>
      <w:r w:rsidR="00BB49E6" w:rsidRPr="00C12BAA">
        <w:t>8</w:t>
      </w:r>
      <w:r w:rsidRPr="00C12BAA">
        <w:t xml:space="preserve"> M (</w:t>
      </w:r>
      <w:r w:rsidR="00595034">
        <w:t xml:space="preserve">or </w:t>
      </w:r>
      <w:r w:rsidRPr="00C12BAA">
        <w:t>1.</w:t>
      </w:r>
      <w:r w:rsidR="00BB49E6" w:rsidRPr="00C12BAA">
        <w:t>7</w:t>
      </w:r>
      <w:r w:rsidRPr="00C12BAA">
        <w:t xml:space="preserve">%). </w:t>
      </w:r>
      <w:r w:rsidR="000F77AF" w:rsidRPr="00C12BAA">
        <w:t>T</w:t>
      </w:r>
      <w:r w:rsidR="000F77AF">
        <w:t>hus, t</w:t>
      </w:r>
      <w:r w:rsidR="000F77AF" w:rsidRPr="00C12BAA">
        <w:t xml:space="preserve">he Annual Private Bank (after adjustment) matches projections of covered emissions in WCI-RULES </w:t>
      </w:r>
      <w:r w:rsidR="00F352AE">
        <w:t>with</w:t>
      </w:r>
      <w:r w:rsidR="000F77AF" w:rsidRPr="00C12BAA">
        <w:t xml:space="preserve"> the assumption used in Cullenward et al., 2019</w:t>
      </w:r>
      <w:r w:rsidR="000F77AF">
        <w:t xml:space="preserve"> (see Table S-4)</w:t>
      </w:r>
      <w:r w:rsidR="000F77AF" w:rsidRPr="00C12BAA">
        <w:t>.</w:t>
      </w:r>
      <w:r w:rsidR="000F77AF">
        <w:t xml:space="preserve"> </w:t>
      </w:r>
      <w:r w:rsidRPr="00C12BAA">
        <w:t>Government Holding Accounts show corresponding differences of similar size, but opposite sign.</w:t>
      </w:r>
      <w:r w:rsidR="000F77AF" w:rsidRPr="000F77AF">
        <w:t xml:space="preserve"> </w:t>
      </w:r>
    </w:p>
    <w:p w14:paraId="6E6FED48" w14:textId="5C8A2CC9" w:rsidR="00B03F7D" w:rsidRPr="00C12BAA" w:rsidRDefault="00EA6A10" w:rsidP="00B03F7D">
      <w:pPr>
        <w:pStyle w:val="Heading1"/>
        <w:rPr>
          <w:rFonts w:ascii="Calibri" w:hAnsi="Calibri" w:cs="Calibri"/>
        </w:rPr>
      </w:pPr>
      <w:bookmarkStart w:id="15" w:name="_Toc18670614"/>
      <w:r w:rsidRPr="00C12BAA">
        <w:rPr>
          <w:rFonts w:ascii="Calibri" w:hAnsi="Calibri" w:cs="Calibri"/>
        </w:rPr>
        <w:t xml:space="preserve">Supplement to </w:t>
      </w:r>
      <w:r w:rsidR="00B03F7D" w:rsidRPr="00C12BAA">
        <w:rPr>
          <w:rFonts w:ascii="Calibri" w:hAnsi="Calibri" w:cs="Calibri"/>
        </w:rPr>
        <w:t xml:space="preserve">Section </w:t>
      </w:r>
      <w:r w:rsidRPr="00C12BAA">
        <w:rPr>
          <w:rFonts w:ascii="Calibri" w:hAnsi="Calibri" w:cs="Calibri"/>
        </w:rPr>
        <w:t>3</w:t>
      </w:r>
      <w:r w:rsidR="00B03F7D" w:rsidRPr="00C12BAA">
        <w:rPr>
          <w:rFonts w:ascii="Calibri" w:hAnsi="Calibri" w:cs="Calibri"/>
        </w:rPr>
        <w:t xml:space="preserve"> (Results)</w:t>
      </w:r>
      <w:bookmarkEnd w:id="15"/>
    </w:p>
    <w:p w14:paraId="4470DE32" w14:textId="52A911F9" w:rsidR="00EA6A10" w:rsidRPr="00C12BAA" w:rsidRDefault="00EA6A10" w:rsidP="00B03F7D">
      <w:pPr>
        <w:pStyle w:val="Heading2"/>
        <w:rPr>
          <w:rFonts w:ascii="Calibri" w:hAnsi="Calibri" w:cs="Calibri"/>
        </w:rPr>
      </w:pPr>
      <w:bookmarkStart w:id="16" w:name="_Toc18670615"/>
      <w:r w:rsidRPr="00C12BAA">
        <w:rPr>
          <w:rFonts w:ascii="Calibri" w:hAnsi="Calibri" w:cs="Calibri"/>
        </w:rPr>
        <w:t xml:space="preserve">Calculation of </w:t>
      </w:r>
      <w:r w:rsidR="006909CD">
        <w:rPr>
          <w:rFonts w:ascii="Calibri" w:hAnsi="Calibri" w:cs="Calibri"/>
        </w:rPr>
        <w:t>unused</w:t>
      </w:r>
      <w:r w:rsidR="006909CD" w:rsidRPr="00C12BAA">
        <w:rPr>
          <w:rFonts w:ascii="Calibri" w:hAnsi="Calibri" w:cs="Calibri"/>
        </w:rPr>
        <w:t xml:space="preserve"> </w:t>
      </w:r>
      <w:r w:rsidRPr="00C12BAA">
        <w:rPr>
          <w:rFonts w:ascii="Calibri" w:hAnsi="Calibri" w:cs="Calibri"/>
        </w:rPr>
        <w:t>offset credits</w:t>
      </w:r>
      <w:bookmarkEnd w:id="16"/>
    </w:p>
    <w:p w14:paraId="39090652" w14:textId="1779B393" w:rsidR="00EA6A10" w:rsidRPr="00C12BAA" w:rsidRDefault="00EA6A10" w:rsidP="00A42B13">
      <w:pPr>
        <w:pStyle w:val="Paragraph"/>
      </w:pPr>
      <w:r w:rsidRPr="00C12BAA">
        <w:t xml:space="preserve">There were at least 21 M </w:t>
      </w:r>
      <w:r w:rsidR="006909CD">
        <w:t>unused</w:t>
      </w:r>
      <w:r w:rsidR="006909CD" w:rsidRPr="00C12BAA">
        <w:t xml:space="preserve"> </w:t>
      </w:r>
      <w:r w:rsidRPr="00C12BAA">
        <w:t xml:space="preserve">offset credits in the </w:t>
      </w:r>
      <w:r w:rsidR="00D9668A" w:rsidRPr="00C12BAA">
        <w:t>P</w:t>
      </w:r>
      <w:r w:rsidRPr="00C12BAA">
        <w:t xml:space="preserve">rivate </w:t>
      </w:r>
      <w:r w:rsidR="00D9668A" w:rsidRPr="00C12BAA">
        <w:t>B</w:t>
      </w:r>
      <w:r w:rsidRPr="00C12BAA">
        <w:t xml:space="preserve">ank at the end of Compliance Period 2, immediately </w:t>
      </w:r>
      <w:r w:rsidR="006909CD">
        <w:t xml:space="preserve">following </w:t>
      </w:r>
      <w:r w:rsidRPr="00C12BAA">
        <w:t xml:space="preserve">the Nov. 1, 2018, compliance event (Cullenward et al., 2019). </w:t>
      </w:r>
      <w:r w:rsidRPr="00C12BAA">
        <w:lastRenderedPageBreak/>
        <w:t xml:space="preserve">These banked offsets, plus future offset credit sales projected (using the model’s default assumption that issuance would be 75% of the maximum that could be surrendered given the emissions projection), would not lead to excess offsets. That is, this quantity of offsets is less than </w:t>
      </w:r>
      <w:r w:rsidR="00D9668A" w:rsidRPr="00C12BAA">
        <w:t xml:space="preserve">the maximum that </w:t>
      </w:r>
      <w:r w:rsidRPr="00C12BAA">
        <w:t xml:space="preserve">could be </w:t>
      </w:r>
      <w:r w:rsidR="00D9668A" w:rsidRPr="00C12BAA">
        <w:t xml:space="preserve">surrendered </w:t>
      </w:r>
      <w:r w:rsidRPr="00C12BAA">
        <w:t>for compliance for emissions incurred through 2030.</w:t>
      </w:r>
    </w:p>
    <w:p w14:paraId="1B696EBD" w14:textId="21CB8AFA" w:rsidR="00EA6A10" w:rsidRPr="00C12BAA" w:rsidRDefault="00EA6A10" w:rsidP="00B03F7D">
      <w:pPr>
        <w:pStyle w:val="Heading2"/>
        <w:rPr>
          <w:rFonts w:ascii="Calibri" w:hAnsi="Calibri" w:cs="Calibri"/>
        </w:rPr>
      </w:pPr>
      <w:bookmarkStart w:id="17" w:name="_Toc18670616"/>
      <w:r w:rsidRPr="00C12BAA">
        <w:rPr>
          <w:rFonts w:ascii="Calibri" w:hAnsi="Calibri" w:cs="Calibri"/>
        </w:rPr>
        <w:t>PATHWAYS Scenario</w:t>
      </w:r>
      <w:r w:rsidR="00B03F7D" w:rsidRPr="00C12BAA">
        <w:rPr>
          <w:rFonts w:ascii="Calibri" w:hAnsi="Calibri" w:cs="Calibri"/>
        </w:rPr>
        <w:t>: 2017 Scoping Plan e</w:t>
      </w:r>
      <w:r w:rsidRPr="00C12BAA">
        <w:rPr>
          <w:rFonts w:ascii="Calibri" w:hAnsi="Calibri" w:cs="Calibri"/>
        </w:rPr>
        <w:t>missions projections</w:t>
      </w:r>
      <w:bookmarkEnd w:id="17"/>
      <w:r w:rsidRPr="00C12BAA">
        <w:rPr>
          <w:rFonts w:ascii="Calibri" w:hAnsi="Calibri" w:cs="Calibri"/>
        </w:rPr>
        <w:t xml:space="preserve"> </w:t>
      </w:r>
    </w:p>
    <w:p w14:paraId="36CA0966" w14:textId="7F173CBB" w:rsidR="00EA6A10" w:rsidRPr="00C12BAA" w:rsidRDefault="00EA6A10" w:rsidP="00A42B13">
      <w:pPr>
        <w:pStyle w:val="Paragraph"/>
      </w:pPr>
      <w:r w:rsidRPr="00C12BAA">
        <w:t xml:space="preserve">CARB’s 2017 Scoping Plan </w:t>
      </w:r>
      <w:r w:rsidR="000F77AF">
        <w:t xml:space="preserve">was based on </w:t>
      </w:r>
      <w:r w:rsidRPr="00C12BAA">
        <w:t xml:space="preserve">the PATHWAYS model, which </w:t>
      </w:r>
      <w:r w:rsidR="000F77AF">
        <w:t>project</w:t>
      </w:r>
      <w:r w:rsidR="009D1D15">
        <w:t>s</w:t>
      </w:r>
      <w:r w:rsidRPr="00C12BAA">
        <w:t xml:space="preserve"> emissions by sector </w:t>
      </w:r>
      <w:r w:rsidRPr="00C12BAA">
        <w:fldChar w:fldCharType="begin"/>
      </w:r>
      <w:r w:rsidRPr="00C12BAA">
        <w:instrText xml:space="preserve"> ADDIN ZOTERO_ITEM CSL_CITATION {"citationID":"mcRAcNlv","properties":{"formattedCitation":"(CARB, 2017a, 2017b)","plainCitation":"(CARB, 2017a, 2017b)","noteIndex":0},"citationItems":[{"id":66,"uris":["http://zotero.org/users/local/AEGCSEej/items/2WW47I7U"],"uri":["http://zotero.org/users/local/AEGCSEej/items/2WW47I7U"],"itemData":{"id":66,"type":"report","title":"California’s 2017 Climate Change Scoping Plan","publisher":"https://www.arb.ca.gov/cc/scopingplan/scopingplan.htm","URL":"https://www.arb.ca.gov/cc/scopingplan/scopingplan.htm","author":[{"family":"CARB","given":""}],"issued":{"date-parts":[["2017"]]}}},{"id":90,"uris":["http://zotero.org/users/local/AEGCSEej/items/RDCV23CS"],"uri":["http://zotero.org/users/local/AEGCSEej/items/RDCV23CS"],"itemData":{"id":90,"type":"report","title":"PATHWAYS Output Tool: Reference, Scoping Plan and All Cap-and-Trade Cases including 60% RPS Sensitivities","publisher":"https://ww3.arb.ca.gov/cc/scopingplan/comparison_graphs_6cases101817.xlsm","URL":"https://ww3.arb.ca.gov/cc/scopingplan/comparison_graphs_6cases101817.xlsm","author":[{"family":"CARB","given":""}],"issued":{"date-parts":[["2017"]]}}}],"schema":"https://github.com/citation-style-language/schema/raw/master/csl-citation.json"} </w:instrText>
      </w:r>
      <w:r w:rsidRPr="00C12BAA">
        <w:fldChar w:fldCharType="separate"/>
      </w:r>
      <w:r w:rsidRPr="00C12BAA">
        <w:rPr>
          <w:noProof/>
        </w:rPr>
        <w:t>(CARB, 2017a, 2017b)</w:t>
      </w:r>
      <w:r w:rsidRPr="00C12BAA">
        <w:fldChar w:fldCharType="end"/>
      </w:r>
      <w:r w:rsidRPr="00C12BAA">
        <w:t xml:space="preserve">. Using PATHWAYS results, CARB has designated “covered sectors” (Transportation, Electric Power, Industrial, and Residential and Commercial) as distinct from other non-covered sectors (Agriculture, which includes forestry; High GWP, for high global warming potential gases; and Recycling and Wastes) </w:t>
      </w:r>
      <w:r w:rsidRPr="00C12BAA">
        <w:fldChar w:fldCharType="begin"/>
      </w:r>
      <w:r w:rsidR="00450B19" w:rsidRPr="00C12BAA">
        <w:instrText xml:space="preserve"> ADDIN ZOTERO_ITEM CSL_CITATION {"citationID":"IyVygxsT","properties":{"formattedCitation":"(CARB, 2018b)","plainCitation":"(CARB, 2018b)","noteIndex":0},"citationItems":[{"id":64,"uris":["http://zotero.org/users/local/AEGCSEej/items/WAUMNQ2B"],"uri":["http://zotero.org/users/local/AEGCSEej/items/WAUMNQ2B"],"itemData":{"id":64,"type":"report","title":"Supporting Material for Assessment of Post-2020 Caps","publisher":"https://www.arb.ca.gov/cc/capandtrade/meetings/20180426/carb_post2020caps.pdf","URL":"https://www.arb.ca.gov/cc/capandtrade/meetings/20180426/carb_post2020caps.pdf","author":[{"family":"CARB","given":""}],"issued":{"date-parts":[["2018"]]}}}],"schema":"https://github.com/citation-style-language/schema/raw/master/csl-citation.json"} </w:instrText>
      </w:r>
      <w:r w:rsidRPr="00C12BAA">
        <w:fldChar w:fldCharType="separate"/>
      </w:r>
      <w:r w:rsidR="00450B19" w:rsidRPr="00C12BAA">
        <w:rPr>
          <w:noProof/>
        </w:rPr>
        <w:t>(CARB, 2018b)</w:t>
      </w:r>
      <w:r w:rsidRPr="00C12BAA">
        <w:fldChar w:fldCharType="end"/>
      </w:r>
      <w:r w:rsidRPr="00C12BAA">
        <w:t>.</w:t>
      </w:r>
    </w:p>
    <w:p w14:paraId="7FD7657E" w14:textId="45ACC13F" w:rsidR="00EA6A10" w:rsidRPr="00C12BAA" w:rsidRDefault="00EA6A10" w:rsidP="00A42B13">
      <w:pPr>
        <w:pStyle w:val="Paragraph"/>
        <w:rPr>
          <w:bCs/>
        </w:rPr>
      </w:pPr>
      <w:r w:rsidRPr="00C12BAA">
        <w:t xml:space="preserve">However, this split between covered </w:t>
      </w:r>
      <w:r w:rsidRPr="00C12BAA">
        <w:rPr>
          <w:i/>
          <w:iCs/>
        </w:rPr>
        <w:t>sectors</w:t>
      </w:r>
      <w:r w:rsidRPr="00C12BAA">
        <w:t xml:space="preserve"> versus non-covered </w:t>
      </w:r>
      <w:r w:rsidRPr="00C12BAA">
        <w:rPr>
          <w:i/>
          <w:iCs/>
        </w:rPr>
        <w:t>sectors</w:t>
      </w:r>
      <w:r w:rsidRPr="00C12BAA">
        <w:t xml:space="preserve"> does not correspond exactly to the split between covered </w:t>
      </w:r>
      <w:r w:rsidRPr="00C12BAA">
        <w:rPr>
          <w:i/>
          <w:iCs/>
        </w:rPr>
        <w:t>emissions</w:t>
      </w:r>
      <w:r w:rsidRPr="00C12BAA">
        <w:t xml:space="preserve"> versus non-covered </w:t>
      </w:r>
      <w:r w:rsidRPr="00C12BAA">
        <w:rPr>
          <w:i/>
          <w:iCs/>
        </w:rPr>
        <w:t>emissions</w:t>
      </w:r>
      <w:r w:rsidRPr="00C12BAA">
        <w:t xml:space="preserve">. Some emissions in “covered sectors” are not covered (that is, </w:t>
      </w:r>
      <w:r w:rsidR="009D1D15">
        <w:t xml:space="preserve">are </w:t>
      </w:r>
      <w:r w:rsidRPr="00C12BAA">
        <w:t>not regulated by the cap-and-trade program); conversely</w:t>
      </w:r>
      <w:r w:rsidR="009D1D15">
        <w:t>,</w:t>
      </w:r>
      <w:r w:rsidRPr="00C12BAA">
        <w:t xml:space="preserve"> some emissions in “non-covered sectors” are covered (that is, are regulated by the cap-and-trade program) (see </w:t>
      </w:r>
      <w:r w:rsidR="009D1D15">
        <w:rPr>
          <w:bCs/>
        </w:rPr>
        <w:t xml:space="preserve">Section </w:t>
      </w:r>
      <w:r w:rsidR="009D1D15">
        <w:rPr>
          <w:bCs/>
        </w:rPr>
        <w:fldChar w:fldCharType="begin"/>
      </w:r>
      <w:r w:rsidR="009D1D15">
        <w:rPr>
          <w:bCs/>
        </w:rPr>
        <w:instrText xml:space="preserve"> REF _Ref18666584 \r \h </w:instrText>
      </w:r>
      <w:r w:rsidR="009D1D15">
        <w:rPr>
          <w:bCs/>
        </w:rPr>
      </w:r>
      <w:r w:rsidR="009D1D15">
        <w:rPr>
          <w:bCs/>
        </w:rPr>
        <w:fldChar w:fldCharType="separate"/>
      </w:r>
      <w:r w:rsidR="001E76AC">
        <w:rPr>
          <w:bCs/>
        </w:rPr>
        <w:t>1.1</w:t>
      </w:r>
      <w:r w:rsidR="009D1D15">
        <w:rPr>
          <w:bCs/>
        </w:rPr>
        <w:fldChar w:fldCharType="end"/>
      </w:r>
      <w:r w:rsidR="009D1D15">
        <w:rPr>
          <w:bCs/>
        </w:rPr>
        <w:t xml:space="preserve"> above</w:t>
      </w:r>
      <w:r w:rsidRPr="00C12BAA">
        <w:rPr>
          <w:bCs/>
        </w:rPr>
        <w:t>)</w:t>
      </w:r>
      <w:r w:rsidR="009D1D15">
        <w:rPr>
          <w:bCs/>
        </w:rPr>
        <w:t>.</w:t>
      </w:r>
      <w:r w:rsidRPr="00C12BAA">
        <w:rPr>
          <w:bCs/>
        </w:rPr>
        <w:t xml:space="preserve"> </w:t>
      </w:r>
    </w:p>
    <w:p w14:paraId="71B6F452" w14:textId="26433C91" w:rsidR="00EA6A10" w:rsidRPr="00C12BAA" w:rsidRDefault="00EA6A10" w:rsidP="00A42B13">
      <w:pPr>
        <w:pStyle w:val="Paragraph"/>
      </w:pPr>
      <w:r w:rsidRPr="00C12BAA">
        <w:t xml:space="preserve">In </w:t>
      </w:r>
      <w:r w:rsidR="009D1D15">
        <w:t xml:space="preserve">both California’s official data and as used in the </w:t>
      </w:r>
      <w:r w:rsidRPr="00C12BAA">
        <w:t>PATHWAYS</w:t>
      </w:r>
      <w:r w:rsidR="009D1D15">
        <w:t xml:space="preserve"> modelling for the 2017 Scoping Plan</w:t>
      </w:r>
      <w:r w:rsidRPr="00C12BAA">
        <w:t xml:space="preserve">, “covered sector” emissions are about 10% higher than historical covered emissions </w:t>
      </w:r>
      <w:r w:rsidRPr="00C12BAA">
        <w:fldChar w:fldCharType="begin"/>
      </w:r>
      <w:r w:rsidRPr="00C12BAA">
        <w:instrText xml:space="preserve"> ADDIN ZOTERO_ITEM CSL_CITATION {"citationID":"M0g9Ybvk","properties":{"formattedCitation":"(Inman et al., 2018)","plainCitation":"(Inman et al., 2018)","noteIndex":0},"citationItems":[{"id":25,"uris":["http://zotero.org/users/local/AEGCSEej/items/IJ69IDU5"],"uri":["http://zotero.org/users/local/AEGCSEej/items/IJ69IDU5"],"itemData":{"id":25,"type":"report","title":"Ready, fire, aim: ARB’s overallocation report misses its target","publisher":"Near Zero. http://wp.nearzero.org/wp-content/uploads/2018/05/Near-Zero-Post-2020-Caps-Report.pdf","URL":"http://wp.nearzero.org/wp-content/uploads/2018/05/Near-Zero-Post-2020-Caps-Report.pdf","author":[{"family":"Inman","given":"Mason"},{"family":"Cullenward","given":"Danny"},{"family":"Mastrandrea","given":"Michael"}],"issued":{"date-parts":[["2018"]]}}}],"schema":"https://github.com/citation-style-language/schema/raw/master/csl-citation.json"} </w:instrText>
      </w:r>
      <w:r w:rsidRPr="00C12BAA">
        <w:fldChar w:fldCharType="separate"/>
      </w:r>
      <w:r w:rsidRPr="00C12BAA">
        <w:rPr>
          <w:noProof/>
        </w:rPr>
        <w:t>(Inman et al., 2018)</w:t>
      </w:r>
      <w:r w:rsidRPr="00C12BAA">
        <w:fldChar w:fldCharType="end"/>
      </w:r>
      <w:r w:rsidRPr="00C12BAA">
        <w:t xml:space="preserve">. Nonetheless, we considered the rate of change in “covered sector” emissions to be a reasonable proxy for CARB’s expectation for the rate of change of covered emissions (that is, the emissions actually regulated by the cap-and-trade program), due to existing and expected direct policies, but without any effects from the cap-and-trade program. In the PATHWAYS </w:t>
      </w:r>
      <w:r w:rsidR="009A17AB" w:rsidRPr="00C12BAA">
        <w:t>modelling</w:t>
      </w:r>
      <w:r w:rsidRPr="00C12BAA">
        <w:t>, for the Updated Scoping Plan case over the period 2015-2030, “covered sector” emissions decreased 2.0% on average; similarly, total economy-wide emissions decreased 2.1% on average.</w:t>
      </w:r>
      <w:r w:rsidR="009D1D15">
        <w:t xml:space="preserve"> </w:t>
      </w:r>
      <w:r w:rsidRPr="001C21D9">
        <w:t xml:space="preserve">Therefore, the PATHWAYS Scenario </w:t>
      </w:r>
      <w:r w:rsidR="009D1D15" w:rsidRPr="001C21D9">
        <w:t xml:space="preserve">assumes that </w:t>
      </w:r>
      <w:r w:rsidRPr="001C21D9">
        <w:t>covered emissions decrease 2% per year.</w:t>
      </w:r>
    </w:p>
    <w:p w14:paraId="12C7E454" w14:textId="0A7C5739" w:rsidR="00EA6A10" w:rsidRPr="00C12BAA" w:rsidRDefault="00EA6A10" w:rsidP="00B03F7D">
      <w:pPr>
        <w:pStyle w:val="Heading1"/>
        <w:rPr>
          <w:rFonts w:ascii="Calibri" w:hAnsi="Calibri" w:cs="Calibri"/>
        </w:rPr>
      </w:pPr>
      <w:bookmarkStart w:id="18" w:name="_Toc18670617"/>
      <w:r w:rsidRPr="00C12BAA">
        <w:rPr>
          <w:rFonts w:ascii="Calibri" w:hAnsi="Calibri" w:cs="Calibri"/>
        </w:rPr>
        <w:t xml:space="preserve">Supplement to </w:t>
      </w:r>
      <w:r w:rsidR="00B03F7D" w:rsidRPr="00C12BAA">
        <w:rPr>
          <w:rFonts w:ascii="Calibri" w:hAnsi="Calibri" w:cs="Calibri"/>
        </w:rPr>
        <w:t>Section 4 (Discussion)</w:t>
      </w:r>
      <w:bookmarkEnd w:id="18"/>
      <w:r w:rsidRPr="00C12BAA">
        <w:rPr>
          <w:rFonts w:ascii="Calibri" w:hAnsi="Calibri" w:cs="Calibri"/>
        </w:rPr>
        <w:t xml:space="preserve"> </w:t>
      </w:r>
    </w:p>
    <w:p w14:paraId="198F2BC8" w14:textId="77777777" w:rsidR="00EA6A10" w:rsidRPr="00C12BAA" w:rsidRDefault="00EA6A10" w:rsidP="00712F27">
      <w:pPr>
        <w:pStyle w:val="Heading2"/>
        <w:rPr>
          <w:rFonts w:ascii="Calibri" w:hAnsi="Calibri" w:cs="Calibri"/>
        </w:rPr>
      </w:pPr>
      <w:bookmarkStart w:id="19" w:name="_Toc18670618"/>
      <w:r w:rsidRPr="00C12BAA">
        <w:rPr>
          <w:rFonts w:ascii="Calibri" w:hAnsi="Calibri" w:cs="Calibri"/>
        </w:rPr>
        <w:t>Reductions in covered emissions vs. non-covered emissions</w:t>
      </w:r>
      <w:bookmarkEnd w:id="19"/>
    </w:p>
    <w:p w14:paraId="248F5327" w14:textId="0AF46C04" w:rsidR="00EA6A10" w:rsidRPr="00C12BAA" w:rsidRDefault="009D1D15" w:rsidP="00A42B13">
      <w:pPr>
        <w:pStyle w:val="Paragraph"/>
      </w:pPr>
      <w:r>
        <w:t>Achieving</w:t>
      </w:r>
      <w:r w:rsidRPr="00C12BAA">
        <w:t xml:space="preserve"> </w:t>
      </w:r>
      <w:r w:rsidR="00EA6A10" w:rsidRPr="00C12BAA">
        <w:t>California</w:t>
      </w:r>
      <w:r>
        <w:t>’s</w:t>
      </w:r>
      <w:r w:rsidR="00EA6A10" w:rsidRPr="00C12BAA">
        <w:t xml:space="preserve"> and Québec</w:t>
      </w:r>
      <w:r>
        <w:t>’s</w:t>
      </w:r>
      <w:r w:rsidR="00EA6A10" w:rsidRPr="00C12BAA">
        <w:t xml:space="preserve"> respective economy-wide emission</w:t>
      </w:r>
      <w:r>
        <w:t xml:space="preserve"> limits will</w:t>
      </w:r>
      <w:r w:rsidR="00EA6A10" w:rsidRPr="00C12BAA">
        <w:t xml:space="preserve"> require </w:t>
      </w:r>
      <w:r>
        <w:t xml:space="preserve">reductions in </w:t>
      </w:r>
      <w:r w:rsidR="00EA6A10" w:rsidRPr="00C12BAA">
        <w:t>both covered and non-covered emissions. In scenarios in which covered emissions alone are above the statutory limit for economy-wide emissions, the only way of keeping economy-wide emissions below the statutory limit is for non-covered emissions to be</w:t>
      </w:r>
      <w:r>
        <w:t>come</w:t>
      </w:r>
      <w:r w:rsidR="00EA6A10" w:rsidRPr="00C12BAA">
        <w:t xml:space="preserve"> net negative </w:t>
      </w:r>
      <w:r>
        <w:t>(</w:t>
      </w:r>
      <w:r w:rsidR="00EA6A10" w:rsidRPr="00C12BAA">
        <w:t>e.g., through carbon sequestration in forestry and/or agriculture sectors</w:t>
      </w:r>
      <w:r>
        <w:t>)</w:t>
      </w:r>
      <w:r w:rsidR="00EA6A10" w:rsidRPr="00C12BAA">
        <w:t xml:space="preserve"> and for these negative emissions to be included in the state’s inventory</w:t>
      </w:r>
      <w:r>
        <w:t xml:space="preserve"> (</w:t>
      </w:r>
      <w:r w:rsidR="00EA6A10" w:rsidRPr="00C12BAA">
        <w:t>which they currently are not</w:t>
      </w:r>
      <w:r>
        <w:t>)</w:t>
      </w:r>
      <w:r w:rsidR="00EA6A10" w:rsidRPr="00C12BAA">
        <w:t>.</w:t>
      </w:r>
    </w:p>
    <w:p w14:paraId="2975BB30" w14:textId="5DE09DD5" w:rsidR="00EA6A10" w:rsidRPr="00C12BAA" w:rsidRDefault="00EA6A10" w:rsidP="00A42B13">
      <w:pPr>
        <w:pStyle w:val="Paragraph"/>
      </w:pPr>
      <w:r w:rsidRPr="00C12BAA">
        <w:lastRenderedPageBreak/>
        <w:t>Table S</w:t>
      </w:r>
      <w:r w:rsidR="009D1D15">
        <w:t>-</w:t>
      </w:r>
      <w:r w:rsidRPr="00C12BAA">
        <w:t>5 shows the reductions in non-covered emissions required to keep economy-wide emissions in 2030 below the statutory limits</w:t>
      </w:r>
      <w:r w:rsidR="009D1D15">
        <w:t xml:space="preserve"> across the range of scenarios addressed in our paper</w:t>
      </w:r>
      <w:r w:rsidRPr="00C12BAA">
        <w:t>. These data are a summary of the data underlying Figure 4</w:t>
      </w:r>
      <w:r w:rsidR="009D1D15">
        <w:t xml:space="preserve"> in the main text</w:t>
      </w:r>
      <w:r w:rsidRPr="00C12BAA">
        <w:t>.</w:t>
      </w:r>
    </w:p>
    <w:p w14:paraId="249AE6DF" w14:textId="77777777" w:rsidR="00EA6A10" w:rsidRPr="00C12BAA" w:rsidRDefault="00EA6A10" w:rsidP="00A42B13">
      <w:pPr>
        <w:pStyle w:val="Paragraph"/>
      </w:pPr>
      <w:r w:rsidRPr="00C12BAA">
        <w:t xml:space="preserve">From 2015 onward, California and Québec’s programs both adopted “broad-scope” covered emissions for assigning compliance obligations, which included transportation fuel emissions in addition to those emissions covered under the program previously. However, regulators in both jurisdictions reported broad-scope covered emissions for years prior to when broad-scope emissions were used for assigning compliance obligations; for California, broad-scope covered emissions reporting began for California in 2011, and for Québec in 2012. </w:t>
      </w:r>
    </w:p>
    <w:p w14:paraId="6597C8F5" w14:textId="7E9D2A7D" w:rsidR="00EA6A10" w:rsidRPr="00C12BAA" w:rsidRDefault="00EA6A10" w:rsidP="00A42B13">
      <w:pPr>
        <w:pStyle w:val="Paragraph"/>
      </w:pPr>
      <w:r w:rsidRPr="00C12BAA">
        <w:t xml:space="preserve">We calculated non-covered emissions as total economy-wide emissions minus broad-scope covered emissions. These data indicate the rate of change over time in this category of emissions, for comparison with the changes required in each scenario for total economy-wide emissions to remain below statutory limits in 2030. </w:t>
      </w:r>
      <w:r w:rsidR="00EF6EB8" w:rsidRPr="00C12BAA">
        <w:t>The d</w:t>
      </w:r>
      <w:r w:rsidRPr="00C12BAA">
        <w:t xml:space="preserve">ata and calculations are in the WCI-RULES repository </w:t>
      </w:r>
      <w:r w:rsidRPr="00C12BAA">
        <w:fldChar w:fldCharType="begin"/>
      </w:r>
      <w:r w:rsidRPr="00C12BAA">
        <w:instrText xml:space="preserve"> ADDIN ZOTERO_ITEM CSL_CITATION {"citationID":"lFxUIl65","properties":{"formattedCitation":"(Inman, 2019)","plainCitation":"(Inman, 2019)","noteIndex":0},"citationItems":[{"id":97,"uris":["http://zotero.org/users/local/AEGCSEej/items/XW75XZHZ"],"uri":["http://zotero.org/users/local/AEGCSEej/items/XW75XZHZ"],"itemData":{"id":97,"type":"article-journal","title":"WCI-RULES repository for model code and data inputs","URL":"https://osf.io/s7hq3/","DOI":"10.17605/OSF.IO/S7HQ3","author":[{"family":"Inman","given":"Mason"}],"issued":{"date-parts":[["2019"]]}}}],"schema":"https://github.com/citation-style-language/schema/raw/master/csl-citation.json"} </w:instrText>
      </w:r>
      <w:r w:rsidRPr="00C12BAA">
        <w:fldChar w:fldCharType="separate"/>
      </w:r>
      <w:r w:rsidRPr="00C12BAA">
        <w:rPr>
          <w:noProof/>
        </w:rPr>
        <w:t>(Inman, 2019)</w:t>
      </w:r>
      <w:r w:rsidRPr="00C12BAA">
        <w:fldChar w:fldCharType="end"/>
      </w:r>
      <w:r w:rsidRPr="00C12BAA">
        <w:t>, in the WCI-RULES data input file, &lt;</w:t>
      </w:r>
      <w:r w:rsidR="000B1A65" w:rsidRPr="00C12BAA">
        <w:t>WCI-RULES_</w:t>
      </w:r>
      <w:r w:rsidRPr="00C12BAA">
        <w:t>data_input_file.xlsx&gt;</w:t>
      </w:r>
      <w:r w:rsidR="00344F0C" w:rsidRPr="00C12BAA">
        <w:t>, in the sheet “non-covered emissions</w:t>
      </w:r>
      <w:r w:rsidRPr="00C12BAA">
        <w:t>.</w:t>
      </w:r>
      <w:r w:rsidR="00344F0C" w:rsidRPr="00C12BAA">
        <w:t>”</w:t>
      </w:r>
    </w:p>
    <w:p w14:paraId="670B7278" w14:textId="53AAD528" w:rsidR="00EA6A10" w:rsidRPr="00C12BAA" w:rsidRDefault="00EA6A10" w:rsidP="00B03F7D">
      <w:pPr>
        <w:pStyle w:val="Heading2"/>
        <w:rPr>
          <w:rFonts w:ascii="Calibri" w:hAnsi="Calibri" w:cs="Calibri"/>
        </w:rPr>
      </w:pPr>
      <w:bookmarkStart w:id="20" w:name="_Toc18670619"/>
      <w:r w:rsidRPr="00C12BAA">
        <w:rPr>
          <w:rFonts w:ascii="Calibri" w:hAnsi="Calibri" w:cs="Calibri"/>
        </w:rPr>
        <w:t>Allowance prices</w:t>
      </w:r>
      <w:r w:rsidR="00B03F7D" w:rsidRPr="00C12BAA">
        <w:rPr>
          <w:rFonts w:ascii="Calibri" w:hAnsi="Calibri" w:cs="Calibri"/>
        </w:rPr>
        <w:t xml:space="preserve"> and </w:t>
      </w:r>
      <w:r w:rsidRPr="00C12BAA">
        <w:rPr>
          <w:rFonts w:ascii="Calibri" w:hAnsi="Calibri" w:cs="Calibri"/>
        </w:rPr>
        <w:t>reserve sales</w:t>
      </w:r>
      <w:r w:rsidR="00B03F7D" w:rsidRPr="00C12BAA">
        <w:rPr>
          <w:rFonts w:ascii="Calibri" w:hAnsi="Calibri" w:cs="Calibri"/>
        </w:rPr>
        <w:t xml:space="preserve"> projections</w:t>
      </w:r>
      <w:bookmarkEnd w:id="20"/>
    </w:p>
    <w:p w14:paraId="3D334F18" w14:textId="77777777" w:rsidR="00EA6A10" w:rsidRPr="00C12BAA" w:rsidRDefault="00EA6A10" w:rsidP="00A42B13">
      <w:pPr>
        <w:pStyle w:val="Paragraph"/>
      </w:pPr>
      <w:r w:rsidRPr="00C12BAA">
        <w:t xml:space="preserve">WCI-RULES’s projection for reserve sales is only approximate; actual reserve sales could start earlier or later, depending on market conditions and the timing of compliance events. </w:t>
      </w:r>
    </w:p>
    <w:p w14:paraId="746E1BF7" w14:textId="77777777" w:rsidR="00EA6A10" w:rsidRPr="00C12BAA" w:rsidRDefault="00EA6A10" w:rsidP="00A42B13">
      <w:pPr>
        <w:pStyle w:val="Paragraph"/>
      </w:pPr>
      <w:r w:rsidRPr="00C12BAA">
        <w:t xml:space="preserve">California’s post-2020 reserve account includes two reserve tiers with prices that reach by 2030 ~$62 and ~$80, respectively, which is below California’s price ceiling of ~$98 (all in 2019 USD). In contrast, Québec’s post-2020 reserves will be sold at a single price level, which by 2030 will be roughly equal to California’s second tier (~$80 in 2019 USD). </w:t>
      </w:r>
    </w:p>
    <w:p w14:paraId="3F33C12D" w14:textId="77777777" w:rsidR="00EA6A10" w:rsidRPr="00C12BAA" w:rsidRDefault="00EA6A10" w:rsidP="00A42B13">
      <w:pPr>
        <w:pStyle w:val="Paragraph"/>
      </w:pPr>
      <w:r w:rsidRPr="00C12BAA">
        <w:t>Therefore, in scenarios that result in a shortfall in non-reserve instrument supplies by 2030, it is likely that market prices would rise to at least the level of California’s first reserve tier some years before 2030.</w:t>
      </w:r>
    </w:p>
    <w:p w14:paraId="3F86AB4C" w14:textId="77777777" w:rsidR="00EA6A10" w:rsidRPr="00C12BAA" w:rsidRDefault="00EA6A10" w:rsidP="00EA6A10">
      <w:pPr>
        <w:spacing w:line="240" w:lineRule="auto"/>
        <w:rPr>
          <w:rFonts w:ascii="Calibri" w:hAnsi="Calibri" w:cs="Calibri"/>
          <w:b/>
          <w:bCs/>
          <w:lang w:val="en"/>
        </w:rPr>
      </w:pPr>
      <w:r w:rsidRPr="00C12BAA">
        <w:rPr>
          <w:rFonts w:ascii="Calibri" w:hAnsi="Calibri" w:cs="Calibri"/>
          <w:b/>
          <w:bCs/>
          <w:lang w:val="en"/>
        </w:rPr>
        <w:br w:type="page"/>
      </w:r>
    </w:p>
    <w:p w14:paraId="2C66552F" w14:textId="28F99A81" w:rsidR="00EA6A10" w:rsidRPr="00C12BAA" w:rsidRDefault="00EA6A10" w:rsidP="00EA6A10">
      <w:pPr>
        <w:pStyle w:val="Tabletitle"/>
        <w:rPr>
          <w:rFonts w:ascii="Calibri" w:hAnsi="Calibri" w:cs="Calibri"/>
        </w:rPr>
      </w:pPr>
      <w:r w:rsidRPr="00B472F8">
        <w:rPr>
          <w:rFonts w:ascii="Calibri" w:hAnsi="Calibri" w:cs="Calibri"/>
          <w:b/>
          <w:lang w:val="en"/>
        </w:rPr>
        <w:lastRenderedPageBreak/>
        <w:t>Table S</w:t>
      </w:r>
      <w:r w:rsidR="00B472F8">
        <w:rPr>
          <w:rFonts w:ascii="Calibri" w:hAnsi="Calibri" w:cs="Calibri"/>
          <w:b/>
          <w:lang w:val="en"/>
        </w:rPr>
        <w:t>-</w:t>
      </w:r>
      <w:r w:rsidRPr="00B472F8">
        <w:rPr>
          <w:rFonts w:ascii="Calibri" w:hAnsi="Calibri" w:cs="Calibri"/>
          <w:b/>
          <w:lang w:val="en"/>
        </w:rPr>
        <w:t>1:</w:t>
      </w:r>
      <w:r w:rsidRPr="00C12BAA">
        <w:rPr>
          <w:rFonts w:ascii="Calibri" w:hAnsi="Calibri" w:cs="Calibri"/>
          <w:lang w:val="en"/>
        </w:rPr>
        <w:t xml:space="preserve"> WCI-RULES data inputs</w:t>
      </w:r>
    </w:p>
    <w:tbl>
      <w:tblPr>
        <w:tblStyle w:val="TableGrid"/>
        <w:tblW w:w="9715" w:type="dxa"/>
        <w:tblLook w:val="04A0" w:firstRow="1" w:lastRow="0" w:firstColumn="1" w:lastColumn="0" w:noHBand="0" w:noVBand="1"/>
      </w:tblPr>
      <w:tblGrid>
        <w:gridCol w:w="3415"/>
        <w:gridCol w:w="1259"/>
        <w:gridCol w:w="5041"/>
      </w:tblGrid>
      <w:tr w:rsidR="00EA6A10" w:rsidRPr="00C12BAA" w14:paraId="1C0672CB" w14:textId="77777777" w:rsidTr="00A86047">
        <w:tc>
          <w:tcPr>
            <w:tcW w:w="3415" w:type="dxa"/>
          </w:tcPr>
          <w:p w14:paraId="6CDEA5FE" w14:textId="77777777" w:rsidR="00EA6A10" w:rsidRPr="00C12BAA" w:rsidRDefault="00EA6A10" w:rsidP="00B472F8">
            <w:pPr>
              <w:spacing w:before="120" w:after="120" w:line="240" w:lineRule="auto"/>
              <w:rPr>
                <w:rFonts w:ascii="Calibri" w:hAnsi="Calibri" w:cs="Calibri"/>
                <w:b/>
                <w:bCs/>
                <w:lang w:val="en"/>
              </w:rPr>
            </w:pPr>
            <w:r w:rsidRPr="00C12BAA">
              <w:rPr>
                <w:rFonts w:ascii="Calibri" w:hAnsi="Calibri" w:cs="Calibri"/>
                <w:b/>
                <w:bCs/>
                <w:lang w:val="en"/>
              </w:rPr>
              <w:t>Report type</w:t>
            </w:r>
          </w:p>
        </w:tc>
        <w:tc>
          <w:tcPr>
            <w:tcW w:w="1259" w:type="dxa"/>
          </w:tcPr>
          <w:p w14:paraId="3492EAC6" w14:textId="77777777" w:rsidR="00EA6A10" w:rsidRPr="00C12BAA" w:rsidRDefault="00EA6A10" w:rsidP="00B472F8">
            <w:pPr>
              <w:spacing w:before="120" w:after="120" w:line="240" w:lineRule="auto"/>
              <w:rPr>
                <w:rFonts w:ascii="Calibri" w:hAnsi="Calibri" w:cs="Calibri"/>
                <w:b/>
                <w:bCs/>
                <w:lang w:val="en"/>
              </w:rPr>
            </w:pPr>
            <w:r w:rsidRPr="00C12BAA">
              <w:rPr>
                <w:rFonts w:ascii="Calibri" w:hAnsi="Calibri" w:cs="Calibri"/>
                <w:b/>
                <w:bCs/>
                <w:lang w:val="en"/>
              </w:rPr>
              <w:t>Frequency</w:t>
            </w:r>
          </w:p>
        </w:tc>
        <w:tc>
          <w:tcPr>
            <w:tcW w:w="5041" w:type="dxa"/>
          </w:tcPr>
          <w:p w14:paraId="03457E2F" w14:textId="77777777" w:rsidR="00EA6A10" w:rsidRPr="00C12BAA" w:rsidRDefault="00EA6A10" w:rsidP="00B472F8">
            <w:pPr>
              <w:spacing w:before="120" w:after="120" w:line="240" w:lineRule="auto"/>
              <w:rPr>
                <w:rFonts w:ascii="Calibri" w:hAnsi="Calibri" w:cs="Calibri"/>
                <w:b/>
                <w:bCs/>
                <w:lang w:val="en"/>
              </w:rPr>
            </w:pPr>
            <w:r w:rsidRPr="00C12BAA">
              <w:rPr>
                <w:rFonts w:ascii="Calibri" w:hAnsi="Calibri" w:cs="Calibri"/>
                <w:b/>
                <w:bCs/>
                <w:lang w:val="en"/>
              </w:rPr>
              <w:t>Data used in WCI-RULES</w:t>
            </w:r>
          </w:p>
        </w:tc>
      </w:tr>
      <w:tr w:rsidR="00EA6A10" w:rsidRPr="00C12BAA" w14:paraId="4CA4DACB" w14:textId="77777777" w:rsidTr="00A86047">
        <w:tc>
          <w:tcPr>
            <w:tcW w:w="3415" w:type="dxa"/>
          </w:tcPr>
          <w:p w14:paraId="3E6EA58C" w14:textId="77777777" w:rsidR="00EA6A10" w:rsidRPr="00C12BAA" w:rsidRDefault="00EA6A10" w:rsidP="00B472F8">
            <w:pPr>
              <w:spacing w:before="120" w:after="120" w:line="240" w:lineRule="auto"/>
              <w:rPr>
                <w:rFonts w:ascii="Calibri" w:hAnsi="Calibri" w:cs="Calibri"/>
                <w:lang w:val="en"/>
              </w:rPr>
            </w:pPr>
            <w:r w:rsidRPr="00C12BAA">
              <w:rPr>
                <w:rFonts w:ascii="Calibri" w:hAnsi="Calibri" w:cs="Calibri"/>
                <w:lang w:val="en"/>
              </w:rPr>
              <w:t>Auction notices</w:t>
            </w:r>
          </w:p>
        </w:tc>
        <w:tc>
          <w:tcPr>
            <w:tcW w:w="1259" w:type="dxa"/>
          </w:tcPr>
          <w:p w14:paraId="35D1C77F" w14:textId="706D6ADD" w:rsidR="00EA6A10" w:rsidRPr="00C12BAA" w:rsidRDefault="00B472F8" w:rsidP="00B472F8">
            <w:pPr>
              <w:spacing w:before="120" w:after="120" w:line="240" w:lineRule="auto"/>
              <w:rPr>
                <w:rFonts w:ascii="Calibri" w:hAnsi="Calibri" w:cs="Calibri"/>
                <w:lang w:val="en"/>
              </w:rPr>
            </w:pPr>
            <w:r>
              <w:rPr>
                <w:rFonts w:ascii="Calibri" w:hAnsi="Calibri" w:cs="Calibri"/>
                <w:lang w:val="en"/>
              </w:rPr>
              <w:t>A</w:t>
            </w:r>
            <w:r w:rsidR="00EA6A10" w:rsidRPr="00C12BAA">
              <w:rPr>
                <w:rFonts w:ascii="Calibri" w:hAnsi="Calibri" w:cs="Calibri"/>
                <w:lang w:val="en"/>
              </w:rPr>
              <w:t>nnual</w:t>
            </w:r>
          </w:p>
        </w:tc>
        <w:tc>
          <w:tcPr>
            <w:tcW w:w="5041" w:type="dxa"/>
          </w:tcPr>
          <w:p w14:paraId="4BDF3298" w14:textId="77777777" w:rsidR="00EA6A10" w:rsidRPr="00C12BAA" w:rsidRDefault="00EA6A10" w:rsidP="00B472F8">
            <w:pPr>
              <w:spacing w:before="120" w:after="120" w:line="240" w:lineRule="auto"/>
              <w:rPr>
                <w:rFonts w:ascii="Calibri" w:hAnsi="Calibri" w:cs="Calibri"/>
                <w:lang w:val="en"/>
              </w:rPr>
            </w:pPr>
            <w:r w:rsidRPr="00C12BAA">
              <w:rPr>
                <w:rFonts w:ascii="Calibri" w:hAnsi="Calibri" w:cs="Calibri"/>
                <w:lang w:val="en"/>
              </w:rPr>
              <w:t>Quantities of allowances consigned by utilities</w:t>
            </w:r>
          </w:p>
        </w:tc>
      </w:tr>
      <w:tr w:rsidR="00EA6A10" w:rsidRPr="00C12BAA" w14:paraId="41E4AA61" w14:textId="77777777" w:rsidTr="00A86047">
        <w:tc>
          <w:tcPr>
            <w:tcW w:w="3415" w:type="dxa"/>
          </w:tcPr>
          <w:p w14:paraId="6B6A74F6" w14:textId="77777777" w:rsidR="00EA6A10" w:rsidRPr="00C12BAA" w:rsidRDefault="00EA6A10" w:rsidP="00B472F8">
            <w:pPr>
              <w:spacing w:before="120" w:after="120" w:line="240" w:lineRule="auto"/>
              <w:rPr>
                <w:rFonts w:ascii="Calibri" w:hAnsi="Calibri" w:cs="Calibri"/>
                <w:lang w:val="en"/>
              </w:rPr>
            </w:pPr>
            <w:r w:rsidRPr="00C12BAA">
              <w:rPr>
                <w:rFonts w:ascii="Calibri" w:hAnsi="Calibri" w:cs="Calibri"/>
                <w:lang w:val="en"/>
              </w:rPr>
              <w:t>Allocation reports</w:t>
            </w:r>
          </w:p>
        </w:tc>
        <w:tc>
          <w:tcPr>
            <w:tcW w:w="1259" w:type="dxa"/>
          </w:tcPr>
          <w:p w14:paraId="6E15EBB0" w14:textId="746AE527" w:rsidR="00EA6A10" w:rsidRPr="00C12BAA" w:rsidRDefault="00B472F8" w:rsidP="00B472F8">
            <w:pPr>
              <w:spacing w:before="120" w:after="120" w:line="240" w:lineRule="auto"/>
              <w:rPr>
                <w:rFonts w:ascii="Calibri" w:hAnsi="Calibri" w:cs="Calibri"/>
                <w:lang w:val="en"/>
              </w:rPr>
            </w:pPr>
            <w:r>
              <w:rPr>
                <w:rFonts w:ascii="Calibri" w:hAnsi="Calibri" w:cs="Calibri"/>
                <w:lang w:val="en"/>
              </w:rPr>
              <w:t>A</w:t>
            </w:r>
            <w:r w:rsidR="00EA6A10" w:rsidRPr="00C12BAA">
              <w:rPr>
                <w:rFonts w:ascii="Calibri" w:hAnsi="Calibri" w:cs="Calibri"/>
                <w:lang w:val="en"/>
              </w:rPr>
              <w:t>nnual</w:t>
            </w:r>
          </w:p>
        </w:tc>
        <w:tc>
          <w:tcPr>
            <w:tcW w:w="5041" w:type="dxa"/>
          </w:tcPr>
          <w:p w14:paraId="59FFB58C" w14:textId="77777777" w:rsidR="00EA6A10" w:rsidRPr="00C12BAA" w:rsidRDefault="00EA6A10" w:rsidP="00B472F8">
            <w:pPr>
              <w:spacing w:before="120" w:after="120" w:line="240" w:lineRule="auto"/>
              <w:rPr>
                <w:rFonts w:ascii="Calibri" w:hAnsi="Calibri" w:cs="Calibri"/>
                <w:lang w:val="en"/>
              </w:rPr>
            </w:pPr>
            <w:r w:rsidRPr="00C12BAA">
              <w:rPr>
                <w:rFonts w:ascii="Calibri" w:hAnsi="Calibri" w:cs="Calibri"/>
                <w:lang w:val="en"/>
              </w:rPr>
              <w:t>Quantities freely allocated to emitters, including true-up allocations due to revisions in earlier years’ allocations</w:t>
            </w:r>
          </w:p>
        </w:tc>
      </w:tr>
      <w:tr w:rsidR="00EA6A10" w:rsidRPr="00C12BAA" w14:paraId="61789C8C" w14:textId="77777777" w:rsidTr="00A86047">
        <w:tc>
          <w:tcPr>
            <w:tcW w:w="3415" w:type="dxa"/>
          </w:tcPr>
          <w:p w14:paraId="7C692200" w14:textId="77777777" w:rsidR="00EA6A10" w:rsidRPr="00C12BAA" w:rsidRDefault="00EA6A10" w:rsidP="00B472F8">
            <w:pPr>
              <w:spacing w:before="120" w:after="120" w:line="240" w:lineRule="auto"/>
              <w:rPr>
                <w:rFonts w:ascii="Calibri" w:hAnsi="Calibri" w:cs="Calibri"/>
                <w:lang w:val="en"/>
              </w:rPr>
            </w:pPr>
            <w:r w:rsidRPr="00C12BAA">
              <w:rPr>
                <w:rFonts w:ascii="Calibri" w:hAnsi="Calibri" w:cs="Calibri"/>
                <w:lang w:val="en"/>
              </w:rPr>
              <w:t>Compliance reports</w:t>
            </w:r>
          </w:p>
        </w:tc>
        <w:tc>
          <w:tcPr>
            <w:tcW w:w="1259" w:type="dxa"/>
          </w:tcPr>
          <w:p w14:paraId="684A673D" w14:textId="6C4CE475" w:rsidR="00EA6A10" w:rsidRPr="00C12BAA" w:rsidRDefault="00B472F8" w:rsidP="00B472F8">
            <w:pPr>
              <w:spacing w:before="120" w:after="120" w:line="240" w:lineRule="auto"/>
              <w:rPr>
                <w:rFonts w:ascii="Calibri" w:hAnsi="Calibri" w:cs="Calibri"/>
                <w:lang w:val="en"/>
              </w:rPr>
            </w:pPr>
            <w:r>
              <w:rPr>
                <w:rFonts w:ascii="Calibri" w:hAnsi="Calibri" w:cs="Calibri"/>
                <w:lang w:val="en"/>
              </w:rPr>
              <w:t>A</w:t>
            </w:r>
            <w:r w:rsidR="00EA6A10" w:rsidRPr="00C12BAA">
              <w:rPr>
                <w:rFonts w:ascii="Calibri" w:hAnsi="Calibri" w:cs="Calibri"/>
                <w:lang w:val="en"/>
              </w:rPr>
              <w:t>nnual</w:t>
            </w:r>
          </w:p>
        </w:tc>
        <w:tc>
          <w:tcPr>
            <w:tcW w:w="5041" w:type="dxa"/>
          </w:tcPr>
          <w:p w14:paraId="09677823" w14:textId="77777777" w:rsidR="00EA6A10" w:rsidRPr="00C12BAA" w:rsidRDefault="00EA6A10" w:rsidP="00B472F8">
            <w:pPr>
              <w:spacing w:before="120" w:after="120" w:line="240" w:lineRule="auto"/>
              <w:rPr>
                <w:rFonts w:ascii="Calibri" w:hAnsi="Calibri" w:cs="Calibri"/>
                <w:lang w:val="en"/>
              </w:rPr>
            </w:pPr>
            <w:r w:rsidRPr="00C12BAA">
              <w:rPr>
                <w:rFonts w:ascii="Calibri" w:hAnsi="Calibri" w:cs="Calibri"/>
                <w:lang w:val="en"/>
              </w:rPr>
              <w:t>Instruments surrendered (for allowances, separated by vintage or other type)</w:t>
            </w:r>
          </w:p>
        </w:tc>
      </w:tr>
      <w:tr w:rsidR="00EA6A10" w:rsidRPr="00C12BAA" w14:paraId="01EAB4ED" w14:textId="77777777" w:rsidTr="00A86047">
        <w:tc>
          <w:tcPr>
            <w:tcW w:w="3415" w:type="dxa"/>
          </w:tcPr>
          <w:p w14:paraId="6B1A8BC9" w14:textId="77777777" w:rsidR="00EA6A10" w:rsidRPr="00C12BAA" w:rsidRDefault="00EA6A10" w:rsidP="00B472F8">
            <w:pPr>
              <w:spacing w:before="120" w:after="120" w:line="240" w:lineRule="auto"/>
              <w:rPr>
                <w:rFonts w:ascii="Calibri" w:hAnsi="Calibri" w:cs="Calibri"/>
                <w:lang w:val="en"/>
              </w:rPr>
            </w:pPr>
            <w:r w:rsidRPr="00C12BAA">
              <w:rPr>
                <w:rFonts w:ascii="Calibri" w:hAnsi="Calibri" w:cs="Calibri"/>
                <w:lang w:val="en"/>
              </w:rPr>
              <w:t>Auction results</w:t>
            </w:r>
          </w:p>
        </w:tc>
        <w:tc>
          <w:tcPr>
            <w:tcW w:w="1259" w:type="dxa"/>
          </w:tcPr>
          <w:p w14:paraId="7471918E" w14:textId="661F7DB4" w:rsidR="00EA6A10" w:rsidRPr="00C12BAA" w:rsidRDefault="00B472F8" w:rsidP="00B472F8">
            <w:pPr>
              <w:spacing w:before="120" w:after="120" w:line="240" w:lineRule="auto"/>
              <w:rPr>
                <w:rFonts w:ascii="Calibri" w:hAnsi="Calibri" w:cs="Calibri"/>
                <w:lang w:val="en"/>
              </w:rPr>
            </w:pPr>
            <w:r>
              <w:rPr>
                <w:rFonts w:ascii="Calibri" w:hAnsi="Calibri" w:cs="Calibri"/>
                <w:lang w:val="en"/>
              </w:rPr>
              <w:t>Q</w:t>
            </w:r>
            <w:r w:rsidR="00EA6A10" w:rsidRPr="00C12BAA">
              <w:rPr>
                <w:rFonts w:ascii="Calibri" w:hAnsi="Calibri" w:cs="Calibri"/>
                <w:lang w:val="en"/>
              </w:rPr>
              <w:t>uarterly</w:t>
            </w:r>
          </w:p>
        </w:tc>
        <w:tc>
          <w:tcPr>
            <w:tcW w:w="5041" w:type="dxa"/>
          </w:tcPr>
          <w:p w14:paraId="43E9F863" w14:textId="77777777" w:rsidR="00EA6A10" w:rsidRPr="00C12BAA" w:rsidRDefault="00EA6A10" w:rsidP="00B472F8">
            <w:pPr>
              <w:spacing w:before="120" w:after="120" w:line="240" w:lineRule="auto"/>
              <w:rPr>
                <w:rFonts w:ascii="Calibri" w:hAnsi="Calibri" w:cs="Calibri"/>
                <w:lang w:val="en"/>
              </w:rPr>
            </w:pPr>
            <w:r w:rsidRPr="00C12BAA">
              <w:rPr>
                <w:rFonts w:ascii="Calibri" w:hAnsi="Calibri" w:cs="Calibri"/>
                <w:lang w:val="en"/>
              </w:rPr>
              <w:t>Quantities available and sold, separated by vintage and jurisdiction</w:t>
            </w:r>
          </w:p>
        </w:tc>
      </w:tr>
      <w:tr w:rsidR="00EA6A10" w:rsidRPr="00C12BAA" w14:paraId="5543C730" w14:textId="77777777" w:rsidTr="00A86047">
        <w:tc>
          <w:tcPr>
            <w:tcW w:w="3415" w:type="dxa"/>
          </w:tcPr>
          <w:p w14:paraId="242B9C1A" w14:textId="77777777" w:rsidR="00EA6A10" w:rsidRPr="00C12BAA" w:rsidRDefault="00EA6A10" w:rsidP="00B472F8">
            <w:pPr>
              <w:spacing w:before="120" w:after="120" w:line="240" w:lineRule="auto"/>
              <w:rPr>
                <w:rFonts w:ascii="Calibri" w:hAnsi="Calibri" w:cs="Calibri"/>
                <w:lang w:val="en"/>
              </w:rPr>
            </w:pPr>
            <w:r w:rsidRPr="00C12BAA">
              <w:rPr>
                <w:rFonts w:ascii="Calibri" w:hAnsi="Calibri" w:cs="Calibri"/>
                <w:lang w:val="en"/>
              </w:rPr>
              <w:t>Compliance Instrument Reports</w:t>
            </w:r>
          </w:p>
        </w:tc>
        <w:tc>
          <w:tcPr>
            <w:tcW w:w="1259" w:type="dxa"/>
          </w:tcPr>
          <w:p w14:paraId="3810472C" w14:textId="1584F6B7" w:rsidR="00EA6A10" w:rsidRPr="00C12BAA" w:rsidRDefault="00B472F8" w:rsidP="00B472F8">
            <w:pPr>
              <w:spacing w:before="120" w:after="120" w:line="240" w:lineRule="auto"/>
              <w:rPr>
                <w:rFonts w:ascii="Calibri" w:hAnsi="Calibri" w:cs="Calibri"/>
                <w:lang w:val="en"/>
              </w:rPr>
            </w:pPr>
            <w:r>
              <w:rPr>
                <w:rFonts w:ascii="Calibri" w:hAnsi="Calibri" w:cs="Calibri"/>
                <w:lang w:val="en"/>
              </w:rPr>
              <w:t>Q</w:t>
            </w:r>
            <w:r w:rsidR="00EA6A10" w:rsidRPr="00C12BAA">
              <w:rPr>
                <w:rFonts w:ascii="Calibri" w:hAnsi="Calibri" w:cs="Calibri"/>
                <w:lang w:val="en"/>
              </w:rPr>
              <w:t>uarterly</w:t>
            </w:r>
          </w:p>
        </w:tc>
        <w:tc>
          <w:tcPr>
            <w:tcW w:w="5041" w:type="dxa"/>
          </w:tcPr>
          <w:p w14:paraId="63873687" w14:textId="77777777" w:rsidR="00EA6A10" w:rsidRPr="00C12BAA" w:rsidRDefault="00EA6A10" w:rsidP="00B472F8">
            <w:pPr>
              <w:spacing w:before="120" w:after="120" w:line="240" w:lineRule="auto"/>
              <w:rPr>
                <w:rFonts w:ascii="Calibri" w:hAnsi="Calibri" w:cs="Calibri"/>
                <w:lang w:val="en"/>
              </w:rPr>
            </w:pPr>
            <w:r w:rsidRPr="00C12BAA">
              <w:rPr>
                <w:rFonts w:ascii="Calibri" w:hAnsi="Calibri" w:cs="Calibri"/>
                <w:lang w:val="en"/>
              </w:rPr>
              <w:t>Offsets issued; net flow from Ontario</w:t>
            </w:r>
          </w:p>
        </w:tc>
      </w:tr>
    </w:tbl>
    <w:p w14:paraId="243D56BA" w14:textId="353AC228" w:rsidR="00EA6A10" w:rsidRDefault="00EA6A10" w:rsidP="00EA6A10">
      <w:pPr>
        <w:rPr>
          <w:rFonts w:ascii="Calibri" w:hAnsi="Calibri" w:cs="Calibri"/>
          <w:i/>
          <w:iCs/>
        </w:rPr>
      </w:pPr>
      <w:r w:rsidRPr="00C12BAA">
        <w:rPr>
          <w:rFonts w:ascii="Calibri" w:hAnsi="Calibri" w:cs="Calibri"/>
          <w:i/>
          <w:iCs/>
        </w:rPr>
        <w:br w:type="page"/>
      </w:r>
    </w:p>
    <w:p w14:paraId="2A375080" w14:textId="4E45E964" w:rsidR="00B472F8" w:rsidRPr="00B472F8" w:rsidRDefault="00B472F8" w:rsidP="00A42B13">
      <w:pPr>
        <w:pStyle w:val="Figurecaption"/>
        <w:spacing w:after="240" w:line="288" w:lineRule="auto"/>
        <w:jc w:val="both"/>
        <w:rPr>
          <w:rFonts w:ascii="Calibri" w:hAnsi="Calibri" w:cs="Calibri"/>
        </w:rPr>
      </w:pPr>
      <w:r w:rsidRPr="00B472F8">
        <w:rPr>
          <w:rFonts w:ascii="Calibri" w:hAnsi="Calibri" w:cs="Calibri"/>
          <w:b/>
        </w:rPr>
        <w:lastRenderedPageBreak/>
        <w:t>Table S-2.</w:t>
      </w:r>
      <w:r w:rsidRPr="00C12BAA">
        <w:rPr>
          <w:rFonts w:ascii="Calibri" w:hAnsi="Calibri" w:cs="Calibri"/>
        </w:rPr>
        <w:t xml:space="preserve"> Allowances in private accounts in WCI-RULES results compared with the Compliance Instrument Report (CIR), for Q2 2019. All units, except for percentage differences, are million metric tons of carbon dioxide-equivalent (MMtCO</w:t>
      </w:r>
      <w:r w:rsidRPr="00C12BAA">
        <w:rPr>
          <w:rFonts w:ascii="Calibri" w:hAnsi="Calibri" w:cs="Calibri"/>
          <w:vertAlign w:val="subscript"/>
        </w:rPr>
        <w:t>2</w:t>
      </w:r>
      <w:r w:rsidRPr="00C12BAA">
        <w:rPr>
          <w:rFonts w:ascii="Calibri" w:hAnsi="Calibri" w:cs="Calibri"/>
        </w:rPr>
        <w:t>e).</w:t>
      </w:r>
    </w:p>
    <w:tbl>
      <w:tblPr>
        <w:tblW w:w="4953" w:type="pct"/>
        <w:tblLayout w:type="fixed"/>
        <w:tblLook w:val="04A0" w:firstRow="1" w:lastRow="0" w:firstColumn="1" w:lastColumn="0" w:noHBand="0" w:noVBand="1"/>
      </w:tblPr>
      <w:tblGrid>
        <w:gridCol w:w="3156"/>
        <w:gridCol w:w="1528"/>
        <w:gridCol w:w="1526"/>
        <w:gridCol w:w="1526"/>
        <w:gridCol w:w="1526"/>
      </w:tblGrid>
      <w:tr w:rsidR="00EA6A10" w:rsidRPr="00C12BAA" w14:paraId="554C85FA" w14:textId="77777777" w:rsidTr="00766DCE">
        <w:trPr>
          <w:trHeight w:val="530"/>
        </w:trPr>
        <w:tc>
          <w:tcPr>
            <w:tcW w:w="1703" w:type="pct"/>
            <w:tcBorders>
              <w:top w:val="single" w:sz="4" w:space="0" w:color="000000"/>
              <w:left w:val="single" w:sz="4" w:space="0" w:color="000000"/>
              <w:bottom w:val="double" w:sz="4" w:space="0" w:color="auto"/>
              <w:right w:val="single" w:sz="4" w:space="0" w:color="auto"/>
            </w:tcBorders>
            <w:shd w:val="clear" w:color="auto" w:fill="auto"/>
            <w:vAlign w:val="bottom"/>
            <w:hideMark/>
          </w:tcPr>
          <w:p w14:paraId="6034F2B0" w14:textId="7B727918" w:rsidR="00EA6A10" w:rsidRPr="00C12BAA" w:rsidRDefault="00B472F8" w:rsidP="00766DCE">
            <w:pPr>
              <w:spacing w:before="60" w:after="60" w:line="240" w:lineRule="auto"/>
              <w:jc w:val="center"/>
              <w:rPr>
                <w:rFonts w:ascii="Calibri" w:hAnsi="Calibri" w:cs="Calibri"/>
                <w:color w:val="000000"/>
              </w:rPr>
            </w:pPr>
            <w:r>
              <w:rPr>
                <w:rFonts w:ascii="Calibri" w:hAnsi="Calibri" w:cs="Calibri"/>
                <w:b/>
                <w:bCs/>
                <w:color w:val="000000"/>
              </w:rPr>
              <w:t>Vintage</w:t>
            </w:r>
          </w:p>
        </w:tc>
        <w:tc>
          <w:tcPr>
            <w:tcW w:w="825" w:type="pct"/>
            <w:tcBorders>
              <w:top w:val="single" w:sz="4" w:space="0" w:color="000000"/>
              <w:left w:val="nil"/>
              <w:bottom w:val="double" w:sz="4" w:space="0" w:color="auto"/>
              <w:right w:val="single" w:sz="4" w:space="0" w:color="auto"/>
            </w:tcBorders>
            <w:shd w:val="clear" w:color="auto" w:fill="auto"/>
            <w:vAlign w:val="bottom"/>
            <w:hideMark/>
          </w:tcPr>
          <w:p w14:paraId="6A4F30F6" w14:textId="3B27934B" w:rsidR="00EA6A10" w:rsidRPr="00C12BAA" w:rsidRDefault="00EA6A10" w:rsidP="00766DCE">
            <w:pPr>
              <w:spacing w:before="60" w:after="60" w:line="240" w:lineRule="auto"/>
              <w:jc w:val="center"/>
              <w:rPr>
                <w:rFonts w:ascii="Calibri" w:hAnsi="Calibri" w:cs="Calibri"/>
                <w:b/>
                <w:bCs/>
                <w:color w:val="000000"/>
              </w:rPr>
            </w:pPr>
            <w:r w:rsidRPr="00C12BAA">
              <w:rPr>
                <w:rFonts w:ascii="Calibri" w:hAnsi="Calibri" w:cs="Calibri"/>
                <w:b/>
                <w:bCs/>
                <w:color w:val="000000"/>
              </w:rPr>
              <w:t>CIR</w:t>
            </w:r>
          </w:p>
        </w:tc>
        <w:tc>
          <w:tcPr>
            <w:tcW w:w="824" w:type="pct"/>
            <w:tcBorders>
              <w:top w:val="single" w:sz="4" w:space="0" w:color="000000"/>
              <w:left w:val="single" w:sz="4" w:space="0" w:color="auto"/>
              <w:bottom w:val="double" w:sz="4" w:space="0" w:color="auto"/>
              <w:right w:val="single" w:sz="4" w:space="0" w:color="auto"/>
            </w:tcBorders>
            <w:shd w:val="clear" w:color="auto" w:fill="auto"/>
            <w:vAlign w:val="bottom"/>
            <w:hideMark/>
          </w:tcPr>
          <w:p w14:paraId="7B164433" w14:textId="6F4EBDEF" w:rsidR="00EA6A10" w:rsidRPr="00C12BAA" w:rsidRDefault="00EA6A10" w:rsidP="00766DCE">
            <w:pPr>
              <w:spacing w:before="60" w:after="60" w:line="240" w:lineRule="auto"/>
              <w:jc w:val="center"/>
              <w:rPr>
                <w:rFonts w:ascii="Calibri" w:hAnsi="Calibri" w:cs="Calibri"/>
                <w:b/>
                <w:bCs/>
                <w:color w:val="000000"/>
              </w:rPr>
            </w:pPr>
            <w:r w:rsidRPr="00C12BAA">
              <w:rPr>
                <w:rFonts w:ascii="Calibri" w:hAnsi="Calibri" w:cs="Calibri"/>
                <w:b/>
                <w:bCs/>
                <w:color w:val="000000"/>
              </w:rPr>
              <w:t>WCI-RULES</w:t>
            </w:r>
          </w:p>
        </w:tc>
        <w:tc>
          <w:tcPr>
            <w:tcW w:w="824" w:type="pct"/>
            <w:tcBorders>
              <w:top w:val="single" w:sz="4" w:space="0" w:color="000000"/>
              <w:left w:val="single" w:sz="4" w:space="0" w:color="auto"/>
              <w:bottom w:val="double" w:sz="4" w:space="0" w:color="auto"/>
              <w:right w:val="single" w:sz="4" w:space="0" w:color="auto"/>
            </w:tcBorders>
            <w:shd w:val="clear" w:color="auto" w:fill="auto"/>
            <w:vAlign w:val="bottom"/>
            <w:hideMark/>
          </w:tcPr>
          <w:p w14:paraId="20435BE1" w14:textId="391D79B7" w:rsidR="00EA6A10" w:rsidRPr="00C12BAA" w:rsidRDefault="000E4B11" w:rsidP="00766DCE">
            <w:pPr>
              <w:spacing w:before="60" w:after="60" w:line="240" w:lineRule="auto"/>
              <w:jc w:val="center"/>
              <w:rPr>
                <w:rFonts w:ascii="Calibri" w:hAnsi="Calibri" w:cs="Calibri"/>
                <w:b/>
                <w:bCs/>
                <w:color w:val="000000"/>
              </w:rPr>
            </w:pPr>
            <w:r w:rsidRPr="00C12BAA">
              <w:rPr>
                <w:rFonts w:ascii="Calibri" w:hAnsi="Calibri" w:cs="Calibri"/>
                <w:b/>
                <w:bCs/>
                <w:color w:val="000000"/>
              </w:rPr>
              <w:t>D</w:t>
            </w:r>
            <w:r w:rsidR="00EA6A10" w:rsidRPr="00C12BAA">
              <w:rPr>
                <w:rFonts w:ascii="Calibri" w:hAnsi="Calibri" w:cs="Calibri"/>
                <w:b/>
                <w:bCs/>
                <w:color w:val="000000"/>
              </w:rPr>
              <w:t>ifference</w:t>
            </w:r>
          </w:p>
        </w:tc>
        <w:tc>
          <w:tcPr>
            <w:tcW w:w="824" w:type="pct"/>
            <w:tcBorders>
              <w:top w:val="single" w:sz="4" w:space="0" w:color="000000"/>
              <w:left w:val="single" w:sz="4" w:space="0" w:color="auto"/>
              <w:bottom w:val="double" w:sz="4" w:space="0" w:color="auto"/>
              <w:right w:val="single" w:sz="4" w:space="0" w:color="auto"/>
            </w:tcBorders>
            <w:vAlign w:val="bottom"/>
          </w:tcPr>
          <w:p w14:paraId="53288A3F" w14:textId="1F1FBB59" w:rsidR="00EA6A10" w:rsidRPr="00C12BAA" w:rsidRDefault="00EA6A10" w:rsidP="00766DCE">
            <w:pPr>
              <w:spacing w:before="60" w:after="60" w:line="240" w:lineRule="auto"/>
              <w:jc w:val="center"/>
              <w:rPr>
                <w:rFonts w:ascii="Calibri" w:hAnsi="Calibri" w:cs="Calibri"/>
                <w:b/>
                <w:bCs/>
                <w:color w:val="000000"/>
              </w:rPr>
            </w:pPr>
            <w:r w:rsidRPr="00C12BAA">
              <w:rPr>
                <w:rFonts w:ascii="Calibri" w:hAnsi="Calibri" w:cs="Calibri"/>
                <w:b/>
                <w:bCs/>
                <w:color w:val="000000"/>
              </w:rPr>
              <w:t xml:space="preserve">% </w:t>
            </w:r>
            <w:r w:rsidR="00B472F8">
              <w:rPr>
                <w:rFonts w:ascii="Calibri" w:hAnsi="Calibri" w:cs="Calibri"/>
                <w:b/>
                <w:bCs/>
                <w:color w:val="000000"/>
              </w:rPr>
              <w:t>D</w:t>
            </w:r>
            <w:r w:rsidRPr="00C12BAA">
              <w:rPr>
                <w:rFonts w:ascii="Calibri" w:hAnsi="Calibri" w:cs="Calibri"/>
                <w:b/>
                <w:bCs/>
                <w:color w:val="000000"/>
              </w:rPr>
              <w:t>ifference</w:t>
            </w:r>
          </w:p>
        </w:tc>
      </w:tr>
      <w:tr w:rsidR="00EA6A10" w:rsidRPr="00C12BAA" w14:paraId="5A2C5ADE" w14:textId="77777777" w:rsidTr="00766DCE">
        <w:trPr>
          <w:trHeight w:val="317"/>
        </w:trPr>
        <w:tc>
          <w:tcPr>
            <w:tcW w:w="1703"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3BCA1A8"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2013</w:t>
            </w:r>
          </w:p>
        </w:tc>
        <w:tc>
          <w:tcPr>
            <w:tcW w:w="825"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692A211" w14:textId="76D77245"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1.3</w:t>
            </w:r>
            <w:r w:rsidR="001F6C6C" w:rsidRPr="00C12BAA">
              <w:rPr>
                <w:rFonts w:ascii="Calibri" w:hAnsi="Calibri" w:cs="Calibri"/>
                <w:color w:val="000000"/>
              </w:rPr>
              <w:t>3</w:t>
            </w:r>
          </w:p>
        </w:tc>
        <w:tc>
          <w:tcPr>
            <w:tcW w:w="824"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2603FB7" w14:textId="58D94B43"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1.</w:t>
            </w:r>
            <w:r w:rsidR="00944013" w:rsidRPr="00C12BAA">
              <w:rPr>
                <w:rFonts w:ascii="Calibri" w:hAnsi="Calibri" w:cs="Calibri"/>
              </w:rPr>
              <w:t>4</w:t>
            </w:r>
            <w:r w:rsidR="001F6C6C" w:rsidRPr="00C12BAA">
              <w:rPr>
                <w:rFonts w:ascii="Calibri" w:hAnsi="Calibri" w:cs="Calibri"/>
              </w:rPr>
              <w:t>1</w:t>
            </w:r>
          </w:p>
        </w:tc>
        <w:tc>
          <w:tcPr>
            <w:tcW w:w="824"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1792BA5" w14:textId="232921FB"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EA6A10" w:rsidRPr="00C12BAA">
              <w:rPr>
                <w:rFonts w:ascii="Calibri" w:hAnsi="Calibri" w:cs="Calibri"/>
                <w:color w:val="000000"/>
              </w:rPr>
              <w:t>0.</w:t>
            </w:r>
            <w:r w:rsidR="00944013" w:rsidRPr="00C12BAA">
              <w:rPr>
                <w:rFonts w:ascii="Calibri" w:hAnsi="Calibri" w:cs="Calibri"/>
                <w:color w:val="000000"/>
              </w:rPr>
              <w:t>0</w:t>
            </w:r>
            <w:r w:rsidR="001F6C6C" w:rsidRPr="00C12BAA">
              <w:rPr>
                <w:rFonts w:ascii="Calibri" w:hAnsi="Calibri" w:cs="Calibri"/>
                <w:color w:val="000000"/>
              </w:rPr>
              <w:t>8</w:t>
            </w:r>
          </w:p>
        </w:tc>
        <w:tc>
          <w:tcPr>
            <w:tcW w:w="824" w:type="pct"/>
            <w:tcBorders>
              <w:top w:val="double" w:sz="4" w:space="0" w:color="auto"/>
              <w:left w:val="single" w:sz="4" w:space="0" w:color="auto"/>
              <w:bottom w:val="single" w:sz="4" w:space="0" w:color="auto"/>
              <w:right w:val="single" w:sz="4" w:space="0" w:color="auto"/>
            </w:tcBorders>
            <w:vAlign w:val="center"/>
          </w:tcPr>
          <w:p w14:paraId="408C1C74" w14:textId="7C096F73"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1F6C6C" w:rsidRPr="00C12BAA">
              <w:rPr>
                <w:rFonts w:ascii="Calibri" w:hAnsi="Calibri" w:cs="Calibri"/>
                <w:color w:val="000000"/>
              </w:rPr>
              <w:t>6.4</w:t>
            </w:r>
            <w:r w:rsidR="00EA6A10" w:rsidRPr="00C12BAA">
              <w:rPr>
                <w:rFonts w:ascii="Calibri" w:hAnsi="Calibri" w:cs="Calibri"/>
                <w:color w:val="000000"/>
              </w:rPr>
              <w:t>%</w:t>
            </w:r>
          </w:p>
        </w:tc>
      </w:tr>
      <w:tr w:rsidR="00EA6A10" w:rsidRPr="00C12BAA" w14:paraId="7B7570A2"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D07C"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2014</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91D16" w14:textId="110583BE"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4.</w:t>
            </w:r>
            <w:r w:rsidR="001F6C6C" w:rsidRPr="00C12BAA">
              <w:rPr>
                <w:rFonts w:ascii="Calibri" w:hAnsi="Calibri" w:cs="Calibri"/>
                <w:color w:val="000000"/>
              </w:rPr>
              <w:t>56</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D882C" w14:textId="1B9BD855"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4.</w:t>
            </w:r>
            <w:r w:rsidR="00944013" w:rsidRPr="00C12BAA">
              <w:rPr>
                <w:rFonts w:ascii="Calibri" w:hAnsi="Calibri" w:cs="Calibri"/>
              </w:rPr>
              <w:t>9</w:t>
            </w:r>
            <w:r w:rsidR="001F6C6C" w:rsidRPr="00C12BAA">
              <w:rPr>
                <w:rFonts w:ascii="Calibri" w:hAnsi="Calibri" w:cs="Calibri"/>
              </w:rPr>
              <w:t>9</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B5C9" w14:textId="44C6F338"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EA6A10" w:rsidRPr="00C12BAA">
              <w:rPr>
                <w:rFonts w:ascii="Calibri" w:hAnsi="Calibri" w:cs="Calibri"/>
                <w:color w:val="000000"/>
              </w:rPr>
              <w:t>0.</w:t>
            </w:r>
            <w:r w:rsidR="001F6C6C" w:rsidRPr="00C12BAA">
              <w:rPr>
                <w:rFonts w:ascii="Calibri" w:hAnsi="Calibri" w:cs="Calibri"/>
                <w:color w:val="000000"/>
              </w:rPr>
              <w:t>43</w:t>
            </w:r>
          </w:p>
        </w:tc>
        <w:tc>
          <w:tcPr>
            <w:tcW w:w="824" w:type="pct"/>
            <w:tcBorders>
              <w:top w:val="single" w:sz="4" w:space="0" w:color="auto"/>
              <w:left w:val="single" w:sz="4" w:space="0" w:color="auto"/>
              <w:bottom w:val="single" w:sz="4" w:space="0" w:color="auto"/>
              <w:right w:val="single" w:sz="4" w:space="0" w:color="auto"/>
            </w:tcBorders>
            <w:vAlign w:val="center"/>
          </w:tcPr>
          <w:p w14:paraId="3B13A388" w14:textId="1F6D89FB"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1F6C6C" w:rsidRPr="00C12BAA">
              <w:rPr>
                <w:rFonts w:ascii="Calibri" w:hAnsi="Calibri" w:cs="Calibri"/>
                <w:color w:val="000000"/>
              </w:rPr>
              <w:t>9.3</w:t>
            </w:r>
            <w:r w:rsidR="00EA6A10" w:rsidRPr="00C12BAA">
              <w:rPr>
                <w:rFonts w:ascii="Calibri" w:hAnsi="Calibri" w:cs="Calibri"/>
                <w:color w:val="000000"/>
              </w:rPr>
              <w:t>%</w:t>
            </w:r>
          </w:p>
        </w:tc>
      </w:tr>
      <w:tr w:rsidR="00EA6A10" w:rsidRPr="00C12BAA" w14:paraId="48A9CA5D"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EDF4D"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2015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96EE8" w14:textId="2A1A5715"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10.5</w:t>
            </w:r>
            <w:r w:rsidR="001F6C6C" w:rsidRPr="00C12BAA">
              <w:rPr>
                <w:rFonts w:ascii="Calibri" w:hAnsi="Calibri" w:cs="Calibri"/>
                <w:color w:val="000000"/>
              </w:rPr>
              <w:t>4</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7D44" w14:textId="48532578"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10.</w:t>
            </w:r>
            <w:r w:rsidR="00944013" w:rsidRPr="00C12BAA">
              <w:rPr>
                <w:rFonts w:ascii="Calibri" w:hAnsi="Calibri" w:cs="Calibri"/>
              </w:rPr>
              <w:t>9</w:t>
            </w:r>
            <w:r w:rsidR="001F6C6C" w:rsidRPr="00C12BAA">
              <w:rPr>
                <w:rFonts w:ascii="Calibri" w:hAnsi="Calibri" w:cs="Calibri"/>
              </w:rPr>
              <w:t>6</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28262" w14:textId="502E9A7F"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EA6A10" w:rsidRPr="00C12BAA">
              <w:rPr>
                <w:rFonts w:ascii="Calibri" w:hAnsi="Calibri" w:cs="Calibri"/>
                <w:color w:val="000000"/>
              </w:rPr>
              <w:t>0.</w:t>
            </w:r>
            <w:r w:rsidR="001F6C6C" w:rsidRPr="00C12BAA">
              <w:rPr>
                <w:rFonts w:ascii="Calibri" w:hAnsi="Calibri" w:cs="Calibri"/>
                <w:color w:val="000000"/>
              </w:rPr>
              <w:t>42</w:t>
            </w:r>
          </w:p>
        </w:tc>
        <w:tc>
          <w:tcPr>
            <w:tcW w:w="824" w:type="pct"/>
            <w:tcBorders>
              <w:top w:val="single" w:sz="4" w:space="0" w:color="auto"/>
              <w:left w:val="single" w:sz="4" w:space="0" w:color="auto"/>
              <w:bottom w:val="single" w:sz="4" w:space="0" w:color="auto"/>
              <w:right w:val="single" w:sz="4" w:space="0" w:color="auto"/>
            </w:tcBorders>
            <w:vAlign w:val="center"/>
          </w:tcPr>
          <w:p w14:paraId="7D80938F" w14:textId="26E9CAB0"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1F6C6C" w:rsidRPr="00C12BAA">
              <w:rPr>
                <w:rFonts w:ascii="Calibri" w:hAnsi="Calibri" w:cs="Calibri"/>
                <w:color w:val="000000"/>
              </w:rPr>
              <w:t>4.0</w:t>
            </w:r>
            <w:r w:rsidR="00EA6A10" w:rsidRPr="00C12BAA">
              <w:rPr>
                <w:rFonts w:ascii="Calibri" w:hAnsi="Calibri" w:cs="Calibri"/>
                <w:color w:val="000000"/>
              </w:rPr>
              <w:t>%</w:t>
            </w:r>
          </w:p>
        </w:tc>
      </w:tr>
      <w:tr w:rsidR="00EA6A10" w:rsidRPr="00C12BAA" w14:paraId="1F95B5CC"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51D8A"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2016</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B031D" w14:textId="4F8B8616"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57.1</w:t>
            </w:r>
            <w:r w:rsidR="001F6C6C" w:rsidRPr="00C12BAA">
              <w:rPr>
                <w:rFonts w:ascii="Calibri" w:hAnsi="Calibri" w:cs="Calibri"/>
                <w:color w:val="000000"/>
              </w:rPr>
              <w:t>2</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32A0F" w14:textId="72117F87"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57.</w:t>
            </w:r>
            <w:r w:rsidR="00944013" w:rsidRPr="00C12BAA">
              <w:rPr>
                <w:rFonts w:ascii="Calibri" w:hAnsi="Calibri" w:cs="Calibri"/>
              </w:rPr>
              <w:t>5</w:t>
            </w:r>
            <w:r w:rsidR="00BF0457" w:rsidRPr="00C12BAA">
              <w:rPr>
                <w:rFonts w:ascii="Calibri" w:hAnsi="Calibri" w:cs="Calibri"/>
              </w:rPr>
              <w:t>7</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12F9A" w14:textId="2FDE81EA"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EA6A10" w:rsidRPr="00C12BAA">
              <w:rPr>
                <w:rFonts w:ascii="Calibri" w:hAnsi="Calibri" w:cs="Calibri"/>
                <w:color w:val="000000"/>
              </w:rPr>
              <w:t>0.</w:t>
            </w:r>
            <w:r w:rsidR="001F6C6C" w:rsidRPr="00C12BAA">
              <w:rPr>
                <w:rFonts w:ascii="Calibri" w:hAnsi="Calibri" w:cs="Calibri"/>
                <w:color w:val="000000"/>
              </w:rPr>
              <w:t>4</w:t>
            </w:r>
            <w:r w:rsidR="00BF0457" w:rsidRPr="00C12BAA">
              <w:rPr>
                <w:rFonts w:ascii="Calibri" w:hAnsi="Calibri" w:cs="Calibri"/>
                <w:color w:val="000000"/>
              </w:rPr>
              <w:t>5</w:t>
            </w:r>
          </w:p>
        </w:tc>
        <w:tc>
          <w:tcPr>
            <w:tcW w:w="824" w:type="pct"/>
            <w:tcBorders>
              <w:top w:val="single" w:sz="4" w:space="0" w:color="auto"/>
              <w:left w:val="single" w:sz="4" w:space="0" w:color="auto"/>
              <w:bottom w:val="single" w:sz="4" w:space="0" w:color="auto"/>
              <w:right w:val="single" w:sz="4" w:space="0" w:color="auto"/>
            </w:tcBorders>
            <w:vAlign w:val="center"/>
          </w:tcPr>
          <w:p w14:paraId="6FBC22F3" w14:textId="330518B6"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EA6A10" w:rsidRPr="00C12BAA">
              <w:rPr>
                <w:rFonts w:ascii="Calibri" w:hAnsi="Calibri" w:cs="Calibri"/>
                <w:color w:val="000000"/>
              </w:rPr>
              <w:t>0.</w:t>
            </w:r>
            <w:r w:rsidR="00BF0457" w:rsidRPr="00C12BAA">
              <w:rPr>
                <w:rFonts w:ascii="Calibri" w:hAnsi="Calibri" w:cs="Calibri"/>
                <w:color w:val="000000"/>
              </w:rPr>
              <w:t>8</w:t>
            </w:r>
            <w:r w:rsidR="00EA6A10" w:rsidRPr="00C12BAA">
              <w:rPr>
                <w:rFonts w:ascii="Calibri" w:hAnsi="Calibri" w:cs="Calibri"/>
                <w:color w:val="000000"/>
              </w:rPr>
              <w:t>%</w:t>
            </w:r>
          </w:p>
        </w:tc>
      </w:tr>
      <w:tr w:rsidR="00EA6A10" w:rsidRPr="00C12BAA" w14:paraId="15814CF8"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C0DC7"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2017</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6DC0" w14:textId="6591CBD1"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121.</w:t>
            </w:r>
            <w:r w:rsidR="001F6C6C" w:rsidRPr="00C12BAA">
              <w:rPr>
                <w:rFonts w:ascii="Calibri" w:hAnsi="Calibri" w:cs="Calibri"/>
                <w:color w:val="000000"/>
              </w:rPr>
              <w:t>87</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42C27" w14:textId="2544F8A1"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122.</w:t>
            </w:r>
            <w:r w:rsidR="00944013" w:rsidRPr="00C12BAA">
              <w:rPr>
                <w:rFonts w:ascii="Calibri" w:hAnsi="Calibri" w:cs="Calibri"/>
              </w:rPr>
              <w:t>2</w:t>
            </w:r>
            <w:r w:rsidR="001F6C6C" w:rsidRPr="00C12BAA">
              <w:rPr>
                <w:rFonts w:ascii="Calibri" w:hAnsi="Calibri" w:cs="Calibri"/>
              </w:rPr>
              <w:t>1</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E9FFE" w14:textId="27621A8A"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EA6A10" w:rsidRPr="00C12BAA">
              <w:rPr>
                <w:rFonts w:ascii="Calibri" w:hAnsi="Calibri" w:cs="Calibri"/>
                <w:color w:val="000000"/>
              </w:rPr>
              <w:t>0.</w:t>
            </w:r>
            <w:r w:rsidR="00944013" w:rsidRPr="00C12BAA">
              <w:rPr>
                <w:rFonts w:ascii="Calibri" w:hAnsi="Calibri" w:cs="Calibri"/>
                <w:color w:val="000000"/>
              </w:rPr>
              <w:t>3</w:t>
            </w:r>
            <w:r w:rsidR="001F6C6C" w:rsidRPr="00C12BAA">
              <w:rPr>
                <w:rFonts w:ascii="Calibri" w:hAnsi="Calibri" w:cs="Calibri"/>
                <w:color w:val="000000"/>
              </w:rPr>
              <w:t>4</w:t>
            </w:r>
          </w:p>
        </w:tc>
        <w:tc>
          <w:tcPr>
            <w:tcW w:w="824" w:type="pct"/>
            <w:tcBorders>
              <w:top w:val="single" w:sz="4" w:space="0" w:color="auto"/>
              <w:left w:val="single" w:sz="4" w:space="0" w:color="auto"/>
              <w:bottom w:val="single" w:sz="4" w:space="0" w:color="auto"/>
              <w:right w:val="single" w:sz="4" w:space="0" w:color="auto"/>
            </w:tcBorders>
            <w:vAlign w:val="center"/>
          </w:tcPr>
          <w:p w14:paraId="763CCC94" w14:textId="79A0E6F0"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EA6A10" w:rsidRPr="00C12BAA">
              <w:rPr>
                <w:rFonts w:ascii="Calibri" w:hAnsi="Calibri" w:cs="Calibri"/>
                <w:color w:val="000000"/>
              </w:rPr>
              <w:t>0.</w:t>
            </w:r>
            <w:r w:rsidR="00944013" w:rsidRPr="00C12BAA">
              <w:rPr>
                <w:rFonts w:ascii="Calibri" w:hAnsi="Calibri" w:cs="Calibri"/>
                <w:color w:val="000000"/>
              </w:rPr>
              <w:t>3</w:t>
            </w:r>
            <w:r w:rsidR="00EA6A10" w:rsidRPr="00C12BAA">
              <w:rPr>
                <w:rFonts w:ascii="Calibri" w:hAnsi="Calibri" w:cs="Calibri"/>
                <w:color w:val="000000"/>
              </w:rPr>
              <w:t>%</w:t>
            </w:r>
          </w:p>
        </w:tc>
      </w:tr>
      <w:tr w:rsidR="00EA6A10" w:rsidRPr="00C12BAA" w14:paraId="514F7470"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27BAC"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2018</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F2416" w14:textId="6467C8CA"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388.6</w:t>
            </w:r>
            <w:r w:rsidR="001F6C6C" w:rsidRPr="00C12BAA">
              <w:rPr>
                <w:rFonts w:ascii="Calibri" w:hAnsi="Calibri" w:cs="Calibri"/>
                <w:color w:val="000000"/>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85F72" w14:textId="18B2CF3D"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388.7</w:t>
            </w:r>
            <w:r w:rsidR="001F6C6C" w:rsidRPr="00C12BAA">
              <w:rPr>
                <w:rFonts w:ascii="Calibri" w:hAnsi="Calibri" w:cs="Calibri"/>
              </w:rPr>
              <w:t>4</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27134" w14:textId="21AF9627"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EA6A10" w:rsidRPr="00C12BAA">
              <w:rPr>
                <w:rFonts w:ascii="Calibri" w:hAnsi="Calibri" w:cs="Calibri"/>
                <w:color w:val="000000"/>
              </w:rPr>
              <w:t>0.1</w:t>
            </w:r>
            <w:r w:rsidR="00944013" w:rsidRPr="00C12BAA">
              <w:rPr>
                <w:rFonts w:ascii="Calibri" w:hAnsi="Calibri" w:cs="Calibri"/>
                <w:color w:val="000000"/>
              </w:rPr>
              <w:t>4</w:t>
            </w:r>
          </w:p>
        </w:tc>
        <w:tc>
          <w:tcPr>
            <w:tcW w:w="824" w:type="pct"/>
            <w:tcBorders>
              <w:top w:val="single" w:sz="4" w:space="0" w:color="auto"/>
              <w:left w:val="single" w:sz="4" w:space="0" w:color="auto"/>
              <w:bottom w:val="single" w:sz="4" w:space="0" w:color="auto"/>
              <w:right w:val="single" w:sz="4" w:space="0" w:color="auto"/>
            </w:tcBorders>
            <w:vAlign w:val="center"/>
          </w:tcPr>
          <w:p w14:paraId="4D8DBB18"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6ADC3656"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2DC07"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2019</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FF599" w14:textId="7C8EDE4C"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238.0</w:t>
            </w:r>
            <w:r w:rsidR="001F6C6C" w:rsidRPr="00C12BAA">
              <w:rPr>
                <w:rFonts w:ascii="Calibri" w:hAnsi="Calibri" w:cs="Calibri"/>
                <w:color w:val="000000"/>
              </w:rPr>
              <w:t>4</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DCE91" w14:textId="682011F5"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238.</w:t>
            </w:r>
            <w:r w:rsidR="001F6C6C" w:rsidRPr="00C12BAA">
              <w:rPr>
                <w:rFonts w:ascii="Calibri" w:hAnsi="Calibri" w:cs="Calibri"/>
              </w:rPr>
              <w:t>87</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A5E4D" w14:textId="315DE242"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EA6A10" w:rsidRPr="00C12BAA">
              <w:rPr>
                <w:rFonts w:ascii="Calibri" w:hAnsi="Calibri" w:cs="Calibri"/>
                <w:color w:val="000000"/>
              </w:rPr>
              <w:t>0.</w:t>
            </w:r>
            <w:r w:rsidR="00944013" w:rsidRPr="00C12BAA">
              <w:rPr>
                <w:rFonts w:ascii="Calibri" w:hAnsi="Calibri" w:cs="Calibri"/>
                <w:color w:val="000000"/>
              </w:rPr>
              <w:t>82</w:t>
            </w:r>
          </w:p>
        </w:tc>
        <w:tc>
          <w:tcPr>
            <w:tcW w:w="824" w:type="pct"/>
            <w:tcBorders>
              <w:top w:val="single" w:sz="4" w:space="0" w:color="auto"/>
              <w:left w:val="single" w:sz="4" w:space="0" w:color="auto"/>
              <w:bottom w:val="single" w:sz="4" w:space="0" w:color="auto"/>
              <w:right w:val="single" w:sz="4" w:space="0" w:color="auto"/>
            </w:tcBorders>
            <w:vAlign w:val="center"/>
          </w:tcPr>
          <w:p w14:paraId="40A090B5" w14:textId="79BDDA49" w:rsidR="00EA6A10" w:rsidRPr="00C12BAA" w:rsidRDefault="001F6C6C" w:rsidP="00B472F8">
            <w:pPr>
              <w:spacing w:before="60" w:after="60" w:line="240" w:lineRule="auto"/>
              <w:jc w:val="right"/>
              <w:rPr>
                <w:rFonts w:ascii="Calibri" w:hAnsi="Calibri" w:cs="Calibri"/>
                <w:color w:val="000000"/>
              </w:rPr>
            </w:pPr>
            <w:r w:rsidRPr="00C12BAA">
              <w:rPr>
                <w:rFonts w:ascii="Calibri" w:hAnsi="Calibri" w:cs="Calibri"/>
                <w:color w:val="000000"/>
              </w:rPr>
              <w:t>-0.3</w:t>
            </w:r>
            <w:r w:rsidR="00EA6A10" w:rsidRPr="00C12BAA">
              <w:rPr>
                <w:rFonts w:ascii="Calibri" w:hAnsi="Calibri" w:cs="Calibri"/>
                <w:color w:val="000000"/>
              </w:rPr>
              <w:t>%</w:t>
            </w:r>
          </w:p>
        </w:tc>
      </w:tr>
      <w:tr w:rsidR="00EA6A10" w:rsidRPr="00C12BAA" w14:paraId="69E887A2"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D5F21"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2020</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73F65" w14:textId="036C1A55"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24.</w:t>
            </w:r>
            <w:r w:rsidR="001F6C6C" w:rsidRPr="00C12BAA">
              <w:rPr>
                <w:rFonts w:ascii="Calibri" w:hAnsi="Calibri" w:cs="Calibri"/>
                <w:color w:val="000000"/>
              </w:rPr>
              <w:t>78</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7C753" w14:textId="653AF370"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24.</w:t>
            </w:r>
            <w:r w:rsidR="001F6C6C" w:rsidRPr="00C12BAA">
              <w:rPr>
                <w:rFonts w:ascii="Calibri" w:hAnsi="Calibri" w:cs="Calibri"/>
              </w:rPr>
              <w:t>78</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6BFDB"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034ADC0D"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3B462FBB"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3270"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2021</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C257" w14:textId="2199F13F"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33.</w:t>
            </w:r>
            <w:r w:rsidR="001F6C6C" w:rsidRPr="00C12BAA">
              <w:rPr>
                <w:rFonts w:ascii="Calibri" w:hAnsi="Calibri" w:cs="Calibri"/>
                <w:color w:val="000000"/>
              </w:rPr>
              <w:t>26</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33A4E" w14:textId="29C8C465"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33.</w:t>
            </w:r>
            <w:r w:rsidR="001F6C6C" w:rsidRPr="00C12BAA">
              <w:rPr>
                <w:rFonts w:ascii="Calibri" w:hAnsi="Calibri" w:cs="Calibri"/>
              </w:rPr>
              <w:t>26</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08CBD"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1AE416AA"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17D70A86"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E6B6"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2022</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C9C6C" w14:textId="61122CBF"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15.0</w:t>
            </w:r>
            <w:r w:rsidR="001F6C6C" w:rsidRPr="00C12BAA">
              <w:rPr>
                <w:rFonts w:ascii="Calibri" w:hAnsi="Calibri" w:cs="Calibri"/>
                <w:color w:val="000000"/>
              </w:rPr>
              <w:t>2</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9BFF1" w14:textId="2902188E"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15.0</w:t>
            </w:r>
            <w:r w:rsidR="001F6C6C" w:rsidRPr="00C12BAA">
              <w:rPr>
                <w:rFonts w:ascii="Calibri" w:hAnsi="Calibri" w:cs="Calibri"/>
              </w:rPr>
              <w:t>2</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538D2"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5BD1B9F0"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43385832"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8475"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2023</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544CF" w14:textId="114B97EC"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r w:rsidR="001F6C6C" w:rsidRPr="00C12BAA">
              <w:rPr>
                <w:rFonts w:ascii="Calibri" w:hAnsi="Calibri" w:cs="Calibri"/>
                <w:color w:val="000000"/>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9DE7" w14:textId="5074B8E8"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0.0</w:t>
            </w:r>
            <w:r w:rsidR="001F6C6C" w:rsidRPr="00C12BAA">
              <w:rPr>
                <w:rFonts w:ascii="Calibri" w:hAnsi="Calibri" w:cs="Calibri"/>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F858E"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2F935BDF"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2D21ADB5"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C5C5D"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2024</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052B3" w14:textId="1C0FE7DE"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r w:rsidR="001F6C6C" w:rsidRPr="00C12BAA">
              <w:rPr>
                <w:rFonts w:ascii="Calibri" w:hAnsi="Calibri" w:cs="Calibri"/>
                <w:color w:val="000000"/>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15A9E" w14:textId="28E67466"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0.0</w:t>
            </w:r>
            <w:r w:rsidR="001F6C6C" w:rsidRPr="00C12BAA">
              <w:rPr>
                <w:rFonts w:ascii="Calibri" w:hAnsi="Calibri" w:cs="Calibri"/>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E4515"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356CE1DD"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5DF0B12E"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1CB1B"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2025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96FD3" w14:textId="293EECCB"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r w:rsidR="001F6C6C" w:rsidRPr="00C12BAA">
              <w:rPr>
                <w:rFonts w:ascii="Calibri" w:hAnsi="Calibri" w:cs="Calibri"/>
                <w:color w:val="000000"/>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C128" w14:textId="2C0C37E9"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0.0</w:t>
            </w:r>
            <w:r w:rsidR="001F6C6C" w:rsidRPr="00C12BAA">
              <w:rPr>
                <w:rFonts w:ascii="Calibri" w:hAnsi="Calibri" w:cs="Calibri"/>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5D1EE"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24D36C5B"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474D4734"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A0E8B"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2026</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CECB8" w14:textId="6E0EE39C"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r w:rsidR="001F6C6C" w:rsidRPr="00C12BAA">
              <w:rPr>
                <w:rFonts w:ascii="Calibri" w:hAnsi="Calibri" w:cs="Calibri"/>
                <w:color w:val="000000"/>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2435C" w14:textId="6BC9AABA"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0.0</w:t>
            </w:r>
            <w:r w:rsidR="001F6C6C" w:rsidRPr="00C12BAA">
              <w:rPr>
                <w:rFonts w:ascii="Calibri" w:hAnsi="Calibri" w:cs="Calibri"/>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EE535"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6ABBF25A"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6ACA13C6"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16DEE"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2027</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2DB7" w14:textId="4C3EDCE5"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r w:rsidR="001F6C6C" w:rsidRPr="00C12BAA">
              <w:rPr>
                <w:rFonts w:ascii="Calibri" w:hAnsi="Calibri" w:cs="Calibri"/>
                <w:color w:val="000000"/>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D6879" w14:textId="32A78D8B"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0.0</w:t>
            </w:r>
            <w:r w:rsidR="001F6C6C" w:rsidRPr="00C12BAA">
              <w:rPr>
                <w:rFonts w:ascii="Calibri" w:hAnsi="Calibri" w:cs="Calibri"/>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BD20"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497D664A"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1B0ADAF5"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58C89"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2028</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5C7C" w14:textId="22AD1589"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r w:rsidR="001F6C6C" w:rsidRPr="00C12BAA">
              <w:rPr>
                <w:rFonts w:ascii="Calibri" w:hAnsi="Calibri" w:cs="Calibri"/>
                <w:color w:val="000000"/>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1A60F" w14:textId="60EDDD98"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0.0</w:t>
            </w:r>
            <w:r w:rsidR="001F6C6C" w:rsidRPr="00C12BAA">
              <w:rPr>
                <w:rFonts w:ascii="Calibri" w:hAnsi="Calibri" w:cs="Calibri"/>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C834F"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27B66343"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379F8F46"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EA5C6"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2029</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5C52" w14:textId="651FE22A"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r w:rsidR="001F6C6C" w:rsidRPr="00C12BAA">
              <w:rPr>
                <w:rFonts w:ascii="Calibri" w:hAnsi="Calibri" w:cs="Calibri"/>
                <w:color w:val="000000"/>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482E5" w14:textId="205AF0BB"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0.0</w:t>
            </w:r>
            <w:r w:rsidR="001F6C6C" w:rsidRPr="00C12BAA">
              <w:rPr>
                <w:rFonts w:ascii="Calibri" w:hAnsi="Calibri" w:cs="Calibri"/>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E3B25"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2D6FDDDF"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4A7B0536"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5368"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2030</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4BAF7" w14:textId="13344458"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r w:rsidR="001F6C6C" w:rsidRPr="00C12BAA">
              <w:rPr>
                <w:rFonts w:ascii="Calibri" w:hAnsi="Calibri" w:cs="Calibri"/>
                <w:color w:val="000000"/>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544B5" w14:textId="5BD1E79C"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0.0</w:t>
            </w:r>
            <w:r w:rsidR="001F6C6C" w:rsidRPr="00C12BAA">
              <w:rPr>
                <w:rFonts w:ascii="Calibri" w:hAnsi="Calibri" w:cs="Calibri"/>
              </w:rPr>
              <w:t>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9CFAF"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2C015733"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377CF8E1"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3BF9B"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Early Action Allowances</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A9918" w14:textId="6AF9C4EF"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r w:rsidR="001F6C6C" w:rsidRPr="00C12BAA">
              <w:rPr>
                <w:rFonts w:ascii="Calibri" w:hAnsi="Calibri" w:cs="Calibri"/>
                <w:color w:val="000000"/>
              </w:rPr>
              <w:t>2</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FE3E4" w14:textId="1EAF35EC"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0.0</w:t>
            </w:r>
            <w:r w:rsidR="001F6C6C" w:rsidRPr="00C12BAA">
              <w:rPr>
                <w:rFonts w:ascii="Calibri" w:hAnsi="Calibri" w:cs="Calibri"/>
              </w:rPr>
              <w:t>2</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6882F"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40632B32"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4443C6AB" w14:textId="77777777" w:rsidTr="00766DCE">
        <w:trPr>
          <w:trHeight w:val="317"/>
        </w:trPr>
        <w:tc>
          <w:tcPr>
            <w:tcW w:w="1703"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648FCD" w14:textId="77777777" w:rsidR="00EA6A10" w:rsidRPr="00C12BAA" w:rsidRDefault="00EA6A10" w:rsidP="00B472F8">
            <w:pPr>
              <w:spacing w:before="60" w:after="60" w:line="240" w:lineRule="auto"/>
              <w:rPr>
                <w:rFonts w:ascii="Calibri" w:hAnsi="Calibri" w:cs="Calibri"/>
                <w:b/>
                <w:bCs/>
                <w:color w:val="000000"/>
              </w:rPr>
            </w:pPr>
            <w:r w:rsidRPr="00C12BAA">
              <w:rPr>
                <w:rFonts w:ascii="Calibri" w:hAnsi="Calibri" w:cs="Calibri"/>
                <w:b/>
                <w:bCs/>
                <w:color w:val="000000"/>
              </w:rPr>
              <w:t>APCR Allowances</w:t>
            </w:r>
          </w:p>
        </w:tc>
        <w:tc>
          <w:tcPr>
            <w:tcW w:w="825"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CED90ED" w14:textId="5ADB0C7F"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r w:rsidR="001F6C6C" w:rsidRPr="00C12BAA">
              <w:rPr>
                <w:rFonts w:ascii="Calibri" w:hAnsi="Calibri" w:cs="Calibri"/>
                <w:color w:val="000000"/>
              </w:rPr>
              <w:t>4</w:t>
            </w:r>
          </w:p>
        </w:tc>
        <w:tc>
          <w:tcPr>
            <w:tcW w:w="824"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0DDABB1" w14:textId="42B467F1" w:rsidR="00EA6A10" w:rsidRPr="00C12BAA" w:rsidRDefault="00EA6A10" w:rsidP="00B472F8">
            <w:pPr>
              <w:spacing w:before="60" w:after="60" w:line="240" w:lineRule="auto"/>
              <w:jc w:val="right"/>
              <w:rPr>
                <w:rFonts w:ascii="Calibri" w:hAnsi="Calibri" w:cs="Calibri"/>
              </w:rPr>
            </w:pPr>
            <w:r w:rsidRPr="00C12BAA">
              <w:rPr>
                <w:rFonts w:ascii="Calibri" w:hAnsi="Calibri" w:cs="Calibri"/>
              </w:rPr>
              <w:t>0.0</w:t>
            </w:r>
            <w:r w:rsidR="001F6C6C" w:rsidRPr="00C12BAA">
              <w:rPr>
                <w:rFonts w:ascii="Calibri" w:hAnsi="Calibri" w:cs="Calibri"/>
              </w:rPr>
              <w:t>4</w:t>
            </w:r>
          </w:p>
        </w:tc>
        <w:tc>
          <w:tcPr>
            <w:tcW w:w="824"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31065BD"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double" w:sz="4" w:space="0" w:color="auto"/>
              <w:right w:val="single" w:sz="4" w:space="0" w:color="auto"/>
            </w:tcBorders>
            <w:vAlign w:val="center"/>
          </w:tcPr>
          <w:p w14:paraId="371BE598"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0.0%</w:t>
            </w:r>
          </w:p>
        </w:tc>
      </w:tr>
      <w:tr w:rsidR="00EA6A10" w:rsidRPr="00C12BAA" w14:paraId="75E3F46F" w14:textId="77777777" w:rsidTr="00766DCE">
        <w:trPr>
          <w:trHeight w:val="317"/>
        </w:trPr>
        <w:tc>
          <w:tcPr>
            <w:tcW w:w="1703" w:type="pct"/>
            <w:tcBorders>
              <w:top w:val="double" w:sz="4" w:space="0" w:color="auto"/>
              <w:left w:val="single" w:sz="4" w:space="0" w:color="auto"/>
              <w:bottom w:val="single" w:sz="4" w:space="0" w:color="auto"/>
              <w:right w:val="single" w:sz="4" w:space="0" w:color="auto"/>
            </w:tcBorders>
            <w:shd w:val="clear" w:color="auto" w:fill="auto"/>
            <w:noWrap/>
            <w:vAlign w:val="center"/>
          </w:tcPr>
          <w:p w14:paraId="77296EC7" w14:textId="6471EB81" w:rsidR="00EA6A10" w:rsidRPr="00C12BAA" w:rsidRDefault="00B472F8" w:rsidP="00B472F8">
            <w:pPr>
              <w:spacing w:before="60" w:after="60" w:line="240" w:lineRule="auto"/>
              <w:rPr>
                <w:rFonts w:ascii="Calibri" w:hAnsi="Calibri" w:cs="Calibri"/>
                <w:b/>
                <w:bCs/>
                <w:color w:val="000000"/>
              </w:rPr>
            </w:pPr>
            <w:r>
              <w:rPr>
                <w:rFonts w:ascii="Calibri" w:hAnsi="Calibri" w:cs="Calibri"/>
                <w:b/>
                <w:bCs/>
                <w:color w:val="000000"/>
              </w:rPr>
              <w:t>T</w:t>
            </w:r>
            <w:r w:rsidR="00EA6A10" w:rsidRPr="00C12BAA">
              <w:rPr>
                <w:rFonts w:ascii="Calibri" w:hAnsi="Calibri" w:cs="Calibri"/>
                <w:b/>
                <w:bCs/>
                <w:color w:val="000000"/>
              </w:rPr>
              <w:t>otal</w:t>
            </w:r>
          </w:p>
        </w:tc>
        <w:tc>
          <w:tcPr>
            <w:tcW w:w="825" w:type="pct"/>
            <w:tcBorders>
              <w:top w:val="double" w:sz="4" w:space="0" w:color="auto"/>
              <w:left w:val="single" w:sz="4" w:space="0" w:color="auto"/>
              <w:bottom w:val="single" w:sz="4" w:space="0" w:color="auto"/>
              <w:right w:val="single" w:sz="4" w:space="0" w:color="auto"/>
            </w:tcBorders>
            <w:shd w:val="clear" w:color="auto" w:fill="auto"/>
            <w:noWrap/>
            <w:vAlign w:val="center"/>
          </w:tcPr>
          <w:p w14:paraId="0B8BAE46" w14:textId="77777777"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895.18</w:t>
            </w:r>
          </w:p>
        </w:tc>
        <w:tc>
          <w:tcPr>
            <w:tcW w:w="824" w:type="pct"/>
            <w:tcBorders>
              <w:top w:val="double" w:sz="4" w:space="0" w:color="auto"/>
              <w:left w:val="single" w:sz="4" w:space="0" w:color="auto"/>
              <w:bottom w:val="single" w:sz="4" w:space="0" w:color="auto"/>
              <w:right w:val="single" w:sz="4" w:space="0" w:color="auto"/>
            </w:tcBorders>
            <w:shd w:val="clear" w:color="auto" w:fill="auto"/>
            <w:noWrap/>
            <w:vAlign w:val="center"/>
          </w:tcPr>
          <w:p w14:paraId="08A96F27" w14:textId="16232D9C"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89</w:t>
            </w:r>
            <w:r w:rsidR="000E4B11" w:rsidRPr="00C12BAA">
              <w:rPr>
                <w:rFonts w:ascii="Calibri" w:hAnsi="Calibri" w:cs="Calibri"/>
                <w:color w:val="000000"/>
              </w:rPr>
              <w:t>7.8</w:t>
            </w:r>
            <w:r w:rsidR="00BF0457" w:rsidRPr="00C12BAA">
              <w:rPr>
                <w:rFonts w:ascii="Calibri" w:hAnsi="Calibri" w:cs="Calibri"/>
                <w:color w:val="000000"/>
              </w:rPr>
              <w:t>8</w:t>
            </w:r>
          </w:p>
        </w:tc>
        <w:tc>
          <w:tcPr>
            <w:tcW w:w="824" w:type="pct"/>
            <w:tcBorders>
              <w:top w:val="double" w:sz="4" w:space="0" w:color="auto"/>
              <w:left w:val="single" w:sz="4" w:space="0" w:color="auto"/>
              <w:bottom w:val="single" w:sz="4" w:space="0" w:color="auto"/>
              <w:right w:val="single" w:sz="4" w:space="0" w:color="auto"/>
            </w:tcBorders>
            <w:shd w:val="clear" w:color="auto" w:fill="auto"/>
            <w:noWrap/>
            <w:vAlign w:val="center"/>
          </w:tcPr>
          <w:p w14:paraId="6719D5BA" w14:textId="5E99881F" w:rsidR="00EA6A10" w:rsidRPr="00C12BAA" w:rsidRDefault="00F04713"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8F2C21" w:rsidRPr="00C12BAA">
              <w:rPr>
                <w:rFonts w:ascii="Calibri" w:hAnsi="Calibri" w:cs="Calibri"/>
                <w:color w:val="000000"/>
              </w:rPr>
              <w:t>2.</w:t>
            </w:r>
            <w:r w:rsidR="00BF0457" w:rsidRPr="00C12BAA">
              <w:rPr>
                <w:rFonts w:ascii="Calibri" w:hAnsi="Calibri" w:cs="Calibri"/>
                <w:color w:val="000000"/>
              </w:rPr>
              <w:t>70</w:t>
            </w:r>
          </w:p>
        </w:tc>
        <w:tc>
          <w:tcPr>
            <w:tcW w:w="824" w:type="pct"/>
            <w:tcBorders>
              <w:top w:val="double" w:sz="4" w:space="0" w:color="auto"/>
              <w:left w:val="single" w:sz="4" w:space="0" w:color="auto"/>
              <w:bottom w:val="single" w:sz="4" w:space="0" w:color="auto"/>
              <w:right w:val="single" w:sz="4" w:space="0" w:color="auto"/>
            </w:tcBorders>
            <w:vAlign w:val="center"/>
          </w:tcPr>
          <w:p w14:paraId="65292100" w14:textId="4307EDEB" w:rsidR="00EA6A10" w:rsidRPr="00C12BAA" w:rsidRDefault="00BF0457" w:rsidP="00B472F8">
            <w:pPr>
              <w:spacing w:before="60" w:after="60" w:line="240" w:lineRule="auto"/>
              <w:jc w:val="right"/>
              <w:rPr>
                <w:rFonts w:ascii="Calibri" w:hAnsi="Calibri" w:cs="Calibri"/>
                <w:color w:val="000000"/>
              </w:rPr>
            </w:pPr>
            <w:r w:rsidRPr="00C12BAA">
              <w:rPr>
                <w:rFonts w:ascii="Calibri" w:hAnsi="Calibri" w:cs="Calibri"/>
                <w:color w:val="000000"/>
              </w:rPr>
              <w:t>-</w:t>
            </w:r>
            <w:r w:rsidR="00EA6A10" w:rsidRPr="00C12BAA">
              <w:rPr>
                <w:rFonts w:ascii="Calibri" w:hAnsi="Calibri" w:cs="Calibri"/>
                <w:color w:val="000000"/>
              </w:rPr>
              <w:t>0.</w:t>
            </w:r>
            <w:r w:rsidR="00C90EBB" w:rsidRPr="00C12BAA">
              <w:rPr>
                <w:rFonts w:ascii="Calibri" w:hAnsi="Calibri" w:cs="Calibri"/>
                <w:color w:val="000000"/>
              </w:rPr>
              <w:t>3</w:t>
            </w:r>
            <w:r w:rsidR="00EA6A10" w:rsidRPr="00C12BAA">
              <w:rPr>
                <w:rFonts w:ascii="Calibri" w:hAnsi="Calibri" w:cs="Calibri"/>
                <w:color w:val="000000"/>
              </w:rPr>
              <w:t>%</w:t>
            </w:r>
          </w:p>
        </w:tc>
      </w:tr>
      <w:tr w:rsidR="00EA6A10" w:rsidRPr="00C12BAA" w14:paraId="2EFA079F" w14:textId="77777777" w:rsidTr="00766DCE">
        <w:trPr>
          <w:trHeight w:val="317"/>
        </w:trPr>
        <w:tc>
          <w:tcPr>
            <w:tcW w:w="17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534B2" w14:textId="0C4085AD" w:rsidR="00EA6A10" w:rsidRPr="00C12BAA" w:rsidRDefault="00B472F8" w:rsidP="00B472F8">
            <w:pPr>
              <w:spacing w:before="60" w:after="60" w:line="240" w:lineRule="auto"/>
              <w:rPr>
                <w:rFonts w:ascii="Calibri" w:hAnsi="Calibri" w:cs="Calibri"/>
                <w:b/>
                <w:bCs/>
                <w:color w:val="000000"/>
              </w:rPr>
            </w:pPr>
            <w:r>
              <w:rPr>
                <w:rFonts w:ascii="Calibri" w:hAnsi="Calibri" w:cs="Calibri"/>
                <w:b/>
                <w:bCs/>
                <w:color w:val="000000"/>
              </w:rPr>
              <w:t>A</w:t>
            </w:r>
            <w:r w:rsidR="00EA6A10" w:rsidRPr="00C12BAA">
              <w:rPr>
                <w:rFonts w:ascii="Calibri" w:hAnsi="Calibri" w:cs="Calibri"/>
                <w:b/>
                <w:bCs/>
                <w:color w:val="000000"/>
              </w:rPr>
              <w:t>verage absolute difference (vintages ≤ 2018)</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35992" w14:textId="77777777" w:rsidR="00EA6A10" w:rsidRPr="00C12BAA" w:rsidRDefault="00EA6A10" w:rsidP="00B472F8">
            <w:pPr>
              <w:spacing w:before="60" w:after="60" w:line="240" w:lineRule="auto"/>
              <w:jc w:val="right"/>
              <w:rPr>
                <w:rFonts w:ascii="Calibri" w:hAnsi="Calibri" w:cs="Calibri"/>
                <w:color w:val="000000"/>
              </w:rPr>
            </w:pP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05C3" w14:textId="77777777" w:rsidR="00EA6A10" w:rsidRPr="00C12BAA" w:rsidRDefault="00EA6A10" w:rsidP="00B472F8">
            <w:pPr>
              <w:spacing w:before="60" w:after="60" w:line="240" w:lineRule="auto"/>
              <w:jc w:val="right"/>
              <w:rPr>
                <w:rFonts w:ascii="Calibri" w:hAnsi="Calibri" w:cs="Calibri"/>
              </w:rPr>
            </w:pP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9EDDF" w14:textId="6E14D656" w:rsidR="00EA6A10" w:rsidRPr="00C12BAA" w:rsidRDefault="00EA6A10" w:rsidP="00B472F8">
            <w:pPr>
              <w:spacing w:before="60" w:after="60" w:line="240" w:lineRule="auto"/>
              <w:jc w:val="right"/>
              <w:rPr>
                <w:rFonts w:ascii="Calibri" w:hAnsi="Calibri" w:cs="Calibri"/>
                <w:color w:val="000000"/>
              </w:rPr>
            </w:pPr>
            <w:r w:rsidRPr="00C12BAA">
              <w:rPr>
                <w:rFonts w:ascii="Calibri" w:hAnsi="Calibri" w:cs="Calibri"/>
                <w:color w:val="000000"/>
              </w:rPr>
              <w:t>0.</w:t>
            </w:r>
            <w:r w:rsidR="000E4B11" w:rsidRPr="00C12BAA">
              <w:rPr>
                <w:rFonts w:ascii="Calibri" w:hAnsi="Calibri" w:cs="Calibri"/>
                <w:color w:val="000000"/>
              </w:rPr>
              <w:t>31</w:t>
            </w:r>
          </w:p>
        </w:tc>
        <w:tc>
          <w:tcPr>
            <w:tcW w:w="824" w:type="pct"/>
            <w:tcBorders>
              <w:top w:val="single" w:sz="4" w:space="0" w:color="auto"/>
              <w:left w:val="single" w:sz="4" w:space="0" w:color="auto"/>
              <w:bottom w:val="single" w:sz="4" w:space="0" w:color="auto"/>
              <w:right w:val="single" w:sz="4" w:space="0" w:color="auto"/>
            </w:tcBorders>
            <w:vAlign w:val="center"/>
          </w:tcPr>
          <w:p w14:paraId="29474A4C" w14:textId="77777777" w:rsidR="00EA6A10" w:rsidRPr="00C12BAA" w:rsidRDefault="00EA6A10" w:rsidP="00B472F8">
            <w:pPr>
              <w:spacing w:before="60" w:after="60" w:line="240" w:lineRule="auto"/>
              <w:jc w:val="right"/>
              <w:rPr>
                <w:rFonts w:ascii="Calibri" w:hAnsi="Calibri" w:cs="Calibri"/>
                <w:color w:val="000000"/>
              </w:rPr>
            </w:pPr>
          </w:p>
        </w:tc>
      </w:tr>
    </w:tbl>
    <w:p w14:paraId="1BC49BF0" w14:textId="2570A132" w:rsidR="00EA6A10" w:rsidRDefault="00EA6A10" w:rsidP="00EA6A10">
      <w:pPr>
        <w:rPr>
          <w:rFonts w:ascii="Calibri" w:hAnsi="Calibri" w:cs="Calibri"/>
          <w:i/>
          <w:iCs/>
        </w:rPr>
      </w:pPr>
      <w:r w:rsidRPr="00C12BAA">
        <w:rPr>
          <w:rFonts w:ascii="Calibri" w:hAnsi="Calibri" w:cs="Calibri"/>
          <w:i/>
          <w:iCs/>
        </w:rPr>
        <w:br w:type="page"/>
      </w:r>
    </w:p>
    <w:p w14:paraId="3DAEE907" w14:textId="4BBE77AC" w:rsidR="00D54F6F" w:rsidRPr="00D54F6F" w:rsidRDefault="00B472F8" w:rsidP="00A42B13">
      <w:pPr>
        <w:pStyle w:val="Figurecaption"/>
        <w:spacing w:after="240" w:line="288" w:lineRule="auto"/>
        <w:jc w:val="both"/>
        <w:rPr>
          <w:rFonts w:ascii="Calibri" w:hAnsi="Calibri" w:cs="Calibri"/>
        </w:rPr>
      </w:pPr>
      <w:r w:rsidRPr="00B472F8">
        <w:rPr>
          <w:rFonts w:ascii="Calibri" w:hAnsi="Calibri" w:cs="Calibri"/>
          <w:b/>
        </w:rPr>
        <w:lastRenderedPageBreak/>
        <w:t>Table S</w:t>
      </w:r>
      <w:r>
        <w:rPr>
          <w:rFonts w:ascii="Calibri" w:hAnsi="Calibri" w:cs="Calibri"/>
          <w:b/>
        </w:rPr>
        <w:t>-</w:t>
      </w:r>
      <w:r w:rsidRPr="00B472F8">
        <w:rPr>
          <w:rFonts w:ascii="Calibri" w:hAnsi="Calibri" w:cs="Calibri"/>
          <w:b/>
        </w:rPr>
        <w:t>3.</w:t>
      </w:r>
      <w:r w:rsidRPr="00C12BAA">
        <w:rPr>
          <w:rFonts w:ascii="Calibri" w:hAnsi="Calibri" w:cs="Calibri"/>
        </w:rPr>
        <w:t xml:space="preserve"> Allowances in Government Holding Accounts in WCI-RULES results compared with the Compliance Instrument Report (CIR), for Q2 2019. All units, except for percentage differences, are metric tons of carbon dioxide-equivalent (MMtCO</w:t>
      </w:r>
      <w:r w:rsidRPr="00C12BAA">
        <w:rPr>
          <w:rFonts w:ascii="Calibri" w:hAnsi="Calibri" w:cs="Calibri"/>
          <w:vertAlign w:val="subscript"/>
        </w:rPr>
        <w:t>2</w:t>
      </w:r>
      <w:r w:rsidRPr="00C12BAA">
        <w:rPr>
          <w:rFonts w:ascii="Calibri" w:hAnsi="Calibri" w:cs="Calibri"/>
        </w:rPr>
        <w:t>e).</w:t>
      </w:r>
    </w:p>
    <w:tbl>
      <w:tblPr>
        <w:tblW w:w="4953" w:type="pct"/>
        <w:tblLayout w:type="fixed"/>
        <w:tblLook w:val="04A0" w:firstRow="1" w:lastRow="0" w:firstColumn="1" w:lastColumn="0" w:noHBand="0" w:noVBand="1"/>
      </w:tblPr>
      <w:tblGrid>
        <w:gridCol w:w="3157"/>
        <w:gridCol w:w="1528"/>
        <w:gridCol w:w="1526"/>
        <w:gridCol w:w="1526"/>
        <w:gridCol w:w="1525"/>
      </w:tblGrid>
      <w:tr w:rsidR="00D54F6F" w:rsidRPr="00C12BAA" w14:paraId="6DE891FF" w14:textId="77777777" w:rsidTr="000F77AF">
        <w:trPr>
          <w:trHeight w:val="530"/>
        </w:trPr>
        <w:tc>
          <w:tcPr>
            <w:tcW w:w="1704" w:type="pct"/>
            <w:tcBorders>
              <w:top w:val="single" w:sz="4" w:space="0" w:color="000000"/>
              <w:left w:val="single" w:sz="4" w:space="0" w:color="000000"/>
              <w:bottom w:val="double" w:sz="4" w:space="0" w:color="auto"/>
              <w:right w:val="single" w:sz="4" w:space="0" w:color="auto"/>
            </w:tcBorders>
            <w:shd w:val="clear" w:color="auto" w:fill="auto"/>
            <w:vAlign w:val="bottom"/>
            <w:hideMark/>
          </w:tcPr>
          <w:p w14:paraId="7CCE95ED" w14:textId="77777777" w:rsidR="00D54F6F" w:rsidRPr="00C12BAA" w:rsidRDefault="00D54F6F" w:rsidP="000F77AF">
            <w:pPr>
              <w:spacing w:before="60" w:after="60" w:line="240" w:lineRule="auto"/>
              <w:jc w:val="center"/>
              <w:rPr>
                <w:rFonts w:ascii="Calibri" w:hAnsi="Calibri" w:cs="Calibri"/>
                <w:color w:val="000000"/>
              </w:rPr>
            </w:pPr>
            <w:r>
              <w:rPr>
                <w:rFonts w:ascii="Calibri" w:hAnsi="Calibri" w:cs="Calibri"/>
                <w:b/>
                <w:bCs/>
                <w:color w:val="000000"/>
              </w:rPr>
              <w:t>Vintage</w:t>
            </w:r>
          </w:p>
        </w:tc>
        <w:tc>
          <w:tcPr>
            <w:tcW w:w="825" w:type="pct"/>
            <w:tcBorders>
              <w:top w:val="single" w:sz="4" w:space="0" w:color="000000"/>
              <w:left w:val="nil"/>
              <w:bottom w:val="double" w:sz="4" w:space="0" w:color="auto"/>
              <w:right w:val="single" w:sz="4" w:space="0" w:color="auto"/>
            </w:tcBorders>
            <w:shd w:val="clear" w:color="auto" w:fill="auto"/>
            <w:vAlign w:val="bottom"/>
            <w:hideMark/>
          </w:tcPr>
          <w:p w14:paraId="1C5AA899" w14:textId="77777777" w:rsidR="00D54F6F" w:rsidRPr="00C12BAA" w:rsidRDefault="00D54F6F" w:rsidP="000F77AF">
            <w:pPr>
              <w:spacing w:before="60" w:after="60" w:line="240" w:lineRule="auto"/>
              <w:jc w:val="center"/>
              <w:rPr>
                <w:rFonts w:ascii="Calibri" w:hAnsi="Calibri" w:cs="Calibri"/>
                <w:b/>
                <w:bCs/>
                <w:color w:val="000000"/>
              </w:rPr>
            </w:pPr>
            <w:r w:rsidRPr="00C12BAA">
              <w:rPr>
                <w:rFonts w:ascii="Calibri" w:hAnsi="Calibri" w:cs="Calibri"/>
                <w:b/>
                <w:bCs/>
                <w:color w:val="000000"/>
              </w:rPr>
              <w:t>CIR</w:t>
            </w:r>
          </w:p>
        </w:tc>
        <w:tc>
          <w:tcPr>
            <w:tcW w:w="824" w:type="pct"/>
            <w:tcBorders>
              <w:top w:val="single" w:sz="4" w:space="0" w:color="000000"/>
              <w:left w:val="single" w:sz="4" w:space="0" w:color="auto"/>
              <w:bottom w:val="double" w:sz="4" w:space="0" w:color="auto"/>
              <w:right w:val="single" w:sz="4" w:space="0" w:color="auto"/>
            </w:tcBorders>
            <w:shd w:val="clear" w:color="auto" w:fill="auto"/>
            <w:vAlign w:val="bottom"/>
            <w:hideMark/>
          </w:tcPr>
          <w:p w14:paraId="5D02C707" w14:textId="77777777" w:rsidR="00D54F6F" w:rsidRPr="00C12BAA" w:rsidRDefault="00D54F6F" w:rsidP="000F77AF">
            <w:pPr>
              <w:spacing w:before="60" w:after="60" w:line="240" w:lineRule="auto"/>
              <w:jc w:val="center"/>
              <w:rPr>
                <w:rFonts w:ascii="Calibri" w:hAnsi="Calibri" w:cs="Calibri"/>
                <w:b/>
                <w:bCs/>
                <w:color w:val="000000"/>
              </w:rPr>
            </w:pPr>
            <w:r w:rsidRPr="00C12BAA">
              <w:rPr>
                <w:rFonts w:ascii="Calibri" w:hAnsi="Calibri" w:cs="Calibri"/>
                <w:b/>
                <w:bCs/>
                <w:color w:val="000000"/>
              </w:rPr>
              <w:t>WCI-RULES</w:t>
            </w:r>
          </w:p>
        </w:tc>
        <w:tc>
          <w:tcPr>
            <w:tcW w:w="824" w:type="pct"/>
            <w:tcBorders>
              <w:top w:val="single" w:sz="4" w:space="0" w:color="000000"/>
              <w:left w:val="single" w:sz="4" w:space="0" w:color="auto"/>
              <w:bottom w:val="double" w:sz="4" w:space="0" w:color="auto"/>
              <w:right w:val="single" w:sz="4" w:space="0" w:color="auto"/>
            </w:tcBorders>
            <w:shd w:val="clear" w:color="auto" w:fill="auto"/>
            <w:vAlign w:val="bottom"/>
            <w:hideMark/>
          </w:tcPr>
          <w:p w14:paraId="4E9A4264" w14:textId="77777777" w:rsidR="00D54F6F" w:rsidRPr="00C12BAA" w:rsidRDefault="00D54F6F" w:rsidP="000F77AF">
            <w:pPr>
              <w:spacing w:before="60" w:after="60" w:line="240" w:lineRule="auto"/>
              <w:jc w:val="center"/>
              <w:rPr>
                <w:rFonts w:ascii="Calibri" w:hAnsi="Calibri" w:cs="Calibri"/>
                <w:b/>
                <w:bCs/>
                <w:color w:val="000000"/>
              </w:rPr>
            </w:pPr>
            <w:r w:rsidRPr="00C12BAA">
              <w:rPr>
                <w:rFonts w:ascii="Calibri" w:hAnsi="Calibri" w:cs="Calibri"/>
                <w:b/>
                <w:bCs/>
                <w:color w:val="000000"/>
              </w:rPr>
              <w:t>Difference</w:t>
            </w:r>
          </w:p>
        </w:tc>
        <w:tc>
          <w:tcPr>
            <w:tcW w:w="824" w:type="pct"/>
            <w:tcBorders>
              <w:top w:val="single" w:sz="4" w:space="0" w:color="000000"/>
              <w:left w:val="single" w:sz="4" w:space="0" w:color="auto"/>
              <w:bottom w:val="double" w:sz="4" w:space="0" w:color="auto"/>
              <w:right w:val="single" w:sz="4" w:space="0" w:color="auto"/>
            </w:tcBorders>
            <w:vAlign w:val="bottom"/>
          </w:tcPr>
          <w:p w14:paraId="0EF1D0EB" w14:textId="77777777" w:rsidR="00D54F6F" w:rsidRPr="00C12BAA" w:rsidRDefault="00D54F6F" w:rsidP="000F77AF">
            <w:pPr>
              <w:spacing w:before="60" w:after="60" w:line="240" w:lineRule="auto"/>
              <w:jc w:val="center"/>
              <w:rPr>
                <w:rFonts w:ascii="Calibri" w:hAnsi="Calibri" w:cs="Calibri"/>
                <w:b/>
                <w:bCs/>
                <w:color w:val="000000"/>
              </w:rPr>
            </w:pPr>
            <w:r w:rsidRPr="00C12BAA">
              <w:rPr>
                <w:rFonts w:ascii="Calibri" w:hAnsi="Calibri" w:cs="Calibri"/>
                <w:b/>
                <w:bCs/>
                <w:color w:val="000000"/>
              </w:rPr>
              <w:t xml:space="preserve">% </w:t>
            </w:r>
            <w:r>
              <w:rPr>
                <w:rFonts w:ascii="Calibri" w:hAnsi="Calibri" w:cs="Calibri"/>
                <w:b/>
                <w:bCs/>
                <w:color w:val="000000"/>
              </w:rPr>
              <w:t>D</w:t>
            </w:r>
            <w:r w:rsidRPr="00C12BAA">
              <w:rPr>
                <w:rFonts w:ascii="Calibri" w:hAnsi="Calibri" w:cs="Calibri"/>
                <w:b/>
                <w:bCs/>
                <w:color w:val="000000"/>
              </w:rPr>
              <w:t>ifference</w:t>
            </w:r>
          </w:p>
        </w:tc>
      </w:tr>
      <w:tr w:rsidR="00D54F6F" w:rsidRPr="00C12BAA" w14:paraId="20C11E89" w14:textId="77777777" w:rsidTr="000F77AF">
        <w:trPr>
          <w:trHeight w:val="317"/>
        </w:trPr>
        <w:tc>
          <w:tcPr>
            <w:tcW w:w="1704"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E35E08C"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2013</w:t>
            </w:r>
          </w:p>
        </w:tc>
        <w:tc>
          <w:tcPr>
            <w:tcW w:w="825"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F4068B"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0.08</w:t>
            </w:r>
          </w:p>
        </w:tc>
        <w:tc>
          <w:tcPr>
            <w:tcW w:w="824"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3ABD85E"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0.00</w:t>
            </w:r>
          </w:p>
        </w:tc>
        <w:tc>
          <w:tcPr>
            <w:tcW w:w="824"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9847C4"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0.08</w:t>
            </w:r>
          </w:p>
        </w:tc>
        <w:tc>
          <w:tcPr>
            <w:tcW w:w="824" w:type="pct"/>
            <w:tcBorders>
              <w:top w:val="double" w:sz="4" w:space="0" w:color="auto"/>
              <w:left w:val="single" w:sz="4" w:space="0" w:color="auto"/>
              <w:bottom w:val="single" w:sz="4" w:space="0" w:color="auto"/>
              <w:right w:val="single" w:sz="4" w:space="0" w:color="auto"/>
            </w:tcBorders>
            <w:vAlign w:val="center"/>
          </w:tcPr>
          <w:p w14:paraId="57061E31"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100.0%</w:t>
            </w:r>
          </w:p>
        </w:tc>
      </w:tr>
      <w:tr w:rsidR="00D54F6F" w:rsidRPr="00C12BAA" w14:paraId="758CA578"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D345B"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2014</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E3E95"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0.42</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3A476"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8FD8A"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0.42</w:t>
            </w:r>
          </w:p>
        </w:tc>
        <w:tc>
          <w:tcPr>
            <w:tcW w:w="824" w:type="pct"/>
            <w:tcBorders>
              <w:top w:val="single" w:sz="4" w:space="0" w:color="auto"/>
              <w:left w:val="single" w:sz="4" w:space="0" w:color="auto"/>
              <w:bottom w:val="single" w:sz="4" w:space="0" w:color="auto"/>
              <w:right w:val="single" w:sz="4" w:space="0" w:color="auto"/>
            </w:tcBorders>
            <w:vAlign w:val="center"/>
          </w:tcPr>
          <w:p w14:paraId="37B3533A"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100.0%</w:t>
            </w:r>
          </w:p>
        </w:tc>
      </w:tr>
      <w:tr w:rsidR="00D54F6F" w:rsidRPr="00C12BAA" w14:paraId="41B8FE4E"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4DEC9"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2015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397F7"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0.21</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9BB7D"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AA5AA"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0.21</w:t>
            </w:r>
          </w:p>
        </w:tc>
        <w:tc>
          <w:tcPr>
            <w:tcW w:w="824" w:type="pct"/>
            <w:tcBorders>
              <w:top w:val="single" w:sz="4" w:space="0" w:color="auto"/>
              <w:left w:val="single" w:sz="4" w:space="0" w:color="auto"/>
              <w:bottom w:val="single" w:sz="4" w:space="0" w:color="auto"/>
              <w:right w:val="single" w:sz="4" w:space="0" w:color="auto"/>
            </w:tcBorders>
            <w:vAlign w:val="center"/>
          </w:tcPr>
          <w:p w14:paraId="26526352"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100.0%</w:t>
            </w:r>
          </w:p>
        </w:tc>
      </w:tr>
      <w:tr w:rsidR="00D54F6F" w:rsidRPr="00C12BAA" w14:paraId="64D707C9"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0D50B"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2016</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9F79D"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3.66</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D1C2C"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3.45</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EB188"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0.20</w:t>
            </w:r>
          </w:p>
        </w:tc>
        <w:tc>
          <w:tcPr>
            <w:tcW w:w="824" w:type="pct"/>
            <w:tcBorders>
              <w:top w:val="single" w:sz="4" w:space="0" w:color="auto"/>
              <w:left w:val="single" w:sz="4" w:space="0" w:color="auto"/>
              <w:bottom w:val="single" w:sz="4" w:space="0" w:color="auto"/>
              <w:right w:val="single" w:sz="4" w:space="0" w:color="auto"/>
            </w:tcBorders>
            <w:vAlign w:val="center"/>
          </w:tcPr>
          <w:p w14:paraId="26FD7750"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5.5%</w:t>
            </w:r>
          </w:p>
        </w:tc>
      </w:tr>
      <w:tr w:rsidR="00D54F6F" w:rsidRPr="00C12BAA" w14:paraId="3FE39B40"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28E0D"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2017</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4F02"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7.14</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3C1BD"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7.15</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C4A79"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4DB1FA7E"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7B6D08AF"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7BA2C"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2018</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EE3F"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4.62</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9AC92"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4.48</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E3408"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0.14</w:t>
            </w:r>
          </w:p>
        </w:tc>
        <w:tc>
          <w:tcPr>
            <w:tcW w:w="824" w:type="pct"/>
            <w:tcBorders>
              <w:top w:val="single" w:sz="4" w:space="0" w:color="auto"/>
              <w:left w:val="single" w:sz="4" w:space="0" w:color="auto"/>
              <w:bottom w:val="single" w:sz="4" w:space="0" w:color="auto"/>
              <w:right w:val="single" w:sz="4" w:space="0" w:color="auto"/>
            </w:tcBorders>
            <w:vAlign w:val="center"/>
          </w:tcPr>
          <w:p w14:paraId="356EEC53"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3.1%</w:t>
            </w:r>
          </w:p>
        </w:tc>
      </w:tr>
      <w:tr w:rsidR="00D54F6F" w:rsidRPr="00C12BAA" w14:paraId="2F79B25A"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32E4B"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2019</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3AB85"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113.37</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D09A"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112.65</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8222"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0.72</w:t>
            </w:r>
          </w:p>
        </w:tc>
        <w:tc>
          <w:tcPr>
            <w:tcW w:w="824" w:type="pct"/>
            <w:tcBorders>
              <w:top w:val="single" w:sz="4" w:space="0" w:color="auto"/>
              <w:left w:val="single" w:sz="4" w:space="0" w:color="auto"/>
              <w:bottom w:val="single" w:sz="4" w:space="0" w:color="auto"/>
              <w:right w:val="single" w:sz="4" w:space="0" w:color="auto"/>
            </w:tcBorders>
            <w:vAlign w:val="center"/>
          </w:tcPr>
          <w:p w14:paraId="774F1230"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0.6%</w:t>
            </w:r>
          </w:p>
        </w:tc>
      </w:tr>
      <w:tr w:rsidR="00D54F6F" w:rsidRPr="00C12BAA" w14:paraId="0DB8CB05"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BE45C"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2020</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48A11"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338.61</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1968E"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338.61</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97A09"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596B8ACD"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307D12DC"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12B8D"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2021</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0848F"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332.34</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A2E9A"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332.34</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A9CD1"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452ED3B8"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6C0EE2B5"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953AB"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2022</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BA77B"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330.14</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E3CA"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330.14</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38882"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4F28D20B"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4D9B8029"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C3D7B"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2023</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F57BF"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335.54</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61FD7"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335.54</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52B2"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33F15D77"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3B1DBCFF"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08E3E"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2024</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DC934"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322.05</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C79DB"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322.05</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B6F40"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1BD7A691"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08B94946"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84C5D"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2025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681CC"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308.76</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E4C3F"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308.76</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FDE43"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52AE6DDB"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0D06CA24"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A652"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2026</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71D9"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295.28</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9EC6"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295.28</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0DF08"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44690C39"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1109A9B1"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57BFA"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2027</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208CE"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281.89</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784A"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281.89</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B843A"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004C7AA5"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622F61F5"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A30D"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2028</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EF0F5"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268.61</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EE51B"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268.61</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8318C"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01D1A18D"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124B9A87"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DD5A3"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2029</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9B2B2"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255.12</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92065"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255.12</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C9258"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5106F0AA"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2AFC9BB2"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3EEAD"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2030</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678B"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241.77</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33B6"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241.74</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19C77"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056C68C9"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454C511F"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DC9BD"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Early Action Allowances</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13BD7"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17B54"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4FF49"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single" w:sz="4" w:space="0" w:color="auto"/>
              <w:right w:val="single" w:sz="4" w:space="0" w:color="auto"/>
            </w:tcBorders>
            <w:vAlign w:val="center"/>
          </w:tcPr>
          <w:p w14:paraId="72626F14"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0C915618" w14:textId="77777777" w:rsidTr="000F77AF">
        <w:trPr>
          <w:trHeight w:val="317"/>
        </w:trPr>
        <w:tc>
          <w:tcPr>
            <w:tcW w:w="1704"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BD0D9AC" w14:textId="77777777" w:rsidR="00D54F6F" w:rsidRPr="00C12BAA" w:rsidRDefault="00D54F6F" w:rsidP="000F77AF">
            <w:pPr>
              <w:spacing w:before="60" w:after="60" w:line="240" w:lineRule="auto"/>
              <w:rPr>
                <w:rFonts w:ascii="Calibri" w:hAnsi="Calibri" w:cs="Calibri"/>
                <w:b/>
                <w:bCs/>
                <w:color w:val="000000"/>
              </w:rPr>
            </w:pPr>
            <w:r w:rsidRPr="00C12BAA">
              <w:rPr>
                <w:rFonts w:ascii="Calibri" w:hAnsi="Calibri" w:cs="Calibri"/>
                <w:b/>
                <w:bCs/>
                <w:color w:val="000000"/>
              </w:rPr>
              <w:t>APCR Allowances</w:t>
            </w:r>
          </w:p>
        </w:tc>
        <w:tc>
          <w:tcPr>
            <w:tcW w:w="825"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63B52EF"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52.40</w:t>
            </w:r>
          </w:p>
        </w:tc>
        <w:tc>
          <w:tcPr>
            <w:tcW w:w="824"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CE95E30" w14:textId="77777777" w:rsidR="00D54F6F" w:rsidRPr="00C12BAA" w:rsidRDefault="00D54F6F" w:rsidP="000F77AF">
            <w:pPr>
              <w:spacing w:before="60" w:after="60" w:line="240" w:lineRule="auto"/>
              <w:jc w:val="right"/>
              <w:rPr>
                <w:rFonts w:ascii="Calibri" w:hAnsi="Calibri" w:cs="Calibri"/>
              </w:rPr>
            </w:pPr>
            <w:r w:rsidRPr="00C12BAA">
              <w:rPr>
                <w:rFonts w:ascii="Calibri" w:hAnsi="Calibri" w:cs="Calibri"/>
                <w:color w:val="000000"/>
              </w:rPr>
              <w:t>52.40</w:t>
            </w:r>
          </w:p>
        </w:tc>
        <w:tc>
          <w:tcPr>
            <w:tcW w:w="824"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FCF163A"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0.00</w:t>
            </w:r>
          </w:p>
        </w:tc>
        <w:tc>
          <w:tcPr>
            <w:tcW w:w="824" w:type="pct"/>
            <w:tcBorders>
              <w:top w:val="single" w:sz="4" w:space="0" w:color="auto"/>
              <w:left w:val="single" w:sz="4" w:space="0" w:color="auto"/>
              <w:bottom w:val="double" w:sz="4" w:space="0" w:color="auto"/>
              <w:right w:val="single" w:sz="4" w:space="0" w:color="auto"/>
            </w:tcBorders>
            <w:vAlign w:val="center"/>
          </w:tcPr>
          <w:p w14:paraId="06949128"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409B9D10" w14:textId="77777777" w:rsidTr="000F77AF">
        <w:trPr>
          <w:trHeight w:val="317"/>
        </w:trPr>
        <w:tc>
          <w:tcPr>
            <w:tcW w:w="1704" w:type="pct"/>
            <w:tcBorders>
              <w:top w:val="double" w:sz="4" w:space="0" w:color="auto"/>
              <w:left w:val="single" w:sz="4" w:space="0" w:color="auto"/>
              <w:bottom w:val="single" w:sz="4" w:space="0" w:color="auto"/>
              <w:right w:val="single" w:sz="4" w:space="0" w:color="auto"/>
            </w:tcBorders>
            <w:shd w:val="clear" w:color="auto" w:fill="auto"/>
            <w:noWrap/>
            <w:vAlign w:val="center"/>
          </w:tcPr>
          <w:p w14:paraId="3EA090CA" w14:textId="77777777" w:rsidR="00D54F6F" w:rsidRPr="00C12BAA" w:rsidRDefault="00D54F6F" w:rsidP="000F77AF">
            <w:pPr>
              <w:spacing w:before="60" w:after="60" w:line="240" w:lineRule="auto"/>
              <w:rPr>
                <w:rFonts w:ascii="Calibri" w:hAnsi="Calibri" w:cs="Calibri"/>
                <w:b/>
                <w:bCs/>
                <w:color w:val="000000"/>
              </w:rPr>
            </w:pPr>
            <w:r>
              <w:rPr>
                <w:rFonts w:ascii="Calibri" w:hAnsi="Calibri" w:cs="Calibri"/>
                <w:b/>
                <w:bCs/>
                <w:color w:val="000000"/>
              </w:rPr>
              <w:t>T</w:t>
            </w:r>
            <w:r w:rsidRPr="00C12BAA">
              <w:rPr>
                <w:rFonts w:ascii="Calibri" w:hAnsi="Calibri" w:cs="Calibri"/>
                <w:b/>
                <w:bCs/>
                <w:color w:val="000000"/>
              </w:rPr>
              <w:t>otal</w:t>
            </w:r>
          </w:p>
        </w:tc>
        <w:tc>
          <w:tcPr>
            <w:tcW w:w="825" w:type="pct"/>
            <w:tcBorders>
              <w:top w:val="double" w:sz="4" w:space="0" w:color="auto"/>
              <w:left w:val="single" w:sz="4" w:space="0" w:color="auto"/>
              <w:bottom w:val="single" w:sz="4" w:space="0" w:color="auto"/>
              <w:right w:val="single" w:sz="4" w:space="0" w:color="auto"/>
            </w:tcBorders>
            <w:shd w:val="clear" w:color="auto" w:fill="auto"/>
            <w:noWrap/>
            <w:vAlign w:val="center"/>
          </w:tcPr>
          <w:p w14:paraId="30DF6675"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3,492.01</w:t>
            </w:r>
          </w:p>
        </w:tc>
        <w:tc>
          <w:tcPr>
            <w:tcW w:w="824" w:type="pct"/>
            <w:tcBorders>
              <w:top w:val="double" w:sz="4" w:space="0" w:color="auto"/>
              <w:left w:val="single" w:sz="4" w:space="0" w:color="auto"/>
              <w:bottom w:val="single" w:sz="4" w:space="0" w:color="auto"/>
              <w:right w:val="single" w:sz="4" w:space="0" w:color="auto"/>
            </w:tcBorders>
            <w:shd w:val="clear" w:color="auto" w:fill="auto"/>
            <w:noWrap/>
            <w:vAlign w:val="center"/>
          </w:tcPr>
          <w:p w14:paraId="056A5E84"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3,490.24</w:t>
            </w:r>
          </w:p>
        </w:tc>
        <w:tc>
          <w:tcPr>
            <w:tcW w:w="824" w:type="pct"/>
            <w:tcBorders>
              <w:top w:val="double" w:sz="4" w:space="0" w:color="auto"/>
              <w:left w:val="single" w:sz="4" w:space="0" w:color="auto"/>
              <w:bottom w:val="single" w:sz="4" w:space="0" w:color="auto"/>
              <w:right w:val="single" w:sz="4" w:space="0" w:color="auto"/>
            </w:tcBorders>
            <w:shd w:val="clear" w:color="auto" w:fill="auto"/>
            <w:noWrap/>
            <w:vAlign w:val="center"/>
          </w:tcPr>
          <w:p w14:paraId="5CB8906B"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1.77</w:t>
            </w:r>
          </w:p>
        </w:tc>
        <w:tc>
          <w:tcPr>
            <w:tcW w:w="824" w:type="pct"/>
            <w:tcBorders>
              <w:top w:val="double" w:sz="4" w:space="0" w:color="auto"/>
              <w:left w:val="single" w:sz="4" w:space="0" w:color="auto"/>
              <w:bottom w:val="single" w:sz="4" w:space="0" w:color="auto"/>
              <w:right w:val="single" w:sz="4" w:space="0" w:color="auto"/>
            </w:tcBorders>
            <w:vAlign w:val="center"/>
          </w:tcPr>
          <w:p w14:paraId="2F8947FE"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0.0%</w:t>
            </w:r>
          </w:p>
        </w:tc>
      </w:tr>
      <w:tr w:rsidR="00D54F6F" w:rsidRPr="00C12BAA" w14:paraId="4B81C063" w14:textId="77777777" w:rsidTr="000F77AF">
        <w:trPr>
          <w:trHeight w:val="317"/>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534B9" w14:textId="77777777" w:rsidR="00D54F6F" w:rsidRPr="00C12BAA" w:rsidRDefault="00D54F6F" w:rsidP="000F77AF">
            <w:pPr>
              <w:spacing w:before="60" w:after="60" w:line="240" w:lineRule="auto"/>
              <w:rPr>
                <w:rFonts w:ascii="Calibri" w:hAnsi="Calibri" w:cs="Calibri"/>
                <w:b/>
                <w:bCs/>
                <w:color w:val="000000"/>
              </w:rPr>
            </w:pPr>
            <w:r>
              <w:rPr>
                <w:rFonts w:ascii="Calibri" w:hAnsi="Calibri" w:cs="Calibri"/>
                <w:b/>
                <w:bCs/>
                <w:color w:val="000000"/>
              </w:rPr>
              <w:t>A</w:t>
            </w:r>
            <w:r w:rsidRPr="00C12BAA">
              <w:rPr>
                <w:rFonts w:ascii="Calibri" w:hAnsi="Calibri" w:cs="Calibri"/>
                <w:b/>
                <w:bCs/>
                <w:color w:val="000000"/>
              </w:rPr>
              <w:t>verage absolute difference (vintages ≤ 2018)</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462BD" w14:textId="77777777" w:rsidR="00D54F6F" w:rsidRPr="00C12BAA" w:rsidRDefault="00D54F6F" w:rsidP="000F77AF">
            <w:pPr>
              <w:spacing w:before="60" w:after="60" w:line="240" w:lineRule="auto"/>
              <w:jc w:val="right"/>
              <w:rPr>
                <w:rFonts w:ascii="Calibri" w:hAnsi="Calibri" w:cs="Calibri"/>
                <w:color w:val="000000"/>
              </w:rPr>
            </w:pP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ECDC14" w14:textId="77777777" w:rsidR="00D54F6F" w:rsidRPr="00C12BAA" w:rsidRDefault="00D54F6F" w:rsidP="000F77AF">
            <w:pPr>
              <w:spacing w:before="60" w:after="60" w:line="240" w:lineRule="auto"/>
              <w:jc w:val="right"/>
              <w:rPr>
                <w:rFonts w:ascii="Calibri" w:hAnsi="Calibri" w:cs="Calibri"/>
              </w:rPr>
            </w:pP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3C901" w14:textId="77777777" w:rsidR="00D54F6F" w:rsidRPr="00C12BAA" w:rsidRDefault="00D54F6F" w:rsidP="000F77AF">
            <w:pPr>
              <w:spacing w:before="60" w:after="60" w:line="240" w:lineRule="auto"/>
              <w:jc w:val="right"/>
              <w:rPr>
                <w:rFonts w:ascii="Calibri" w:hAnsi="Calibri" w:cs="Calibri"/>
                <w:color w:val="000000"/>
              </w:rPr>
            </w:pPr>
            <w:r w:rsidRPr="00C12BAA">
              <w:rPr>
                <w:rFonts w:ascii="Calibri" w:hAnsi="Calibri" w:cs="Calibri"/>
                <w:color w:val="000000"/>
              </w:rPr>
              <w:t>0.18</w:t>
            </w:r>
          </w:p>
        </w:tc>
        <w:tc>
          <w:tcPr>
            <w:tcW w:w="824" w:type="pct"/>
            <w:tcBorders>
              <w:top w:val="single" w:sz="4" w:space="0" w:color="auto"/>
              <w:left w:val="single" w:sz="4" w:space="0" w:color="auto"/>
              <w:bottom w:val="single" w:sz="4" w:space="0" w:color="auto"/>
              <w:right w:val="single" w:sz="4" w:space="0" w:color="auto"/>
            </w:tcBorders>
            <w:vAlign w:val="center"/>
          </w:tcPr>
          <w:p w14:paraId="3502E7C2" w14:textId="77777777" w:rsidR="00D54F6F" w:rsidRPr="00C12BAA" w:rsidRDefault="00D54F6F" w:rsidP="000F77AF">
            <w:pPr>
              <w:spacing w:before="60" w:after="60" w:line="240" w:lineRule="auto"/>
              <w:jc w:val="right"/>
              <w:rPr>
                <w:rFonts w:ascii="Calibri" w:hAnsi="Calibri" w:cs="Calibri"/>
                <w:color w:val="000000"/>
              </w:rPr>
            </w:pPr>
          </w:p>
        </w:tc>
      </w:tr>
    </w:tbl>
    <w:p w14:paraId="13AF46D1" w14:textId="121D5F7C" w:rsidR="00EA6A10" w:rsidRDefault="00EA6A10" w:rsidP="00EA6A10">
      <w:pPr>
        <w:rPr>
          <w:rFonts w:ascii="Calibri" w:hAnsi="Calibri" w:cs="Calibri"/>
        </w:rPr>
      </w:pPr>
      <w:r w:rsidRPr="00C12BAA">
        <w:rPr>
          <w:rFonts w:ascii="Calibri" w:hAnsi="Calibri" w:cs="Calibri"/>
        </w:rPr>
        <w:br w:type="page"/>
      </w:r>
    </w:p>
    <w:p w14:paraId="135823B9" w14:textId="65693D92" w:rsidR="00BC1DDF" w:rsidRDefault="00921B0B" w:rsidP="00A42B13">
      <w:pPr>
        <w:pStyle w:val="Figurecaption"/>
        <w:spacing w:after="240" w:line="288" w:lineRule="auto"/>
        <w:jc w:val="both"/>
        <w:rPr>
          <w:rFonts w:ascii="Calibri" w:hAnsi="Calibri" w:cs="Calibri"/>
        </w:rPr>
      </w:pPr>
      <w:r w:rsidRPr="00921B0B">
        <w:rPr>
          <w:rFonts w:ascii="Calibri" w:hAnsi="Calibri" w:cs="Calibri"/>
          <w:b/>
        </w:rPr>
        <w:lastRenderedPageBreak/>
        <w:t>Table S</w:t>
      </w:r>
      <w:r>
        <w:rPr>
          <w:rFonts w:ascii="Calibri" w:hAnsi="Calibri" w:cs="Calibri"/>
          <w:b/>
        </w:rPr>
        <w:t>-</w:t>
      </w:r>
      <w:r w:rsidRPr="00921B0B">
        <w:rPr>
          <w:rFonts w:ascii="Calibri" w:hAnsi="Calibri" w:cs="Calibri"/>
          <w:b/>
        </w:rPr>
        <w:t>4.</w:t>
      </w:r>
      <w:r w:rsidRPr="00C12BAA">
        <w:rPr>
          <w:rFonts w:ascii="Calibri" w:hAnsi="Calibri" w:cs="Calibri"/>
        </w:rPr>
        <w:t xml:space="preserve"> Annual Private Bank in WCI-RULES </w:t>
      </w:r>
      <w:r w:rsidR="00BC1DDF">
        <w:rPr>
          <w:rFonts w:ascii="Calibri" w:hAnsi="Calibri" w:cs="Calibri"/>
        </w:rPr>
        <w:t xml:space="preserve">PATHWAYS Scenario </w:t>
      </w:r>
      <w:r w:rsidRPr="00C12BAA">
        <w:rPr>
          <w:rFonts w:ascii="Calibri" w:hAnsi="Calibri" w:cs="Calibri"/>
        </w:rPr>
        <w:t>compared with Cullenward et al., 2019. All differences are calculated as Cullenward et al., 2019 minus WCI-RULES; percentage differences are calculated as the difference divided by Cullenward et al., 2019. All units, except for percentage differences, are metric tons of carbon dioxide-equivalent (MMtCO</w:t>
      </w:r>
      <w:r w:rsidRPr="00C12BAA">
        <w:rPr>
          <w:rFonts w:ascii="Calibri" w:hAnsi="Calibri" w:cs="Calibri"/>
          <w:vertAlign w:val="subscript"/>
        </w:rPr>
        <w:t>2</w:t>
      </w:r>
      <w:r w:rsidRPr="00C12BAA">
        <w:rPr>
          <w:rFonts w:ascii="Calibri" w:hAnsi="Calibri" w:cs="Calibri"/>
        </w:rPr>
        <w:t>e).</w:t>
      </w:r>
    </w:p>
    <w:tbl>
      <w:tblPr>
        <w:tblW w:w="9355" w:type="dxa"/>
        <w:tblLayout w:type="fixed"/>
        <w:tblLook w:val="04A0" w:firstRow="1" w:lastRow="0" w:firstColumn="1" w:lastColumn="0" w:noHBand="0" w:noVBand="1"/>
      </w:tblPr>
      <w:tblGrid>
        <w:gridCol w:w="1615"/>
        <w:gridCol w:w="2525"/>
        <w:gridCol w:w="869"/>
        <w:gridCol w:w="869"/>
        <w:gridCol w:w="869"/>
        <w:gridCol w:w="869"/>
        <w:gridCol w:w="869"/>
        <w:gridCol w:w="870"/>
      </w:tblGrid>
      <w:tr w:rsidR="00BC1DDF" w:rsidRPr="00C12BAA" w14:paraId="40C34AD9" w14:textId="77777777" w:rsidTr="00BC1DDF">
        <w:trPr>
          <w:trHeight w:val="320"/>
        </w:trPr>
        <w:tc>
          <w:tcPr>
            <w:tcW w:w="1615" w:type="dxa"/>
            <w:tcBorders>
              <w:top w:val="single" w:sz="4" w:space="0" w:color="auto"/>
              <w:left w:val="single" w:sz="4" w:space="0" w:color="auto"/>
              <w:bottom w:val="double" w:sz="4" w:space="0" w:color="auto"/>
              <w:right w:val="single" w:sz="4" w:space="0" w:color="auto"/>
            </w:tcBorders>
            <w:shd w:val="clear" w:color="auto" w:fill="auto"/>
            <w:vAlign w:val="bottom"/>
            <w:hideMark/>
          </w:tcPr>
          <w:p w14:paraId="375F32BF" w14:textId="22627AE1" w:rsidR="00BC1DDF" w:rsidRPr="00921B0B" w:rsidRDefault="00BC1DDF" w:rsidP="00BC1DDF">
            <w:pPr>
              <w:spacing w:before="60" w:after="60" w:line="240" w:lineRule="auto"/>
              <w:rPr>
                <w:rFonts w:ascii="Calibri" w:hAnsi="Calibri" w:cs="Calibri"/>
                <w:b/>
              </w:rPr>
            </w:pPr>
            <w:r>
              <w:rPr>
                <w:rFonts w:ascii="Calibri" w:hAnsi="Calibri" w:cs="Calibri"/>
                <w:b/>
              </w:rPr>
              <w:t>Series</w:t>
            </w:r>
          </w:p>
        </w:tc>
        <w:tc>
          <w:tcPr>
            <w:tcW w:w="252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A2A8840" w14:textId="578F130F" w:rsidR="00BC1DDF" w:rsidRPr="00921B0B" w:rsidRDefault="00BC1DDF" w:rsidP="00BC1DDF">
            <w:pPr>
              <w:spacing w:before="60" w:after="60" w:line="240" w:lineRule="auto"/>
              <w:rPr>
                <w:rFonts w:ascii="Calibri" w:hAnsi="Calibri" w:cs="Calibri"/>
                <w:b/>
              </w:rPr>
            </w:pPr>
            <w:r>
              <w:rPr>
                <w:rFonts w:ascii="Calibri" w:hAnsi="Calibri" w:cs="Calibri"/>
                <w:b/>
              </w:rPr>
              <w:t>Source</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CB9E84D" w14:textId="77777777" w:rsidR="00BC1DDF" w:rsidRPr="00C12BAA" w:rsidRDefault="00BC1DDF" w:rsidP="00BC1DDF">
            <w:pPr>
              <w:spacing w:before="60" w:after="60" w:line="240" w:lineRule="auto"/>
              <w:jc w:val="right"/>
              <w:rPr>
                <w:rFonts w:ascii="Calibri" w:hAnsi="Calibri" w:cs="Calibri"/>
                <w:b/>
                <w:bCs/>
                <w:color w:val="000000"/>
              </w:rPr>
            </w:pPr>
            <w:r w:rsidRPr="00C12BAA">
              <w:rPr>
                <w:rFonts w:ascii="Calibri" w:hAnsi="Calibri" w:cs="Calibri"/>
                <w:b/>
                <w:bCs/>
                <w:color w:val="000000"/>
              </w:rPr>
              <w:t>2013</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3119EC5" w14:textId="77777777" w:rsidR="00BC1DDF" w:rsidRPr="00C12BAA" w:rsidRDefault="00BC1DDF" w:rsidP="00BC1DDF">
            <w:pPr>
              <w:spacing w:before="60" w:after="60" w:line="240" w:lineRule="auto"/>
              <w:jc w:val="right"/>
              <w:rPr>
                <w:rFonts w:ascii="Calibri" w:hAnsi="Calibri" w:cs="Calibri"/>
                <w:b/>
                <w:bCs/>
                <w:color w:val="000000"/>
              </w:rPr>
            </w:pPr>
            <w:r w:rsidRPr="00C12BAA">
              <w:rPr>
                <w:rFonts w:ascii="Calibri" w:hAnsi="Calibri" w:cs="Calibri"/>
                <w:b/>
                <w:bCs/>
                <w:color w:val="000000"/>
              </w:rPr>
              <w:t>2014</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604F2BE" w14:textId="77777777" w:rsidR="00BC1DDF" w:rsidRPr="00C12BAA" w:rsidRDefault="00BC1DDF" w:rsidP="00BC1DDF">
            <w:pPr>
              <w:spacing w:before="60" w:after="60" w:line="240" w:lineRule="auto"/>
              <w:jc w:val="right"/>
              <w:rPr>
                <w:rFonts w:ascii="Calibri" w:hAnsi="Calibri" w:cs="Calibri"/>
                <w:b/>
                <w:bCs/>
                <w:color w:val="000000"/>
              </w:rPr>
            </w:pPr>
            <w:r w:rsidRPr="00C12BAA">
              <w:rPr>
                <w:rFonts w:ascii="Calibri" w:hAnsi="Calibri" w:cs="Calibri"/>
                <w:b/>
                <w:bCs/>
                <w:color w:val="000000"/>
              </w:rPr>
              <w:t>2015</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6E10A37" w14:textId="77777777" w:rsidR="00BC1DDF" w:rsidRPr="00C12BAA" w:rsidRDefault="00BC1DDF" w:rsidP="00BC1DDF">
            <w:pPr>
              <w:spacing w:before="60" w:after="60" w:line="240" w:lineRule="auto"/>
              <w:jc w:val="right"/>
              <w:rPr>
                <w:rFonts w:ascii="Calibri" w:hAnsi="Calibri" w:cs="Calibri"/>
                <w:b/>
                <w:bCs/>
                <w:color w:val="000000"/>
              </w:rPr>
            </w:pPr>
            <w:r w:rsidRPr="00C12BAA">
              <w:rPr>
                <w:rFonts w:ascii="Calibri" w:hAnsi="Calibri" w:cs="Calibri"/>
                <w:b/>
                <w:bCs/>
                <w:color w:val="000000"/>
              </w:rPr>
              <w:t>2016</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2519363" w14:textId="77777777" w:rsidR="00BC1DDF" w:rsidRPr="00C12BAA" w:rsidRDefault="00BC1DDF" w:rsidP="00BC1DDF">
            <w:pPr>
              <w:spacing w:before="60" w:after="60" w:line="240" w:lineRule="auto"/>
              <w:jc w:val="right"/>
              <w:rPr>
                <w:rFonts w:ascii="Calibri" w:hAnsi="Calibri" w:cs="Calibri"/>
                <w:b/>
                <w:bCs/>
                <w:color w:val="000000"/>
              </w:rPr>
            </w:pPr>
            <w:r w:rsidRPr="00C12BAA">
              <w:rPr>
                <w:rFonts w:ascii="Calibri" w:hAnsi="Calibri" w:cs="Calibri"/>
                <w:b/>
                <w:bCs/>
                <w:color w:val="000000"/>
              </w:rPr>
              <w:t>2017</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E8FE14F" w14:textId="77777777" w:rsidR="00BC1DDF" w:rsidRPr="00C12BAA" w:rsidRDefault="00BC1DDF" w:rsidP="00BC1DDF">
            <w:pPr>
              <w:spacing w:before="60" w:after="60" w:line="240" w:lineRule="auto"/>
              <w:jc w:val="right"/>
              <w:rPr>
                <w:rFonts w:ascii="Calibri" w:hAnsi="Calibri" w:cs="Calibri"/>
                <w:b/>
                <w:bCs/>
                <w:color w:val="000000"/>
              </w:rPr>
            </w:pPr>
            <w:r w:rsidRPr="00C12BAA">
              <w:rPr>
                <w:rFonts w:ascii="Calibri" w:hAnsi="Calibri" w:cs="Calibri"/>
                <w:b/>
                <w:bCs/>
                <w:color w:val="000000"/>
              </w:rPr>
              <w:t>2018</w:t>
            </w:r>
          </w:p>
        </w:tc>
      </w:tr>
      <w:tr w:rsidR="00BC1DDF" w:rsidRPr="00C12BAA" w14:paraId="507C2548" w14:textId="77777777" w:rsidTr="0000426D">
        <w:trPr>
          <w:trHeight w:val="619"/>
        </w:trPr>
        <w:tc>
          <w:tcPr>
            <w:tcW w:w="1615" w:type="dxa"/>
            <w:vMerge w:val="restart"/>
            <w:tcBorders>
              <w:top w:val="double" w:sz="4" w:space="0" w:color="auto"/>
              <w:left w:val="single" w:sz="4" w:space="0" w:color="auto"/>
              <w:right w:val="single" w:sz="4" w:space="0" w:color="auto"/>
            </w:tcBorders>
            <w:shd w:val="clear" w:color="auto" w:fill="auto"/>
            <w:vAlign w:val="center"/>
            <w:hideMark/>
          </w:tcPr>
          <w:p w14:paraId="1F1B4BB0" w14:textId="05980B8C" w:rsidR="00BC1DDF" w:rsidRPr="00C12BAA" w:rsidRDefault="00BC1DDF" w:rsidP="006909CD">
            <w:pPr>
              <w:suppressAutoHyphens/>
              <w:spacing w:before="60" w:after="60" w:line="240" w:lineRule="auto"/>
              <w:rPr>
                <w:rFonts w:ascii="Calibri" w:hAnsi="Calibri" w:cs="Calibri"/>
                <w:b/>
                <w:bCs/>
                <w:color w:val="000000"/>
              </w:rPr>
            </w:pPr>
            <w:r>
              <w:rPr>
                <w:rFonts w:ascii="Calibri" w:hAnsi="Calibri" w:cs="Calibri"/>
                <w:b/>
                <w:bCs/>
                <w:color w:val="000000"/>
              </w:rPr>
              <w:t>Compliance obligations</w:t>
            </w:r>
          </w:p>
        </w:tc>
        <w:tc>
          <w:tcPr>
            <w:tcW w:w="2525" w:type="dxa"/>
            <w:tcBorders>
              <w:top w:val="double" w:sz="4" w:space="0" w:color="auto"/>
              <w:left w:val="nil"/>
              <w:bottom w:val="single" w:sz="4" w:space="0" w:color="auto"/>
              <w:right w:val="nil"/>
            </w:tcBorders>
            <w:shd w:val="clear" w:color="auto" w:fill="auto"/>
            <w:vAlign w:val="center"/>
            <w:hideMark/>
          </w:tcPr>
          <w:p w14:paraId="75336524" w14:textId="69F00C58" w:rsidR="00BC1DDF" w:rsidRPr="00D54F6F" w:rsidRDefault="00BC1DDF" w:rsidP="00BC1DDF">
            <w:pPr>
              <w:spacing w:before="60" w:after="60" w:line="240" w:lineRule="auto"/>
              <w:rPr>
                <w:rFonts w:ascii="Calibri" w:hAnsi="Calibri" w:cs="Calibri"/>
                <w:bCs/>
                <w:color w:val="000000"/>
              </w:rPr>
            </w:pPr>
            <w:r w:rsidRPr="00D54F6F">
              <w:rPr>
                <w:rFonts w:ascii="Calibri" w:hAnsi="Calibri" w:cs="Calibri"/>
                <w:bCs/>
                <w:color w:val="000000"/>
              </w:rPr>
              <w:t>Cullenward et al. 2019</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FBC1DD9" w14:textId="1F717ACA"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163.4</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ED1ECC3" w14:textId="2B526676"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164.4</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674FA5C" w14:textId="13317870"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397.9</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0B58FA2" w14:textId="6BE623AC"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382.4</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0542F7E" w14:textId="76F36628"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377.2</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8AEAEFF" w14:textId="72A3034A"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379.2</w:t>
            </w:r>
          </w:p>
        </w:tc>
      </w:tr>
      <w:tr w:rsidR="00BC1DDF" w:rsidRPr="00C12BAA" w14:paraId="440857A4" w14:textId="77777777" w:rsidTr="0000426D">
        <w:trPr>
          <w:trHeight w:val="619"/>
        </w:trPr>
        <w:tc>
          <w:tcPr>
            <w:tcW w:w="1615" w:type="dxa"/>
            <w:vMerge/>
            <w:tcBorders>
              <w:left w:val="single" w:sz="4" w:space="0" w:color="auto"/>
              <w:right w:val="single" w:sz="4" w:space="0" w:color="auto"/>
            </w:tcBorders>
            <w:shd w:val="clear" w:color="auto" w:fill="auto"/>
            <w:vAlign w:val="center"/>
            <w:hideMark/>
          </w:tcPr>
          <w:p w14:paraId="45AF2149" w14:textId="77777777" w:rsidR="00BC1DDF" w:rsidRPr="00C12BAA" w:rsidRDefault="00BC1DDF">
            <w:pPr>
              <w:suppressAutoHyphens/>
              <w:spacing w:before="60" w:after="60" w:line="240" w:lineRule="auto"/>
              <w:rPr>
                <w:rFonts w:ascii="Calibri" w:hAnsi="Calibri" w:cs="Calibri"/>
                <w:b/>
                <w:bCs/>
                <w:color w:val="000000"/>
              </w:rPr>
              <w:pPrChange w:id="21" w:author="Danny Cullenward" w:date="2019-09-06T11:55:00Z">
                <w:pPr>
                  <w:spacing w:before="60" w:after="60" w:line="240" w:lineRule="auto"/>
                </w:pPr>
              </w:pPrChange>
            </w:pPr>
          </w:p>
        </w:tc>
        <w:tc>
          <w:tcPr>
            <w:tcW w:w="2525" w:type="dxa"/>
            <w:tcBorders>
              <w:top w:val="single" w:sz="4" w:space="0" w:color="auto"/>
              <w:left w:val="nil"/>
              <w:bottom w:val="single" w:sz="4" w:space="0" w:color="auto"/>
              <w:right w:val="nil"/>
            </w:tcBorders>
            <w:shd w:val="clear" w:color="auto" w:fill="auto"/>
            <w:noWrap/>
            <w:vAlign w:val="center"/>
            <w:hideMark/>
          </w:tcPr>
          <w:p w14:paraId="6A9CB719" w14:textId="529A162C" w:rsidR="00BC1DDF" w:rsidRPr="00D54F6F" w:rsidRDefault="00BC1DDF" w:rsidP="00BC1DDF">
            <w:pPr>
              <w:spacing w:before="60" w:after="60" w:line="240" w:lineRule="auto"/>
              <w:rPr>
                <w:rFonts w:ascii="Calibri" w:hAnsi="Calibri" w:cs="Calibri"/>
                <w:bCs/>
                <w:color w:val="000000"/>
              </w:rPr>
            </w:pPr>
            <w:r w:rsidRPr="00D54F6F">
              <w:rPr>
                <w:rFonts w:ascii="Calibri" w:hAnsi="Calibri" w:cs="Calibri"/>
                <w:bCs/>
                <w:color w:val="000000"/>
              </w:rPr>
              <w:t xml:space="preserve">WCI-RULES </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92229" w14:textId="36CC000F"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163.4</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03DD5" w14:textId="1B732849"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164.4</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10466" w14:textId="2BDD4A91"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397.9</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285BC" w14:textId="6382728B"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382.4</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15E7B" w14:textId="1E711E7B"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377.2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25EB7" w14:textId="74AB224E"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373.2</w:t>
            </w:r>
          </w:p>
        </w:tc>
      </w:tr>
      <w:tr w:rsidR="00BC1DDF" w:rsidRPr="00C12BAA" w14:paraId="52DFDF64" w14:textId="77777777" w:rsidTr="0000426D">
        <w:trPr>
          <w:trHeight w:val="619"/>
        </w:trPr>
        <w:tc>
          <w:tcPr>
            <w:tcW w:w="1615" w:type="dxa"/>
            <w:vMerge/>
            <w:tcBorders>
              <w:left w:val="single" w:sz="4" w:space="0" w:color="auto"/>
              <w:bottom w:val="double" w:sz="4" w:space="0" w:color="auto"/>
              <w:right w:val="single" w:sz="4" w:space="0" w:color="auto"/>
            </w:tcBorders>
            <w:shd w:val="clear" w:color="auto" w:fill="auto"/>
            <w:vAlign w:val="center"/>
            <w:hideMark/>
          </w:tcPr>
          <w:p w14:paraId="0F16FB28" w14:textId="5A22D423" w:rsidR="00BC1DDF" w:rsidRPr="00C12BAA" w:rsidRDefault="00BC1DDF">
            <w:pPr>
              <w:suppressAutoHyphens/>
              <w:spacing w:before="60" w:after="60" w:line="240" w:lineRule="auto"/>
              <w:rPr>
                <w:rFonts w:ascii="Calibri" w:hAnsi="Calibri" w:cs="Calibri"/>
                <w:b/>
                <w:bCs/>
                <w:color w:val="000000"/>
              </w:rPr>
              <w:pPrChange w:id="22" w:author="Danny Cullenward" w:date="2019-09-06T11:55:00Z">
                <w:pPr>
                  <w:spacing w:before="60" w:after="60" w:line="240" w:lineRule="auto"/>
                </w:pPr>
              </w:pPrChange>
            </w:pPr>
          </w:p>
        </w:tc>
        <w:tc>
          <w:tcPr>
            <w:tcW w:w="2525" w:type="dxa"/>
            <w:tcBorders>
              <w:top w:val="single" w:sz="4" w:space="0" w:color="auto"/>
              <w:left w:val="nil"/>
              <w:bottom w:val="double" w:sz="4" w:space="0" w:color="auto"/>
              <w:right w:val="nil"/>
            </w:tcBorders>
            <w:shd w:val="clear" w:color="auto" w:fill="auto"/>
            <w:vAlign w:val="center"/>
            <w:hideMark/>
          </w:tcPr>
          <w:p w14:paraId="7FADF96E" w14:textId="6DA59FB9" w:rsidR="00BC1DDF" w:rsidRPr="00D54F6F" w:rsidRDefault="00BC1DDF" w:rsidP="00BC1DDF">
            <w:pPr>
              <w:spacing w:before="60" w:after="60" w:line="240" w:lineRule="auto"/>
              <w:rPr>
                <w:rFonts w:ascii="Calibri" w:hAnsi="Calibri" w:cs="Calibri"/>
                <w:bCs/>
                <w:color w:val="000000"/>
              </w:rPr>
            </w:pPr>
            <w:r w:rsidRPr="00D54F6F">
              <w:rPr>
                <w:rFonts w:ascii="Calibri" w:hAnsi="Calibri" w:cs="Calibri"/>
                <w:bCs/>
              </w:rPr>
              <w:t>Difference</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046F13D" w14:textId="502D83A6"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0.0</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CA189CD" w14:textId="42E6815B"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0.0</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C3052BD" w14:textId="1FFD5195"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0.0</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4E311A0" w14:textId="542F8C95"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0.0</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27EF6E" w14:textId="3F310699"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0.0</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51933AB" w14:textId="56D6E696"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6.1</w:t>
            </w:r>
          </w:p>
        </w:tc>
      </w:tr>
      <w:tr w:rsidR="00BC1DDF" w:rsidRPr="00C12BAA" w14:paraId="4C5F3FF9" w14:textId="77777777" w:rsidTr="0000426D">
        <w:trPr>
          <w:trHeight w:val="619"/>
        </w:trPr>
        <w:tc>
          <w:tcPr>
            <w:tcW w:w="1615"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7189E8F9" w14:textId="5D9FCC4E" w:rsidR="00BC1DDF" w:rsidRPr="00C12BAA" w:rsidRDefault="00BC1DDF" w:rsidP="006909CD">
            <w:pPr>
              <w:suppressAutoHyphens/>
              <w:spacing w:before="60" w:after="60" w:line="240" w:lineRule="auto"/>
              <w:rPr>
                <w:rFonts w:ascii="Calibri" w:hAnsi="Calibri" w:cs="Calibri"/>
                <w:b/>
                <w:bCs/>
                <w:color w:val="000000"/>
              </w:rPr>
            </w:pPr>
            <w:r>
              <w:rPr>
                <w:rFonts w:ascii="Calibri" w:hAnsi="Calibri" w:cs="Calibri"/>
                <w:b/>
                <w:bCs/>
                <w:color w:val="000000"/>
              </w:rPr>
              <w:t>Annual Private Bank</w:t>
            </w:r>
          </w:p>
        </w:tc>
        <w:tc>
          <w:tcPr>
            <w:tcW w:w="2525" w:type="dxa"/>
            <w:tcBorders>
              <w:top w:val="double" w:sz="4" w:space="0" w:color="auto"/>
              <w:left w:val="nil"/>
              <w:bottom w:val="single" w:sz="4" w:space="0" w:color="auto"/>
              <w:right w:val="nil"/>
            </w:tcBorders>
            <w:shd w:val="clear" w:color="auto" w:fill="auto"/>
            <w:noWrap/>
            <w:vAlign w:val="center"/>
            <w:hideMark/>
          </w:tcPr>
          <w:p w14:paraId="52BB9D01" w14:textId="3603953B" w:rsidR="00BC1DDF" w:rsidRPr="00D54F6F" w:rsidRDefault="00BC1DDF" w:rsidP="0000426D">
            <w:pPr>
              <w:spacing w:before="60" w:after="60" w:line="240" w:lineRule="auto"/>
              <w:rPr>
                <w:rFonts w:ascii="Calibri" w:hAnsi="Calibri" w:cs="Calibri"/>
                <w:bCs/>
                <w:color w:val="000000"/>
              </w:rPr>
            </w:pPr>
            <w:r w:rsidRPr="00D54F6F">
              <w:rPr>
                <w:rFonts w:ascii="Calibri" w:hAnsi="Calibri" w:cs="Calibri"/>
                <w:bCs/>
                <w:color w:val="000000"/>
              </w:rPr>
              <w:t>Cullenward et al. 2019</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28315A5" w14:textId="3FC52973"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11.9</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9E20C17" w14:textId="76DC01CB"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43.1</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FF6D48D" w14:textId="713DC9FF"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106.6</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B452247" w14:textId="6A7B2236"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68.3</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640DDC6" w14:textId="10DC6516"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106.5</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188E8FF" w14:textId="721EACF2"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227.9</w:t>
            </w:r>
          </w:p>
        </w:tc>
      </w:tr>
      <w:tr w:rsidR="00BC1DDF" w:rsidRPr="00C12BAA" w14:paraId="105A4940" w14:textId="77777777" w:rsidTr="0000426D">
        <w:trPr>
          <w:trHeight w:val="619"/>
        </w:trPr>
        <w:tc>
          <w:tcPr>
            <w:tcW w:w="16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261C47" w14:textId="40D978AC" w:rsidR="00BC1DDF" w:rsidRPr="00C12BAA" w:rsidRDefault="00BC1DDF">
            <w:pPr>
              <w:suppressAutoHyphens/>
              <w:spacing w:before="60" w:after="60" w:line="240" w:lineRule="auto"/>
              <w:rPr>
                <w:rFonts w:ascii="Calibri" w:hAnsi="Calibri" w:cs="Calibri"/>
                <w:b/>
                <w:bCs/>
                <w:color w:val="000000"/>
              </w:rPr>
              <w:pPrChange w:id="23" w:author="Danny Cullenward" w:date="2019-09-06T11:55:00Z">
                <w:pPr>
                  <w:spacing w:before="60" w:after="60" w:line="240" w:lineRule="auto"/>
                </w:pPr>
              </w:pPrChange>
            </w:pPr>
          </w:p>
        </w:tc>
        <w:tc>
          <w:tcPr>
            <w:tcW w:w="2525" w:type="dxa"/>
            <w:tcBorders>
              <w:top w:val="single" w:sz="4" w:space="0" w:color="auto"/>
              <w:left w:val="nil"/>
              <w:bottom w:val="single" w:sz="4" w:space="0" w:color="auto"/>
              <w:right w:val="nil"/>
            </w:tcBorders>
            <w:shd w:val="clear" w:color="auto" w:fill="auto"/>
            <w:noWrap/>
            <w:vAlign w:val="center"/>
            <w:hideMark/>
          </w:tcPr>
          <w:p w14:paraId="3A17D46B" w14:textId="5C8C391B" w:rsidR="00BC1DDF" w:rsidRPr="00D54F6F" w:rsidRDefault="00BC1DDF" w:rsidP="00BC1DDF">
            <w:pPr>
              <w:spacing w:before="60" w:after="60" w:line="240" w:lineRule="auto"/>
              <w:rPr>
                <w:rFonts w:ascii="Calibri" w:hAnsi="Calibri" w:cs="Calibri"/>
                <w:bCs/>
                <w:color w:val="000000"/>
              </w:rPr>
            </w:pPr>
            <w:r w:rsidRPr="00D54F6F">
              <w:rPr>
                <w:rFonts w:ascii="Calibri" w:hAnsi="Calibri" w:cs="Calibri"/>
                <w:bCs/>
                <w:color w:val="000000"/>
              </w:rPr>
              <w:t xml:space="preserve">WCI-RULES </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CD3D4" w14:textId="5E4888BE"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12.4</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74662" w14:textId="17686427"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44.2</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3D354" w14:textId="1AD6ED0F"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108.4</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EFA0F" w14:textId="42511777"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69.0</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BE24B" w14:textId="3BFE00DB"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107.0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55712" w14:textId="1A73961F"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235.1</w:t>
            </w:r>
          </w:p>
        </w:tc>
      </w:tr>
      <w:tr w:rsidR="00BC1DDF" w:rsidRPr="00C12BAA" w14:paraId="4F99EE14" w14:textId="77777777" w:rsidTr="0000426D">
        <w:trPr>
          <w:trHeight w:val="619"/>
        </w:trPr>
        <w:tc>
          <w:tcPr>
            <w:tcW w:w="1615"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72B8CB74" w14:textId="77777777" w:rsidR="00BC1DDF" w:rsidRPr="00C12BAA" w:rsidRDefault="00BC1DDF">
            <w:pPr>
              <w:suppressAutoHyphens/>
              <w:spacing w:before="60" w:after="60" w:line="240" w:lineRule="auto"/>
              <w:rPr>
                <w:rFonts w:ascii="Calibri" w:hAnsi="Calibri" w:cs="Calibri"/>
                <w:b/>
                <w:bCs/>
                <w:color w:val="000000"/>
              </w:rPr>
              <w:pPrChange w:id="24" w:author="Danny Cullenward" w:date="2019-09-06T11:55:00Z">
                <w:pPr>
                  <w:spacing w:before="60" w:after="60" w:line="240" w:lineRule="auto"/>
                </w:pPr>
              </w:pPrChange>
            </w:pPr>
          </w:p>
        </w:tc>
        <w:tc>
          <w:tcPr>
            <w:tcW w:w="2525" w:type="dxa"/>
            <w:tcBorders>
              <w:top w:val="single" w:sz="4" w:space="0" w:color="auto"/>
              <w:left w:val="nil"/>
              <w:bottom w:val="double" w:sz="4" w:space="0" w:color="auto"/>
              <w:right w:val="nil"/>
            </w:tcBorders>
            <w:shd w:val="clear" w:color="auto" w:fill="auto"/>
            <w:noWrap/>
            <w:vAlign w:val="center"/>
            <w:hideMark/>
          </w:tcPr>
          <w:p w14:paraId="36620B9D" w14:textId="6AB1C4D8" w:rsidR="00BC1DDF" w:rsidRPr="00D54F6F" w:rsidRDefault="00BC1DDF" w:rsidP="00BC1DDF">
            <w:pPr>
              <w:spacing w:before="60" w:after="60" w:line="240" w:lineRule="auto"/>
              <w:rPr>
                <w:rFonts w:ascii="Calibri" w:hAnsi="Calibri" w:cs="Calibri"/>
                <w:bCs/>
                <w:color w:val="000000"/>
              </w:rPr>
            </w:pPr>
            <w:r w:rsidRPr="00D54F6F">
              <w:rPr>
                <w:rFonts w:ascii="Calibri" w:hAnsi="Calibri" w:cs="Calibri"/>
                <w:bCs/>
              </w:rPr>
              <w:t>Difference</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A646438" w14:textId="1DC872D4"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-0.5</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8659E8C" w14:textId="6E438B28"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-1.1</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803168" w14:textId="303E63A9"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-1.8</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9F446BD" w14:textId="6482140C"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-0.7</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B4A7FF9" w14:textId="6D47FF67"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-0.5</w:t>
            </w:r>
          </w:p>
        </w:tc>
        <w:tc>
          <w:tcPr>
            <w:tcW w:w="87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41C5FF5" w14:textId="7E1DF399"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-7.1</w:t>
            </w:r>
          </w:p>
        </w:tc>
      </w:tr>
      <w:tr w:rsidR="00BC1DDF" w:rsidRPr="00C12BAA" w14:paraId="3849C809" w14:textId="77777777" w:rsidTr="00BC1DDF">
        <w:trPr>
          <w:trHeight w:val="593"/>
        </w:trPr>
        <w:tc>
          <w:tcPr>
            <w:tcW w:w="1615"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5F4F5852" w14:textId="7D09F70E" w:rsidR="00BC1DDF" w:rsidRPr="00C12BAA" w:rsidRDefault="00BC1DDF" w:rsidP="006909CD">
            <w:pPr>
              <w:suppressAutoHyphens/>
              <w:spacing w:before="60" w:after="60" w:line="240" w:lineRule="auto"/>
              <w:rPr>
                <w:rFonts w:ascii="Calibri" w:hAnsi="Calibri" w:cs="Calibri"/>
                <w:b/>
                <w:bCs/>
                <w:color w:val="000000"/>
              </w:rPr>
            </w:pPr>
            <w:r>
              <w:rPr>
                <w:rFonts w:ascii="Calibri" w:hAnsi="Calibri" w:cs="Calibri"/>
                <w:b/>
                <w:bCs/>
                <w:color w:val="000000"/>
              </w:rPr>
              <w:t>Annual Private Bank, Harmonized</w:t>
            </w:r>
          </w:p>
        </w:tc>
        <w:tc>
          <w:tcPr>
            <w:tcW w:w="2525" w:type="dxa"/>
            <w:tcBorders>
              <w:top w:val="double" w:sz="4" w:space="0" w:color="auto"/>
              <w:left w:val="nil"/>
              <w:bottom w:val="single" w:sz="4" w:space="0" w:color="auto"/>
              <w:right w:val="nil"/>
            </w:tcBorders>
            <w:shd w:val="clear" w:color="auto" w:fill="auto"/>
            <w:vAlign w:val="center"/>
            <w:hideMark/>
          </w:tcPr>
          <w:p w14:paraId="01FC2094" w14:textId="0257D485" w:rsidR="00BC1DDF" w:rsidRPr="00D54F6F" w:rsidRDefault="00BC1DDF" w:rsidP="00BC1DDF">
            <w:pPr>
              <w:spacing w:before="60" w:after="60" w:line="240" w:lineRule="auto"/>
              <w:rPr>
                <w:rFonts w:ascii="Calibri" w:hAnsi="Calibri" w:cs="Calibri"/>
                <w:bCs/>
                <w:color w:val="000000"/>
              </w:rPr>
            </w:pPr>
            <w:r w:rsidRPr="00D54F6F">
              <w:rPr>
                <w:rFonts w:ascii="Calibri" w:hAnsi="Calibri" w:cs="Calibri"/>
                <w:bCs/>
                <w:color w:val="000000"/>
              </w:rPr>
              <w:t>Difference</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07A78A0" w14:textId="039843D3"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-0.5</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5726812" w14:textId="21B54430"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-1.1</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10F5222" w14:textId="4205A760"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-1.8</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3CEA2CA" w14:textId="6DF2E1B8"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-0.7</w:t>
            </w:r>
          </w:p>
        </w:tc>
        <w:tc>
          <w:tcPr>
            <w:tcW w:w="86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9480150" w14:textId="19CA3380"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-0.5</w:t>
            </w:r>
          </w:p>
        </w:tc>
        <w:tc>
          <w:tcPr>
            <w:tcW w:w="87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A674EE1" w14:textId="7D267F73"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-1.2</w:t>
            </w:r>
          </w:p>
        </w:tc>
      </w:tr>
      <w:tr w:rsidR="00BC1DDF" w:rsidRPr="00C12BAA" w14:paraId="6EB7007A" w14:textId="77777777" w:rsidTr="00BC1DDF">
        <w:trPr>
          <w:trHeight w:val="593"/>
        </w:trPr>
        <w:tc>
          <w:tcPr>
            <w:tcW w:w="16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8BC0E3" w14:textId="77777777" w:rsidR="00BC1DDF" w:rsidRPr="00C12BAA" w:rsidRDefault="00BC1DDF" w:rsidP="00BC1DDF">
            <w:pPr>
              <w:spacing w:before="60" w:after="60" w:line="240" w:lineRule="auto"/>
              <w:rPr>
                <w:rFonts w:ascii="Calibri" w:hAnsi="Calibri" w:cs="Calibri"/>
                <w:b/>
                <w:bCs/>
                <w:color w:val="000000"/>
              </w:rPr>
            </w:pPr>
          </w:p>
        </w:tc>
        <w:tc>
          <w:tcPr>
            <w:tcW w:w="2525" w:type="dxa"/>
            <w:tcBorders>
              <w:top w:val="single" w:sz="4" w:space="0" w:color="auto"/>
              <w:left w:val="nil"/>
              <w:bottom w:val="single" w:sz="4" w:space="0" w:color="auto"/>
              <w:right w:val="nil"/>
            </w:tcBorders>
            <w:shd w:val="clear" w:color="auto" w:fill="auto"/>
            <w:vAlign w:val="center"/>
          </w:tcPr>
          <w:p w14:paraId="6973801B" w14:textId="7E80A33E" w:rsidR="00BC1DDF" w:rsidRPr="00D54F6F" w:rsidRDefault="00BC1DDF" w:rsidP="00BC1DDF">
            <w:pPr>
              <w:spacing w:before="60" w:after="60" w:line="240" w:lineRule="auto"/>
              <w:rPr>
                <w:rFonts w:ascii="Calibri" w:hAnsi="Calibri" w:cs="Calibri"/>
                <w:bCs/>
                <w:color w:val="000000"/>
              </w:rPr>
            </w:pPr>
            <w:r w:rsidRPr="00D54F6F">
              <w:rPr>
                <w:rFonts w:ascii="Calibri" w:hAnsi="Calibri" w:cs="Calibri"/>
                <w:bCs/>
                <w:color w:val="000000"/>
              </w:rPr>
              <w:t>% Difference</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67C21" w14:textId="48F469B2"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-4.0%</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4C7A6" w14:textId="6387A283"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-2.7%</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BCDA0" w14:textId="6572550D"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-1.7%</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C2DF1" w14:textId="6E35CF47"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-1.0%</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B66F1" w14:textId="215DC4CA"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91714" w14:textId="255345BD" w:rsidR="00BC1DDF" w:rsidRPr="00C12BAA" w:rsidRDefault="00BC1DDF" w:rsidP="00BC1DDF">
            <w:pPr>
              <w:spacing w:before="60" w:after="60" w:line="240" w:lineRule="auto"/>
              <w:jc w:val="right"/>
              <w:rPr>
                <w:rFonts w:ascii="Calibri" w:hAnsi="Calibri" w:cs="Calibri"/>
                <w:color w:val="000000"/>
              </w:rPr>
            </w:pPr>
            <w:r w:rsidRPr="00C12BAA">
              <w:rPr>
                <w:rFonts w:ascii="Calibri" w:hAnsi="Calibri" w:cs="Calibri"/>
                <w:color w:val="000000"/>
              </w:rPr>
              <w:t>-0.5%</w:t>
            </w:r>
          </w:p>
        </w:tc>
      </w:tr>
    </w:tbl>
    <w:p w14:paraId="21C8303D" w14:textId="155FB2B9" w:rsidR="00EA6A10" w:rsidRPr="00C12BAA" w:rsidRDefault="00921B0B" w:rsidP="00A42B13">
      <w:pPr>
        <w:spacing w:after="240" w:line="288" w:lineRule="auto"/>
        <w:jc w:val="both"/>
        <w:rPr>
          <w:rFonts w:ascii="Calibri" w:hAnsi="Calibri" w:cs="Calibri"/>
        </w:rPr>
      </w:pPr>
      <w:r>
        <w:rPr>
          <w:rFonts w:ascii="Calibri" w:hAnsi="Calibri" w:cs="Calibri"/>
        </w:rPr>
        <w:br w:type="column"/>
      </w:r>
      <w:r w:rsidRPr="00921B0B">
        <w:rPr>
          <w:rFonts w:ascii="Calibri" w:hAnsi="Calibri" w:cs="Calibri"/>
          <w:b/>
        </w:rPr>
        <w:lastRenderedPageBreak/>
        <w:t>Table S</w:t>
      </w:r>
      <w:r>
        <w:rPr>
          <w:rFonts w:ascii="Calibri" w:hAnsi="Calibri" w:cs="Calibri"/>
          <w:b/>
        </w:rPr>
        <w:t>-</w:t>
      </w:r>
      <w:r w:rsidRPr="00921B0B">
        <w:rPr>
          <w:rFonts w:ascii="Calibri" w:hAnsi="Calibri" w:cs="Calibri"/>
          <w:b/>
        </w:rPr>
        <w:t>5.</w:t>
      </w:r>
      <w:r w:rsidRPr="00C12BAA">
        <w:rPr>
          <w:rFonts w:ascii="Calibri" w:hAnsi="Calibri" w:cs="Calibri"/>
        </w:rPr>
        <w:t xml:space="preserve"> Required reductions in non-covered emissions. Given a scenario for the rate of decrease of covered emissions in each jurisdiction, we calculate the maximum that non-covered emissions could be, such that economy-wide emissions would be equal to the statutory limit set for 2030 for each jurisdiction. Starting from the latest historical data for non-covered emissions (for California, 2017</w:t>
      </w:r>
      <w:r w:rsidR="007A55D2">
        <w:rPr>
          <w:rFonts w:ascii="Calibri" w:hAnsi="Calibri" w:cs="Calibri"/>
        </w:rPr>
        <w:t xml:space="preserve">; </w:t>
      </w:r>
      <w:r w:rsidRPr="00C12BAA">
        <w:rPr>
          <w:rFonts w:ascii="Calibri" w:hAnsi="Calibri" w:cs="Calibri"/>
        </w:rPr>
        <w:t>for Québec, 2016), we also calculate the minimum annual rate of change for non-covered emissions that would be required to reduce emissions to the 2030 level indicated, assuming that the change occurs linearly (with a constant rate of change in MMtCO</w:t>
      </w:r>
      <w:r w:rsidRPr="00C12BAA">
        <w:rPr>
          <w:rFonts w:ascii="Calibri" w:hAnsi="Calibri" w:cs="Calibri"/>
          <w:vertAlign w:val="subscript"/>
        </w:rPr>
        <w:t>2</w:t>
      </w:r>
      <w:r w:rsidRPr="00C12BAA">
        <w:rPr>
          <w:rFonts w:ascii="Calibri" w:hAnsi="Calibri" w:cs="Calibri"/>
        </w:rPr>
        <w:t>e per year). In the Business-as-Usual Scenario, for both jurisdictions, covered emissions alone exceed the respective 2030 limits for economy-wide emissions. Therefore, economy-wide emissions would exceed the limit unless non-covered emissions were to become net negative. For comparison, the average rate of change</w:t>
      </w:r>
      <w:r w:rsidR="0091649E">
        <w:rPr>
          <w:rFonts w:ascii="Calibri" w:hAnsi="Calibri" w:cs="Calibri"/>
        </w:rPr>
        <w:t xml:space="preserve"> </w:t>
      </w:r>
      <w:r w:rsidR="007762BE">
        <w:rPr>
          <w:rFonts w:ascii="Calibri" w:hAnsi="Calibri" w:cs="Calibri"/>
        </w:rPr>
        <w:t>from 2012 through 2016 across</w:t>
      </w:r>
      <w:r w:rsidR="0091649E">
        <w:rPr>
          <w:rFonts w:ascii="Calibri" w:hAnsi="Calibri" w:cs="Calibri"/>
        </w:rPr>
        <w:t xml:space="preserve"> economy-wide emissions from California and Québec together</w:t>
      </w:r>
      <w:r w:rsidRPr="00C12BAA">
        <w:rPr>
          <w:rFonts w:ascii="Calibri" w:hAnsi="Calibri" w:cs="Calibri"/>
        </w:rPr>
        <w:t xml:space="preserve"> </w:t>
      </w:r>
      <w:r w:rsidR="007762BE">
        <w:rPr>
          <w:rFonts w:ascii="Calibri" w:hAnsi="Calibri" w:cs="Calibri"/>
        </w:rPr>
        <w:t xml:space="preserve">was </w:t>
      </w:r>
      <w:r w:rsidRPr="00C12BAA">
        <w:rPr>
          <w:rFonts w:ascii="Calibri" w:hAnsi="Calibri" w:cs="Calibri"/>
        </w:rPr>
        <w:t>-5.9 MM</w:t>
      </w:r>
      <w:r w:rsidR="007762BE">
        <w:rPr>
          <w:rFonts w:ascii="Calibri" w:hAnsi="Calibri" w:cs="Calibri"/>
        </w:rPr>
        <w:t>t</w:t>
      </w:r>
      <w:r w:rsidRPr="00C12BAA">
        <w:rPr>
          <w:rFonts w:ascii="Calibri" w:hAnsi="Calibri" w:cs="Calibri"/>
        </w:rPr>
        <w:t>CO</w:t>
      </w:r>
      <w:r w:rsidRPr="007762BE">
        <w:rPr>
          <w:rFonts w:ascii="Calibri" w:hAnsi="Calibri" w:cs="Calibri"/>
          <w:vertAlign w:val="subscript"/>
        </w:rPr>
        <w:t>2</w:t>
      </w:r>
      <w:r w:rsidRPr="00C12BAA">
        <w:rPr>
          <w:rFonts w:ascii="Calibri" w:hAnsi="Calibri" w:cs="Calibri"/>
        </w:rPr>
        <w:t xml:space="preserve">e per year, </w:t>
      </w:r>
      <w:r w:rsidR="007762BE">
        <w:rPr>
          <w:rFonts w:ascii="Calibri" w:hAnsi="Calibri" w:cs="Calibri"/>
        </w:rPr>
        <w:t xml:space="preserve">even though </w:t>
      </w:r>
      <w:r w:rsidRPr="00C12BAA">
        <w:rPr>
          <w:rFonts w:ascii="Calibri" w:hAnsi="Calibri" w:cs="Calibri"/>
        </w:rPr>
        <w:t>economy-wide emissions were approximately four times larger than non-covered emissions.</w:t>
      </w:r>
    </w:p>
    <w:tbl>
      <w:tblPr>
        <w:tblW w:w="9270" w:type="dxa"/>
        <w:tblLook w:val="04A0" w:firstRow="1" w:lastRow="0" w:firstColumn="1" w:lastColumn="0" w:noHBand="0" w:noVBand="1"/>
      </w:tblPr>
      <w:tblGrid>
        <w:gridCol w:w="985"/>
        <w:gridCol w:w="3780"/>
        <w:gridCol w:w="1530"/>
        <w:gridCol w:w="1530"/>
        <w:gridCol w:w="1445"/>
      </w:tblGrid>
      <w:tr w:rsidR="001E76AC" w:rsidRPr="00C12BAA" w14:paraId="2DA9098A" w14:textId="77777777" w:rsidTr="006302DF">
        <w:trPr>
          <w:cantSplit/>
          <w:trHeight w:val="1134"/>
        </w:trPr>
        <w:tc>
          <w:tcPr>
            <w:tcW w:w="4765" w:type="dxa"/>
            <w:gridSpan w:val="2"/>
            <w:tcBorders>
              <w:top w:val="single" w:sz="4" w:space="0" w:color="auto"/>
              <w:left w:val="single" w:sz="4" w:space="0" w:color="auto"/>
              <w:bottom w:val="double" w:sz="4" w:space="0" w:color="auto"/>
              <w:right w:val="single" w:sz="4" w:space="0" w:color="auto"/>
            </w:tcBorders>
            <w:vAlign w:val="bottom"/>
          </w:tcPr>
          <w:p w14:paraId="3842DF09" w14:textId="75F7BCA4" w:rsidR="001E76AC" w:rsidRPr="00C12BAA" w:rsidRDefault="001E76AC" w:rsidP="007A55D2">
            <w:pPr>
              <w:spacing w:before="60" w:after="60" w:line="240" w:lineRule="auto"/>
              <w:rPr>
                <w:rFonts w:ascii="Calibri" w:hAnsi="Calibri" w:cs="Calibri"/>
                <w:b/>
                <w:bCs/>
                <w:color w:val="000000"/>
              </w:rPr>
            </w:pPr>
            <w:r w:rsidRPr="00C12BAA">
              <w:rPr>
                <w:rFonts w:ascii="Calibri" w:hAnsi="Calibri" w:cs="Calibri"/>
                <w:b/>
                <w:bCs/>
                <w:color w:val="000000"/>
              </w:rPr>
              <w:t>Covered emissions scenario</w:t>
            </w:r>
          </w:p>
          <w:p w14:paraId="52A19E1E" w14:textId="4D7FBB57" w:rsidR="001E76AC" w:rsidRPr="00C12BAA" w:rsidRDefault="001E76AC" w:rsidP="007A55D2">
            <w:pPr>
              <w:spacing w:before="60" w:after="60" w:line="240" w:lineRule="auto"/>
              <w:rPr>
                <w:rFonts w:ascii="Calibri" w:hAnsi="Calibri" w:cs="Calibri"/>
                <w:b/>
                <w:bCs/>
                <w:color w:val="000000"/>
              </w:rPr>
            </w:pPr>
            <w:r w:rsidRPr="00C12BAA">
              <w:rPr>
                <w:rFonts w:ascii="Calibri" w:hAnsi="Calibri" w:cs="Calibri"/>
                <w:b/>
                <w:bCs/>
                <w:color w:val="000000"/>
              </w:rPr>
              <w:t>(annual rate of change)</w:t>
            </w:r>
          </w:p>
        </w:tc>
        <w:tc>
          <w:tcPr>
            <w:tcW w:w="1530" w:type="dxa"/>
            <w:tcBorders>
              <w:top w:val="single" w:sz="4" w:space="0" w:color="auto"/>
              <w:left w:val="single" w:sz="4" w:space="0" w:color="auto"/>
              <w:bottom w:val="double" w:sz="4" w:space="0" w:color="auto"/>
              <w:right w:val="single" w:sz="4" w:space="0" w:color="auto"/>
            </w:tcBorders>
            <w:vAlign w:val="bottom"/>
          </w:tcPr>
          <w:p w14:paraId="1D3BC6E8" w14:textId="55193815" w:rsidR="001E76AC" w:rsidRPr="00C12BAA" w:rsidRDefault="001E76AC" w:rsidP="001E76AC">
            <w:pPr>
              <w:suppressAutoHyphens/>
              <w:spacing w:before="60" w:after="60" w:line="240" w:lineRule="auto"/>
              <w:jc w:val="center"/>
              <w:rPr>
                <w:rFonts w:ascii="Calibri" w:hAnsi="Calibri" w:cs="Calibri"/>
                <w:b/>
                <w:bCs/>
                <w:color w:val="000000"/>
              </w:rPr>
            </w:pPr>
            <w:r w:rsidRPr="00C12BAA">
              <w:rPr>
                <w:rFonts w:ascii="Calibri" w:hAnsi="Calibri" w:cs="Calibri"/>
                <w:b/>
                <w:bCs/>
                <w:color w:val="000000"/>
              </w:rPr>
              <w:t>Non-covered emissions, latest historical data</w:t>
            </w:r>
          </w:p>
          <w:p w14:paraId="194A7C3D" w14:textId="219ED00D" w:rsidR="001E76AC" w:rsidRPr="00C12BAA" w:rsidRDefault="001E76AC" w:rsidP="001E76AC">
            <w:pPr>
              <w:suppressAutoHyphens/>
              <w:spacing w:before="60" w:after="60" w:line="240" w:lineRule="auto"/>
              <w:jc w:val="center"/>
              <w:rPr>
                <w:rFonts w:ascii="Calibri" w:hAnsi="Calibri" w:cs="Calibri"/>
                <w:b/>
                <w:bCs/>
                <w:color w:val="000000"/>
              </w:rPr>
            </w:pPr>
            <w:r w:rsidRPr="00C12BAA">
              <w:rPr>
                <w:rFonts w:ascii="Calibri" w:hAnsi="Calibri" w:cs="Calibri"/>
                <w:b/>
                <w:bCs/>
                <w:color w:val="000000"/>
              </w:rPr>
              <w:t>(MMtCO</w:t>
            </w:r>
            <w:r w:rsidRPr="00C12BAA">
              <w:rPr>
                <w:rFonts w:ascii="Calibri" w:hAnsi="Calibri" w:cs="Calibri"/>
                <w:b/>
                <w:bCs/>
                <w:color w:val="000000"/>
                <w:vertAlign w:val="subscript"/>
              </w:rPr>
              <w:t>2</w:t>
            </w:r>
            <w:r w:rsidRPr="00C12BAA">
              <w:rPr>
                <w:rFonts w:ascii="Calibri" w:hAnsi="Calibri" w:cs="Calibri"/>
                <w:b/>
                <w:bCs/>
                <w:color w:val="000000"/>
              </w:rPr>
              <w:t>e)</w:t>
            </w:r>
          </w:p>
        </w:tc>
        <w:tc>
          <w:tcPr>
            <w:tcW w:w="1530" w:type="dxa"/>
            <w:tcBorders>
              <w:top w:val="single" w:sz="4" w:space="0" w:color="auto"/>
              <w:left w:val="single" w:sz="4" w:space="0" w:color="auto"/>
              <w:bottom w:val="double" w:sz="4" w:space="0" w:color="auto"/>
              <w:right w:val="single" w:sz="4" w:space="0" w:color="auto"/>
            </w:tcBorders>
            <w:vAlign w:val="bottom"/>
          </w:tcPr>
          <w:p w14:paraId="598CEE59" w14:textId="39508CC6" w:rsidR="001E76AC" w:rsidRPr="00C12BAA" w:rsidRDefault="001E76AC" w:rsidP="001E76AC">
            <w:pPr>
              <w:suppressAutoHyphens/>
              <w:spacing w:before="60" w:after="60" w:line="240" w:lineRule="auto"/>
              <w:jc w:val="center"/>
              <w:rPr>
                <w:rFonts w:ascii="Calibri" w:hAnsi="Calibri" w:cs="Calibri"/>
                <w:b/>
                <w:bCs/>
                <w:color w:val="000000"/>
              </w:rPr>
            </w:pPr>
            <w:r>
              <w:rPr>
                <w:rFonts w:ascii="Calibri" w:hAnsi="Calibri" w:cs="Calibri"/>
                <w:b/>
                <w:bCs/>
                <w:color w:val="000000"/>
              </w:rPr>
              <w:t>Maximum n</w:t>
            </w:r>
            <w:r w:rsidRPr="00C12BAA">
              <w:rPr>
                <w:rFonts w:ascii="Calibri" w:hAnsi="Calibri" w:cs="Calibri"/>
                <w:b/>
                <w:bCs/>
                <w:color w:val="000000"/>
              </w:rPr>
              <w:t>on-covered emissions</w:t>
            </w:r>
            <w:r>
              <w:rPr>
                <w:rFonts w:ascii="Calibri" w:hAnsi="Calibri" w:cs="Calibri"/>
                <w:b/>
                <w:bCs/>
                <w:color w:val="000000"/>
              </w:rPr>
              <w:t xml:space="preserve"> in</w:t>
            </w:r>
            <w:r w:rsidRPr="00C12BAA">
              <w:rPr>
                <w:rFonts w:ascii="Calibri" w:hAnsi="Calibri" w:cs="Calibri"/>
                <w:b/>
                <w:bCs/>
                <w:color w:val="000000"/>
              </w:rPr>
              <w:t xml:space="preserve"> 2030</w:t>
            </w:r>
          </w:p>
          <w:p w14:paraId="0EA0C365" w14:textId="15996C2D" w:rsidR="001E76AC" w:rsidRPr="00C12BAA" w:rsidRDefault="001E76AC" w:rsidP="001E76AC">
            <w:pPr>
              <w:suppressAutoHyphens/>
              <w:spacing w:before="60" w:after="60" w:line="240" w:lineRule="auto"/>
              <w:jc w:val="center"/>
              <w:rPr>
                <w:rFonts w:ascii="Calibri" w:hAnsi="Calibri" w:cs="Calibri"/>
                <w:b/>
                <w:bCs/>
                <w:color w:val="000000"/>
              </w:rPr>
            </w:pPr>
            <w:r w:rsidRPr="00C12BAA">
              <w:rPr>
                <w:rFonts w:ascii="Calibri" w:hAnsi="Calibri" w:cs="Calibri"/>
                <w:b/>
                <w:bCs/>
                <w:color w:val="000000"/>
              </w:rPr>
              <w:t>(MMtCO</w:t>
            </w:r>
            <w:r w:rsidRPr="00C12BAA">
              <w:rPr>
                <w:rFonts w:ascii="Calibri" w:hAnsi="Calibri" w:cs="Calibri"/>
                <w:b/>
                <w:bCs/>
                <w:color w:val="000000"/>
                <w:vertAlign w:val="subscript"/>
              </w:rPr>
              <w:t>2</w:t>
            </w:r>
            <w:r w:rsidRPr="00C12BAA">
              <w:rPr>
                <w:rFonts w:ascii="Calibri" w:hAnsi="Calibri" w:cs="Calibri"/>
                <w:b/>
                <w:bCs/>
                <w:color w:val="000000"/>
              </w:rPr>
              <w:t>e)</w:t>
            </w:r>
          </w:p>
        </w:tc>
        <w:tc>
          <w:tcPr>
            <w:tcW w:w="1445" w:type="dxa"/>
            <w:tcBorders>
              <w:top w:val="single" w:sz="4" w:space="0" w:color="auto"/>
              <w:left w:val="single" w:sz="4" w:space="0" w:color="auto"/>
              <w:bottom w:val="double" w:sz="4" w:space="0" w:color="auto"/>
              <w:right w:val="single" w:sz="4" w:space="0" w:color="auto"/>
            </w:tcBorders>
            <w:shd w:val="clear" w:color="auto" w:fill="auto"/>
            <w:vAlign w:val="bottom"/>
            <w:hideMark/>
          </w:tcPr>
          <w:p w14:paraId="4874C538" w14:textId="29123BDF" w:rsidR="001E76AC" w:rsidRPr="00C12BAA" w:rsidRDefault="001E76AC" w:rsidP="001E76AC">
            <w:pPr>
              <w:suppressAutoHyphens/>
              <w:spacing w:before="60" w:after="60" w:line="240" w:lineRule="auto"/>
              <w:jc w:val="center"/>
              <w:rPr>
                <w:rFonts w:ascii="Calibri" w:hAnsi="Calibri" w:cs="Calibri"/>
                <w:b/>
                <w:bCs/>
                <w:color w:val="000000"/>
              </w:rPr>
            </w:pPr>
            <w:r>
              <w:rPr>
                <w:rFonts w:ascii="Calibri" w:hAnsi="Calibri" w:cs="Calibri"/>
                <w:b/>
                <w:bCs/>
                <w:color w:val="000000"/>
              </w:rPr>
              <w:t>Minimum r</w:t>
            </w:r>
            <w:r w:rsidRPr="00C12BAA">
              <w:rPr>
                <w:rFonts w:ascii="Calibri" w:hAnsi="Calibri" w:cs="Calibri"/>
                <w:b/>
                <w:bCs/>
                <w:color w:val="000000"/>
              </w:rPr>
              <w:t>ate of change required</w:t>
            </w:r>
          </w:p>
          <w:p w14:paraId="42BED2C8" w14:textId="64A04C3A" w:rsidR="001E76AC" w:rsidRPr="00C12BAA" w:rsidRDefault="001E76AC" w:rsidP="001E76AC">
            <w:pPr>
              <w:suppressAutoHyphens/>
              <w:spacing w:before="60" w:after="60" w:line="240" w:lineRule="auto"/>
              <w:jc w:val="center"/>
              <w:rPr>
                <w:rFonts w:ascii="Calibri" w:hAnsi="Calibri" w:cs="Calibri"/>
                <w:b/>
                <w:bCs/>
                <w:color w:val="000000"/>
              </w:rPr>
            </w:pPr>
            <w:r w:rsidRPr="00C12BAA">
              <w:rPr>
                <w:rFonts w:ascii="Calibri" w:hAnsi="Calibri" w:cs="Calibri"/>
                <w:b/>
                <w:bCs/>
                <w:color w:val="000000"/>
              </w:rPr>
              <w:t>(MMtCO</w:t>
            </w:r>
            <w:r w:rsidRPr="00C12BAA">
              <w:rPr>
                <w:rFonts w:ascii="Calibri" w:hAnsi="Calibri" w:cs="Calibri"/>
                <w:b/>
                <w:bCs/>
                <w:color w:val="000000"/>
                <w:vertAlign w:val="subscript"/>
              </w:rPr>
              <w:t>2</w:t>
            </w:r>
            <w:r w:rsidRPr="00C12BAA">
              <w:rPr>
                <w:rFonts w:ascii="Calibri" w:hAnsi="Calibri" w:cs="Calibri"/>
                <w:b/>
                <w:bCs/>
                <w:color w:val="000000"/>
              </w:rPr>
              <w:t>e per year)</w:t>
            </w:r>
          </w:p>
        </w:tc>
      </w:tr>
      <w:tr w:rsidR="00EA6A10" w:rsidRPr="00C12BAA" w14:paraId="66F71991" w14:textId="77777777" w:rsidTr="001E76AC">
        <w:trPr>
          <w:trHeight w:val="288"/>
        </w:trPr>
        <w:tc>
          <w:tcPr>
            <w:tcW w:w="985" w:type="dxa"/>
            <w:vMerge w:val="restart"/>
            <w:tcBorders>
              <w:top w:val="double" w:sz="4" w:space="0" w:color="auto"/>
              <w:left w:val="single" w:sz="4" w:space="0" w:color="auto"/>
              <w:right w:val="single" w:sz="4" w:space="0" w:color="auto"/>
            </w:tcBorders>
            <w:textDirection w:val="btLr"/>
            <w:vAlign w:val="center"/>
          </w:tcPr>
          <w:p w14:paraId="48DFC687" w14:textId="33646CCF" w:rsidR="00EA6A10" w:rsidRPr="00C12BAA" w:rsidRDefault="007A55D2" w:rsidP="001E76AC">
            <w:pPr>
              <w:spacing w:before="60" w:after="60" w:line="240" w:lineRule="auto"/>
              <w:ind w:right="113"/>
              <w:jc w:val="center"/>
              <w:rPr>
                <w:rFonts w:ascii="Calibri" w:hAnsi="Calibri" w:cs="Calibri"/>
                <w:color w:val="000000"/>
              </w:rPr>
            </w:pPr>
            <w:r>
              <w:rPr>
                <w:rFonts w:ascii="Calibri" w:hAnsi="Calibri" w:cs="Calibri"/>
                <w:color w:val="000000"/>
              </w:rPr>
              <w:t>California</w:t>
            </w:r>
          </w:p>
        </w:tc>
        <w:tc>
          <w:tcPr>
            <w:tcW w:w="378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BD00940" w14:textId="77777777" w:rsidR="00EA6A10" w:rsidRPr="00C12BAA" w:rsidRDefault="00EA6A10" w:rsidP="007A55D2">
            <w:pPr>
              <w:spacing w:before="60" w:after="60" w:line="240" w:lineRule="auto"/>
              <w:rPr>
                <w:rFonts w:ascii="Calibri" w:hAnsi="Calibri" w:cs="Calibri"/>
                <w:color w:val="000000"/>
              </w:rPr>
            </w:pPr>
            <w:r w:rsidRPr="00C12BAA">
              <w:rPr>
                <w:rFonts w:ascii="Calibri" w:hAnsi="Calibri" w:cs="Calibri"/>
                <w:color w:val="000000"/>
              </w:rPr>
              <w:t>2030 Cap Achieved Scenario (-3.5%)</w:t>
            </w:r>
          </w:p>
        </w:tc>
        <w:tc>
          <w:tcPr>
            <w:tcW w:w="1530" w:type="dxa"/>
            <w:tcBorders>
              <w:top w:val="double" w:sz="4" w:space="0" w:color="auto"/>
              <w:left w:val="single" w:sz="4" w:space="0" w:color="auto"/>
              <w:bottom w:val="single" w:sz="4" w:space="0" w:color="auto"/>
              <w:right w:val="single" w:sz="4" w:space="0" w:color="auto"/>
            </w:tcBorders>
          </w:tcPr>
          <w:p w14:paraId="06FFBEC9" w14:textId="43896541" w:rsidR="00EA6A10" w:rsidRPr="00C12BAA" w:rsidRDefault="00EA6A10" w:rsidP="007A55D2">
            <w:pPr>
              <w:spacing w:before="60" w:after="60" w:line="240" w:lineRule="auto"/>
              <w:jc w:val="right"/>
              <w:rPr>
                <w:rFonts w:ascii="Calibri" w:hAnsi="Calibri" w:cs="Calibri"/>
                <w:color w:val="000000"/>
              </w:rPr>
            </w:pPr>
            <w:r w:rsidRPr="00C12BAA">
              <w:rPr>
                <w:rFonts w:ascii="Calibri" w:hAnsi="Calibri" w:cs="Calibri"/>
                <w:color w:val="000000"/>
              </w:rPr>
              <w:t>10</w:t>
            </w:r>
            <w:r w:rsidR="00130B0E" w:rsidRPr="00C12BAA">
              <w:rPr>
                <w:rFonts w:ascii="Calibri" w:hAnsi="Calibri" w:cs="Calibri"/>
                <w:color w:val="000000"/>
              </w:rPr>
              <w:t>4</w:t>
            </w:r>
          </w:p>
        </w:tc>
        <w:tc>
          <w:tcPr>
            <w:tcW w:w="1530" w:type="dxa"/>
            <w:tcBorders>
              <w:top w:val="double" w:sz="4" w:space="0" w:color="auto"/>
              <w:left w:val="single" w:sz="4" w:space="0" w:color="auto"/>
              <w:bottom w:val="single" w:sz="4" w:space="0" w:color="auto"/>
              <w:right w:val="single" w:sz="4" w:space="0" w:color="auto"/>
            </w:tcBorders>
          </w:tcPr>
          <w:p w14:paraId="1C46D307" w14:textId="77777777" w:rsidR="00EA6A10" w:rsidRPr="00C12BAA" w:rsidRDefault="00EA6A10" w:rsidP="007A55D2">
            <w:pPr>
              <w:spacing w:before="60" w:after="60" w:line="240" w:lineRule="auto"/>
              <w:jc w:val="right"/>
              <w:rPr>
                <w:rFonts w:ascii="Calibri" w:hAnsi="Calibri" w:cs="Calibri"/>
                <w:color w:val="FF0000"/>
              </w:rPr>
            </w:pPr>
            <w:r w:rsidRPr="00C12BAA">
              <w:rPr>
                <w:rFonts w:ascii="Calibri" w:hAnsi="Calibri" w:cs="Calibri"/>
              </w:rPr>
              <w:t>57</w:t>
            </w:r>
          </w:p>
        </w:tc>
        <w:tc>
          <w:tcPr>
            <w:tcW w:w="1445" w:type="dxa"/>
            <w:tcBorders>
              <w:top w:val="double" w:sz="4" w:space="0" w:color="auto"/>
              <w:left w:val="single" w:sz="4" w:space="0" w:color="auto"/>
              <w:bottom w:val="single" w:sz="4" w:space="0" w:color="auto"/>
              <w:right w:val="single" w:sz="4" w:space="0" w:color="auto"/>
            </w:tcBorders>
            <w:shd w:val="clear" w:color="auto" w:fill="auto"/>
            <w:hideMark/>
          </w:tcPr>
          <w:p w14:paraId="641A7B3F" w14:textId="08FE5079" w:rsidR="00EA6A10" w:rsidRPr="00C12BAA" w:rsidRDefault="00EA6A10" w:rsidP="007A55D2">
            <w:pPr>
              <w:spacing w:before="60" w:after="60" w:line="240" w:lineRule="auto"/>
              <w:jc w:val="right"/>
              <w:rPr>
                <w:rFonts w:ascii="Calibri" w:hAnsi="Calibri" w:cs="Calibri"/>
                <w:color w:val="FF0000"/>
              </w:rPr>
            </w:pPr>
            <w:r w:rsidRPr="00C12BAA">
              <w:rPr>
                <w:rFonts w:ascii="Calibri" w:hAnsi="Calibri" w:cs="Calibri"/>
              </w:rPr>
              <w:t>-</w:t>
            </w:r>
            <w:r w:rsidR="000B1A65" w:rsidRPr="00C12BAA">
              <w:rPr>
                <w:rFonts w:ascii="Calibri" w:hAnsi="Calibri" w:cs="Calibri"/>
              </w:rPr>
              <w:t>3.6</w:t>
            </w:r>
          </w:p>
        </w:tc>
      </w:tr>
      <w:tr w:rsidR="00EA6A10" w:rsidRPr="00C12BAA" w14:paraId="2FED8D0E" w14:textId="77777777" w:rsidTr="001E76AC">
        <w:trPr>
          <w:trHeight w:val="288"/>
        </w:trPr>
        <w:tc>
          <w:tcPr>
            <w:tcW w:w="985" w:type="dxa"/>
            <w:vMerge/>
            <w:tcBorders>
              <w:left w:val="single" w:sz="4" w:space="0" w:color="auto"/>
              <w:right w:val="single" w:sz="4" w:space="0" w:color="auto"/>
            </w:tcBorders>
            <w:vAlign w:val="center"/>
          </w:tcPr>
          <w:p w14:paraId="309CCF48" w14:textId="77777777" w:rsidR="00EA6A10" w:rsidRPr="00C12BAA" w:rsidRDefault="00EA6A10" w:rsidP="001E76AC">
            <w:pPr>
              <w:spacing w:before="60" w:after="60" w:line="240" w:lineRule="auto"/>
              <w:jc w:val="center"/>
              <w:rPr>
                <w:rFonts w:ascii="Calibri" w:hAnsi="Calibri" w:cs="Calibri"/>
                <w:color w:val="000000"/>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8BD73" w14:textId="77777777" w:rsidR="00EA6A10" w:rsidRPr="00C12BAA" w:rsidRDefault="00EA6A10" w:rsidP="007A55D2">
            <w:pPr>
              <w:spacing w:before="60" w:after="60" w:line="240" w:lineRule="auto"/>
              <w:rPr>
                <w:rFonts w:ascii="Calibri" w:hAnsi="Calibri" w:cs="Calibri"/>
                <w:color w:val="000000"/>
              </w:rPr>
            </w:pPr>
            <w:r w:rsidRPr="00C12BAA">
              <w:rPr>
                <w:rFonts w:ascii="Calibri" w:hAnsi="Calibri" w:cs="Calibri"/>
                <w:color w:val="000000"/>
              </w:rPr>
              <w:t>PATHWAYS Scenario (-2%)</w:t>
            </w:r>
          </w:p>
        </w:tc>
        <w:tc>
          <w:tcPr>
            <w:tcW w:w="1530" w:type="dxa"/>
            <w:tcBorders>
              <w:top w:val="single" w:sz="4" w:space="0" w:color="auto"/>
              <w:left w:val="single" w:sz="4" w:space="0" w:color="auto"/>
              <w:bottom w:val="single" w:sz="4" w:space="0" w:color="auto"/>
              <w:right w:val="single" w:sz="4" w:space="0" w:color="auto"/>
            </w:tcBorders>
          </w:tcPr>
          <w:p w14:paraId="52189268" w14:textId="1F61EDFA" w:rsidR="00EA6A10" w:rsidRPr="00C12BAA" w:rsidRDefault="00EA6A10" w:rsidP="007A55D2">
            <w:pPr>
              <w:spacing w:before="60" w:after="60" w:line="240" w:lineRule="auto"/>
              <w:jc w:val="right"/>
              <w:rPr>
                <w:rFonts w:ascii="Calibri" w:hAnsi="Calibri" w:cs="Calibri"/>
                <w:color w:val="000000"/>
              </w:rPr>
            </w:pPr>
            <w:r w:rsidRPr="00C12BAA">
              <w:rPr>
                <w:rFonts w:ascii="Calibri" w:hAnsi="Calibri" w:cs="Calibri"/>
                <w:color w:val="000000"/>
              </w:rPr>
              <w:t>10</w:t>
            </w:r>
            <w:r w:rsidR="00130B0E" w:rsidRPr="00C12BAA">
              <w:rPr>
                <w:rFonts w:ascii="Calibri" w:hAnsi="Calibri" w:cs="Calibri"/>
                <w:color w:val="000000"/>
              </w:rPr>
              <w:t>4</w:t>
            </w:r>
          </w:p>
        </w:tc>
        <w:tc>
          <w:tcPr>
            <w:tcW w:w="1530" w:type="dxa"/>
            <w:tcBorders>
              <w:top w:val="single" w:sz="4" w:space="0" w:color="auto"/>
              <w:left w:val="single" w:sz="4" w:space="0" w:color="auto"/>
              <w:bottom w:val="single" w:sz="4" w:space="0" w:color="auto"/>
              <w:right w:val="single" w:sz="4" w:space="0" w:color="auto"/>
            </w:tcBorders>
          </w:tcPr>
          <w:p w14:paraId="13B59160" w14:textId="77777777" w:rsidR="00EA6A10" w:rsidRPr="00C12BAA" w:rsidRDefault="00EA6A10" w:rsidP="007A55D2">
            <w:pPr>
              <w:spacing w:before="60" w:after="60" w:line="240" w:lineRule="auto"/>
              <w:jc w:val="right"/>
              <w:rPr>
                <w:rFonts w:ascii="Calibri" w:hAnsi="Calibri" w:cs="Calibri"/>
              </w:rPr>
            </w:pPr>
            <w:r w:rsidRPr="00C12BAA">
              <w:rPr>
                <w:rFonts w:ascii="Calibri" w:hAnsi="Calibri" w:cs="Calibri"/>
              </w:rPr>
              <w:t>12</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14:paraId="3796D170" w14:textId="0AF35642" w:rsidR="00EA6A10" w:rsidRPr="00C12BAA" w:rsidRDefault="00EA6A10" w:rsidP="007A55D2">
            <w:pPr>
              <w:spacing w:before="60" w:after="60" w:line="240" w:lineRule="auto"/>
              <w:jc w:val="right"/>
              <w:rPr>
                <w:rFonts w:ascii="Calibri" w:hAnsi="Calibri" w:cs="Calibri"/>
              </w:rPr>
            </w:pPr>
            <w:r w:rsidRPr="00C12BAA">
              <w:rPr>
                <w:rFonts w:ascii="Calibri" w:hAnsi="Calibri" w:cs="Calibri"/>
              </w:rPr>
              <w:t>-</w:t>
            </w:r>
            <w:r w:rsidR="000B1A65" w:rsidRPr="00C12BAA">
              <w:rPr>
                <w:rFonts w:ascii="Calibri" w:hAnsi="Calibri" w:cs="Calibri"/>
              </w:rPr>
              <w:t>7.0</w:t>
            </w:r>
          </w:p>
        </w:tc>
      </w:tr>
      <w:tr w:rsidR="00EA6A10" w:rsidRPr="00C12BAA" w14:paraId="2619F755" w14:textId="77777777" w:rsidTr="001E76AC">
        <w:trPr>
          <w:trHeight w:val="288"/>
        </w:trPr>
        <w:tc>
          <w:tcPr>
            <w:tcW w:w="985" w:type="dxa"/>
            <w:vMerge/>
            <w:tcBorders>
              <w:left w:val="single" w:sz="4" w:space="0" w:color="auto"/>
              <w:bottom w:val="single" w:sz="4" w:space="0" w:color="auto"/>
              <w:right w:val="single" w:sz="4" w:space="0" w:color="auto"/>
            </w:tcBorders>
            <w:vAlign w:val="center"/>
          </w:tcPr>
          <w:p w14:paraId="474923FC" w14:textId="77777777" w:rsidR="00EA6A10" w:rsidRPr="00C12BAA" w:rsidRDefault="00EA6A10" w:rsidP="001E76AC">
            <w:pPr>
              <w:spacing w:before="60" w:after="60" w:line="240" w:lineRule="auto"/>
              <w:jc w:val="center"/>
              <w:rPr>
                <w:rFonts w:ascii="Calibri" w:hAnsi="Calibri" w:cs="Calibri"/>
                <w:color w:val="000000"/>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6427A" w14:textId="77777777" w:rsidR="00EA6A10" w:rsidRPr="00C12BAA" w:rsidRDefault="00EA6A10" w:rsidP="007A55D2">
            <w:pPr>
              <w:spacing w:before="60" w:after="60" w:line="240" w:lineRule="auto"/>
              <w:rPr>
                <w:rFonts w:ascii="Calibri" w:hAnsi="Calibri" w:cs="Calibri"/>
                <w:color w:val="000000"/>
              </w:rPr>
            </w:pPr>
            <w:r w:rsidRPr="00C12BAA">
              <w:rPr>
                <w:rFonts w:ascii="Calibri" w:hAnsi="Calibri" w:cs="Calibri"/>
                <w:color w:val="000000"/>
              </w:rPr>
              <w:t>Business-as-Usual Scenario (-0.5%)</w:t>
            </w:r>
          </w:p>
        </w:tc>
        <w:tc>
          <w:tcPr>
            <w:tcW w:w="1530" w:type="dxa"/>
            <w:tcBorders>
              <w:top w:val="single" w:sz="4" w:space="0" w:color="auto"/>
              <w:left w:val="single" w:sz="4" w:space="0" w:color="auto"/>
              <w:bottom w:val="single" w:sz="4" w:space="0" w:color="auto"/>
              <w:right w:val="single" w:sz="4" w:space="0" w:color="auto"/>
            </w:tcBorders>
          </w:tcPr>
          <w:p w14:paraId="11612A8C" w14:textId="3440CB90" w:rsidR="00EA6A10" w:rsidRPr="00C12BAA" w:rsidRDefault="00EA6A10" w:rsidP="007A55D2">
            <w:pPr>
              <w:spacing w:before="60" w:after="60" w:line="240" w:lineRule="auto"/>
              <w:jc w:val="right"/>
              <w:rPr>
                <w:rFonts w:ascii="Calibri" w:hAnsi="Calibri" w:cs="Calibri"/>
                <w:color w:val="000000"/>
              </w:rPr>
            </w:pPr>
            <w:r w:rsidRPr="00C12BAA">
              <w:rPr>
                <w:rFonts w:ascii="Calibri" w:hAnsi="Calibri" w:cs="Calibri"/>
                <w:color w:val="000000"/>
              </w:rPr>
              <w:t>10</w:t>
            </w:r>
            <w:r w:rsidR="00130B0E" w:rsidRPr="00C12BAA">
              <w:rPr>
                <w:rFonts w:ascii="Calibri" w:hAnsi="Calibri" w:cs="Calibri"/>
                <w:color w:val="000000"/>
              </w:rPr>
              <w:t>4</w:t>
            </w:r>
          </w:p>
        </w:tc>
        <w:tc>
          <w:tcPr>
            <w:tcW w:w="1530" w:type="dxa"/>
            <w:tcBorders>
              <w:top w:val="single" w:sz="4" w:space="0" w:color="auto"/>
              <w:left w:val="single" w:sz="4" w:space="0" w:color="auto"/>
              <w:bottom w:val="single" w:sz="4" w:space="0" w:color="auto"/>
              <w:right w:val="single" w:sz="4" w:space="0" w:color="auto"/>
            </w:tcBorders>
          </w:tcPr>
          <w:p w14:paraId="57AA09BC" w14:textId="77777777" w:rsidR="00EA6A10" w:rsidRPr="00C12BAA" w:rsidRDefault="00EA6A10" w:rsidP="007A55D2">
            <w:pPr>
              <w:spacing w:before="60" w:after="60" w:line="240" w:lineRule="auto"/>
              <w:jc w:val="right"/>
              <w:rPr>
                <w:rFonts w:ascii="Calibri" w:hAnsi="Calibri" w:cs="Calibri"/>
              </w:rPr>
            </w:pPr>
            <w:r w:rsidRPr="00C12BAA">
              <w:rPr>
                <w:rFonts w:ascii="Calibri" w:hAnsi="Calibri" w:cs="Calibri"/>
              </w:rPr>
              <w:t>-42</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14:paraId="31445913" w14:textId="34CE25E2" w:rsidR="00EA6A10" w:rsidRPr="00C12BAA" w:rsidRDefault="00EA6A10" w:rsidP="007A55D2">
            <w:pPr>
              <w:spacing w:before="60" w:after="60" w:line="240" w:lineRule="auto"/>
              <w:jc w:val="right"/>
              <w:rPr>
                <w:rFonts w:ascii="Calibri" w:hAnsi="Calibri" w:cs="Calibri"/>
              </w:rPr>
            </w:pPr>
            <w:r w:rsidRPr="00C12BAA">
              <w:rPr>
                <w:rFonts w:ascii="Calibri" w:hAnsi="Calibri" w:cs="Calibri"/>
              </w:rPr>
              <w:t>-</w:t>
            </w:r>
            <w:r w:rsidR="000B1A65" w:rsidRPr="00C12BAA">
              <w:rPr>
                <w:rFonts w:ascii="Calibri" w:hAnsi="Calibri" w:cs="Calibri"/>
              </w:rPr>
              <w:t>11.2</w:t>
            </w:r>
          </w:p>
        </w:tc>
      </w:tr>
      <w:tr w:rsidR="00EA6A10" w:rsidRPr="00C12BAA" w14:paraId="2D9DC7FA" w14:textId="77777777" w:rsidTr="001E76AC">
        <w:trPr>
          <w:trHeight w:val="288"/>
        </w:trPr>
        <w:tc>
          <w:tcPr>
            <w:tcW w:w="985" w:type="dxa"/>
            <w:vMerge w:val="restart"/>
            <w:tcBorders>
              <w:top w:val="single" w:sz="4" w:space="0" w:color="auto"/>
              <w:left w:val="single" w:sz="4" w:space="0" w:color="auto"/>
              <w:right w:val="single" w:sz="4" w:space="0" w:color="auto"/>
            </w:tcBorders>
            <w:textDirection w:val="btLr"/>
            <w:vAlign w:val="center"/>
          </w:tcPr>
          <w:p w14:paraId="4D325204" w14:textId="46A9AA51" w:rsidR="00EA6A10" w:rsidRPr="00C12BAA" w:rsidRDefault="007A55D2" w:rsidP="001E76AC">
            <w:pPr>
              <w:spacing w:before="60" w:after="60" w:line="240" w:lineRule="auto"/>
              <w:ind w:right="113"/>
              <w:jc w:val="center"/>
              <w:rPr>
                <w:rFonts w:ascii="Calibri" w:hAnsi="Calibri" w:cs="Calibri"/>
                <w:color w:val="000000"/>
              </w:rPr>
            </w:pPr>
            <w:r>
              <w:rPr>
                <w:rFonts w:ascii="Calibri" w:hAnsi="Calibri" w:cs="Calibri"/>
                <w:lang w:val="en"/>
              </w:rPr>
              <w:t>Québec</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15100" w14:textId="77777777" w:rsidR="00EA6A10" w:rsidRPr="00C12BAA" w:rsidRDefault="00EA6A10" w:rsidP="007A55D2">
            <w:pPr>
              <w:spacing w:before="60" w:after="60" w:line="240" w:lineRule="auto"/>
              <w:rPr>
                <w:rFonts w:ascii="Calibri" w:hAnsi="Calibri" w:cs="Calibri"/>
                <w:color w:val="000000"/>
              </w:rPr>
            </w:pPr>
            <w:r w:rsidRPr="00C12BAA">
              <w:rPr>
                <w:rFonts w:ascii="Calibri" w:hAnsi="Calibri" w:cs="Calibri"/>
                <w:color w:val="000000"/>
              </w:rPr>
              <w:t>2030 Cap Achieved Scenario (-3.5%)</w:t>
            </w:r>
          </w:p>
        </w:tc>
        <w:tc>
          <w:tcPr>
            <w:tcW w:w="1530" w:type="dxa"/>
            <w:tcBorders>
              <w:top w:val="single" w:sz="4" w:space="0" w:color="auto"/>
              <w:left w:val="single" w:sz="4" w:space="0" w:color="auto"/>
              <w:bottom w:val="single" w:sz="4" w:space="0" w:color="auto"/>
              <w:right w:val="single" w:sz="4" w:space="0" w:color="auto"/>
            </w:tcBorders>
          </w:tcPr>
          <w:p w14:paraId="620D35E7" w14:textId="77777777" w:rsidR="00EA6A10" w:rsidRPr="00C12BAA" w:rsidRDefault="00EA6A10" w:rsidP="007A55D2">
            <w:pPr>
              <w:spacing w:before="60" w:after="60" w:line="240" w:lineRule="auto"/>
              <w:jc w:val="right"/>
              <w:rPr>
                <w:rFonts w:ascii="Calibri" w:hAnsi="Calibri" w:cs="Calibri"/>
                <w:color w:val="000000"/>
              </w:rPr>
            </w:pPr>
            <w:r w:rsidRPr="00C12BAA">
              <w:rPr>
                <w:rFonts w:ascii="Calibri" w:hAnsi="Calibri" w:cs="Calibri"/>
                <w:color w:val="000000"/>
              </w:rPr>
              <w:t>19</w:t>
            </w:r>
          </w:p>
        </w:tc>
        <w:tc>
          <w:tcPr>
            <w:tcW w:w="1530" w:type="dxa"/>
            <w:tcBorders>
              <w:top w:val="single" w:sz="4" w:space="0" w:color="auto"/>
              <w:left w:val="single" w:sz="4" w:space="0" w:color="auto"/>
              <w:bottom w:val="single" w:sz="4" w:space="0" w:color="auto"/>
              <w:right w:val="single" w:sz="4" w:space="0" w:color="auto"/>
            </w:tcBorders>
          </w:tcPr>
          <w:p w14:paraId="2FD9D502" w14:textId="77777777" w:rsidR="00EA6A10" w:rsidRPr="00C12BAA" w:rsidRDefault="00EA6A10" w:rsidP="007A55D2">
            <w:pPr>
              <w:spacing w:before="60" w:after="60" w:line="240" w:lineRule="auto"/>
              <w:jc w:val="right"/>
              <w:rPr>
                <w:rFonts w:ascii="Calibri" w:hAnsi="Calibri" w:cs="Calibri"/>
              </w:rPr>
            </w:pPr>
            <w:r w:rsidRPr="00C12BAA">
              <w:rPr>
                <w:rFonts w:ascii="Calibri" w:hAnsi="Calibri" w:cs="Calibri"/>
              </w:rPr>
              <w:t>16</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2CD6B64" w14:textId="77777777" w:rsidR="00EA6A10" w:rsidRPr="00C12BAA" w:rsidRDefault="00EA6A10" w:rsidP="007A55D2">
            <w:pPr>
              <w:spacing w:before="60" w:after="60" w:line="240" w:lineRule="auto"/>
              <w:jc w:val="right"/>
              <w:rPr>
                <w:rFonts w:ascii="Calibri" w:hAnsi="Calibri" w:cs="Calibri"/>
              </w:rPr>
            </w:pPr>
            <w:r w:rsidRPr="00C12BAA">
              <w:rPr>
                <w:rFonts w:ascii="Calibri" w:hAnsi="Calibri" w:cs="Calibri"/>
              </w:rPr>
              <w:t>-0.3</w:t>
            </w:r>
          </w:p>
        </w:tc>
      </w:tr>
      <w:tr w:rsidR="00EA6A10" w:rsidRPr="00C12BAA" w14:paraId="541C2737" w14:textId="77777777" w:rsidTr="000C5F2B">
        <w:trPr>
          <w:trHeight w:val="288"/>
        </w:trPr>
        <w:tc>
          <w:tcPr>
            <w:tcW w:w="985" w:type="dxa"/>
            <w:vMerge/>
            <w:tcBorders>
              <w:left w:val="single" w:sz="4" w:space="0" w:color="auto"/>
              <w:right w:val="single" w:sz="4" w:space="0" w:color="auto"/>
            </w:tcBorders>
          </w:tcPr>
          <w:p w14:paraId="190D83D6" w14:textId="77777777" w:rsidR="00EA6A10" w:rsidRPr="00C12BAA" w:rsidRDefault="00EA6A10" w:rsidP="007A55D2">
            <w:pPr>
              <w:spacing w:before="60" w:after="60" w:line="240" w:lineRule="auto"/>
              <w:rPr>
                <w:rFonts w:ascii="Calibri" w:hAnsi="Calibri" w:cs="Calibri"/>
                <w:color w:val="000000"/>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75D31" w14:textId="77777777" w:rsidR="00EA6A10" w:rsidRPr="00C12BAA" w:rsidRDefault="00EA6A10" w:rsidP="007A55D2">
            <w:pPr>
              <w:spacing w:before="60" w:after="60" w:line="240" w:lineRule="auto"/>
              <w:rPr>
                <w:rFonts w:ascii="Calibri" w:hAnsi="Calibri" w:cs="Calibri"/>
                <w:color w:val="000000"/>
              </w:rPr>
            </w:pPr>
            <w:r w:rsidRPr="00C12BAA">
              <w:rPr>
                <w:rFonts w:ascii="Calibri" w:hAnsi="Calibri" w:cs="Calibri"/>
                <w:color w:val="000000"/>
              </w:rPr>
              <w:t>PATHWAYS Scenario (-2%)</w:t>
            </w:r>
          </w:p>
        </w:tc>
        <w:tc>
          <w:tcPr>
            <w:tcW w:w="1530" w:type="dxa"/>
            <w:tcBorders>
              <w:top w:val="single" w:sz="4" w:space="0" w:color="auto"/>
              <w:left w:val="single" w:sz="4" w:space="0" w:color="auto"/>
              <w:bottom w:val="single" w:sz="4" w:space="0" w:color="auto"/>
              <w:right w:val="single" w:sz="4" w:space="0" w:color="auto"/>
            </w:tcBorders>
          </w:tcPr>
          <w:p w14:paraId="020F0057" w14:textId="77777777" w:rsidR="00EA6A10" w:rsidRPr="00C12BAA" w:rsidRDefault="00EA6A10" w:rsidP="007A55D2">
            <w:pPr>
              <w:spacing w:before="60" w:after="60" w:line="240" w:lineRule="auto"/>
              <w:jc w:val="right"/>
              <w:rPr>
                <w:rFonts w:ascii="Calibri" w:hAnsi="Calibri" w:cs="Calibri"/>
                <w:color w:val="000000"/>
              </w:rPr>
            </w:pPr>
            <w:r w:rsidRPr="00C12BAA">
              <w:rPr>
                <w:rFonts w:ascii="Calibri" w:hAnsi="Calibri" w:cs="Calibri"/>
                <w:color w:val="000000"/>
              </w:rPr>
              <w:t>19</w:t>
            </w:r>
          </w:p>
        </w:tc>
        <w:tc>
          <w:tcPr>
            <w:tcW w:w="1530" w:type="dxa"/>
            <w:tcBorders>
              <w:top w:val="single" w:sz="4" w:space="0" w:color="auto"/>
              <w:left w:val="single" w:sz="4" w:space="0" w:color="auto"/>
              <w:bottom w:val="single" w:sz="4" w:space="0" w:color="auto"/>
              <w:right w:val="single" w:sz="4" w:space="0" w:color="auto"/>
            </w:tcBorders>
          </w:tcPr>
          <w:p w14:paraId="148CAD6D" w14:textId="5B91BA98" w:rsidR="00EA6A10" w:rsidRPr="00C12BAA" w:rsidRDefault="00EA6A10" w:rsidP="007A55D2">
            <w:pPr>
              <w:spacing w:before="60" w:after="60" w:line="240" w:lineRule="auto"/>
              <w:jc w:val="right"/>
              <w:rPr>
                <w:rFonts w:ascii="Calibri" w:hAnsi="Calibri" w:cs="Calibri"/>
              </w:rPr>
            </w:pPr>
            <w:r w:rsidRPr="00C12BAA">
              <w:rPr>
                <w:rFonts w:ascii="Calibri" w:hAnsi="Calibri" w:cs="Calibri"/>
              </w:rPr>
              <w:t>8</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3E5DB54" w14:textId="77777777" w:rsidR="00EA6A10" w:rsidRPr="00C12BAA" w:rsidRDefault="00EA6A10" w:rsidP="007A55D2">
            <w:pPr>
              <w:spacing w:before="60" w:after="60" w:line="240" w:lineRule="auto"/>
              <w:jc w:val="right"/>
              <w:rPr>
                <w:rFonts w:ascii="Calibri" w:hAnsi="Calibri" w:cs="Calibri"/>
              </w:rPr>
            </w:pPr>
            <w:r w:rsidRPr="00C12BAA">
              <w:rPr>
                <w:rFonts w:ascii="Calibri" w:hAnsi="Calibri" w:cs="Calibri"/>
              </w:rPr>
              <w:t>-0.9</w:t>
            </w:r>
          </w:p>
        </w:tc>
      </w:tr>
      <w:tr w:rsidR="00EA6A10" w:rsidRPr="00C12BAA" w14:paraId="618D496C" w14:textId="77777777" w:rsidTr="000C5F2B">
        <w:trPr>
          <w:trHeight w:val="288"/>
        </w:trPr>
        <w:tc>
          <w:tcPr>
            <w:tcW w:w="985" w:type="dxa"/>
            <w:vMerge/>
            <w:tcBorders>
              <w:left w:val="single" w:sz="4" w:space="0" w:color="auto"/>
              <w:bottom w:val="single" w:sz="4" w:space="0" w:color="auto"/>
              <w:right w:val="single" w:sz="4" w:space="0" w:color="auto"/>
            </w:tcBorders>
          </w:tcPr>
          <w:p w14:paraId="57195301" w14:textId="77777777" w:rsidR="00EA6A10" w:rsidRPr="00C12BAA" w:rsidRDefault="00EA6A10" w:rsidP="007A55D2">
            <w:pPr>
              <w:spacing w:before="60" w:after="60" w:line="240" w:lineRule="auto"/>
              <w:rPr>
                <w:rFonts w:ascii="Calibri" w:hAnsi="Calibri" w:cs="Calibri"/>
                <w:color w:val="000000"/>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22808" w14:textId="77777777" w:rsidR="00EA6A10" w:rsidRPr="00C12BAA" w:rsidRDefault="00EA6A10" w:rsidP="007A55D2">
            <w:pPr>
              <w:spacing w:before="60" w:after="60" w:line="240" w:lineRule="auto"/>
              <w:rPr>
                <w:rFonts w:ascii="Calibri" w:hAnsi="Calibri" w:cs="Calibri"/>
                <w:color w:val="000000"/>
              </w:rPr>
            </w:pPr>
            <w:r w:rsidRPr="00C12BAA">
              <w:rPr>
                <w:rFonts w:ascii="Calibri" w:hAnsi="Calibri" w:cs="Calibri"/>
                <w:color w:val="000000"/>
              </w:rPr>
              <w:t>Business-as-Usual Scenario (-0.5%)</w:t>
            </w:r>
          </w:p>
        </w:tc>
        <w:tc>
          <w:tcPr>
            <w:tcW w:w="1530" w:type="dxa"/>
            <w:tcBorders>
              <w:top w:val="single" w:sz="4" w:space="0" w:color="auto"/>
              <w:left w:val="single" w:sz="4" w:space="0" w:color="auto"/>
              <w:bottom w:val="single" w:sz="4" w:space="0" w:color="auto"/>
              <w:right w:val="single" w:sz="4" w:space="0" w:color="auto"/>
            </w:tcBorders>
          </w:tcPr>
          <w:p w14:paraId="5F166623" w14:textId="77777777" w:rsidR="00EA6A10" w:rsidRPr="00C12BAA" w:rsidRDefault="00EA6A10" w:rsidP="007A55D2">
            <w:pPr>
              <w:spacing w:before="60" w:after="60" w:line="240" w:lineRule="auto"/>
              <w:jc w:val="right"/>
              <w:rPr>
                <w:rFonts w:ascii="Calibri" w:hAnsi="Calibri" w:cs="Calibri"/>
                <w:color w:val="000000"/>
              </w:rPr>
            </w:pPr>
            <w:r w:rsidRPr="00C12BAA">
              <w:rPr>
                <w:rFonts w:ascii="Calibri" w:hAnsi="Calibri" w:cs="Calibri"/>
                <w:color w:val="000000"/>
              </w:rPr>
              <w:t>19</w:t>
            </w:r>
          </w:p>
        </w:tc>
        <w:tc>
          <w:tcPr>
            <w:tcW w:w="1530" w:type="dxa"/>
            <w:tcBorders>
              <w:top w:val="single" w:sz="4" w:space="0" w:color="auto"/>
              <w:left w:val="single" w:sz="4" w:space="0" w:color="auto"/>
              <w:bottom w:val="single" w:sz="4" w:space="0" w:color="auto"/>
              <w:right w:val="single" w:sz="4" w:space="0" w:color="auto"/>
            </w:tcBorders>
          </w:tcPr>
          <w:p w14:paraId="7959457F" w14:textId="63902F62" w:rsidR="00EA6A10" w:rsidRPr="00C12BAA" w:rsidRDefault="00EA6A10" w:rsidP="007A55D2">
            <w:pPr>
              <w:spacing w:before="60" w:after="60" w:line="240" w:lineRule="auto"/>
              <w:jc w:val="right"/>
              <w:rPr>
                <w:rFonts w:ascii="Calibri" w:hAnsi="Calibri" w:cs="Calibri"/>
              </w:rPr>
            </w:pPr>
            <w:r w:rsidRPr="00C12BAA">
              <w:rPr>
                <w:rFonts w:ascii="Calibri" w:hAnsi="Calibri" w:cs="Calibri"/>
              </w:rPr>
              <w:t>-2</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0CC1D4F" w14:textId="77777777" w:rsidR="00EA6A10" w:rsidRPr="00C12BAA" w:rsidRDefault="00EA6A10" w:rsidP="007A55D2">
            <w:pPr>
              <w:spacing w:before="60" w:after="60" w:line="240" w:lineRule="auto"/>
              <w:jc w:val="right"/>
              <w:rPr>
                <w:rFonts w:ascii="Calibri" w:hAnsi="Calibri" w:cs="Calibri"/>
              </w:rPr>
            </w:pPr>
            <w:r w:rsidRPr="00C12BAA">
              <w:rPr>
                <w:rFonts w:ascii="Calibri" w:hAnsi="Calibri" w:cs="Calibri"/>
              </w:rPr>
              <w:t>-1.6</w:t>
            </w:r>
          </w:p>
        </w:tc>
      </w:tr>
    </w:tbl>
    <w:p w14:paraId="237A2CEB" w14:textId="2B9EB630" w:rsidR="00EA6A10" w:rsidRPr="00C12BAA" w:rsidRDefault="00EA6A10" w:rsidP="00D9668A">
      <w:pPr>
        <w:pStyle w:val="Figurecaption"/>
        <w:rPr>
          <w:rFonts w:ascii="Calibri" w:hAnsi="Calibri" w:cs="Calibri"/>
          <w:i/>
          <w:iCs/>
        </w:rPr>
      </w:pPr>
      <w:r w:rsidRPr="00C12BAA">
        <w:rPr>
          <w:rFonts w:ascii="Calibri" w:hAnsi="Calibri" w:cs="Calibri"/>
          <w:i/>
          <w:iCs/>
        </w:rPr>
        <w:br w:type="page"/>
      </w:r>
    </w:p>
    <w:p w14:paraId="211A002D" w14:textId="5BC03938" w:rsidR="00EA6A10" w:rsidRPr="00C12BAA" w:rsidRDefault="00EA6A10" w:rsidP="00921B0B">
      <w:pPr>
        <w:spacing w:after="240" w:line="288" w:lineRule="auto"/>
        <w:rPr>
          <w:rFonts w:ascii="Calibri" w:hAnsi="Calibri" w:cs="Calibri"/>
          <w:b/>
          <w:bCs/>
        </w:rPr>
      </w:pPr>
      <w:r w:rsidRPr="00C12BAA">
        <w:rPr>
          <w:rFonts w:ascii="Calibri" w:hAnsi="Calibri" w:cs="Calibri"/>
          <w:b/>
          <w:bCs/>
        </w:rPr>
        <w:lastRenderedPageBreak/>
        <w:t xml:space="preserve">References </w:t>
      </w:r>
    </w:p>
    <w:p w14:paraId="3245481A" w14:textId="77777777" w:rsidR="00450B19" w:rsidRPr="00C12BAA" w:rsidRDefault="00EA6A10"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fldChar w:fldCharType="begin"/>
      </w:r>
      <w:r w:rsidR="00450B19" w:rsidRPr="00C12BAA">
        <w:rPr>
          <w:rFonts w:ascii="Calibri" w:hAnsi="Calibri" w:cs="Calibri"/>
        </w:rPr>
        <w:instrText xml:space="preserve"> ADDIN ZOTERO_BIBL {"uncited":[],"omitted":[],"custom":[]} CSL_BIBLIOGRAPHY </w:instrText>
      </w:r>
      <w:r w:rsidRPr="00C12BAA">
        <w:rPr>
          <w:rFonts w:ascii="Calibri" w:hAnsi="Calibri" w:cs="Calibri"/>
        </w:rPr>
        <w:fldChar w:fldCharType="separate"/>
      </w:r>
      <w:r w:rsidR="00450B19" w:rsidRPr="00C12BAA">
        <w:rPr>
          <w:rFonts w:ascii="Calibri" w:hAnsi="Calibri" w:cs="Calibri"/>
        </w:rPr>
        <w:t>Cal. Code Regs., 2019. tit. 17, § 95801-96022.</w:t>
      </w:r>
    </w:p>
    <w:p w14:paraId="26EBD06F"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CARB, 2019a. Mandatory Greenhouse Gas Reporting Regulation. https://ww2.arb.ca.gov/mrr-regulation.</w:t>
      </w:r>
    </w:p>
    <w:p w14:paraId="3FA7F4A3"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CARB, 2019b. California Greenhouse Gas Emission Inventory Program. https://www.arb.ca.gov/cc/inventory/inventory.htm.</w:t>
      </w:r>
    </w:p>
    <w:p w14:paraId="2960E18A"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CARB, 2019c. Compliance Instrument Report. https://arb.ca.gov/cc/capandtrade/complianceinstrumentreport.xlsx.</w:t>
      </w:r>
    </w:p>
    <w:p w14:paraId="04B93A30"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CARB, 2018a. Amendments to Cap-and-Trade Regulation Workshop. https://www.arb.ca.gov/cc/capandtrade/meetings/20180302/ct_workshop_3-1-18.pdf.</w:t>
      </w:r>
    </w:p>
    <w:p w14:paraId="50F9E8C0"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CARB, 2018b. Supporting Material for Assessment of Post-2020 Caps. https://www.arb.ca.gov/cc/capandtrade/meetings/20180426/carb_post2020caps.pdf.</w:t>
      </w:r>
    </w:p>
    <w:p w14:paraId="1E62F920"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CARB, 2017a. California’s 2017 Climate Change Scoping Plan. https://www.arb.ca.gov/cc/scopingplan/scopingplan.htm.</w:t>
      </w:r>
    </w:p>
    <w:p w14:paraId="55FBFF44"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CARB, 2017b. PATHWAYS Output Tool: Reference, Scoping Plan and All Cap-and-Trade Cases including 60% RPS Sensitivities. https://ww3.arb.ca.gov/cc/scopingplan/comparison_graphs_6cases101817.xlsm.</w:t>
      </w:r>
    </w:p>
    <w:p w14:paraId="3F7CA7D9"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Cullenward, D., Inman, M., Mastrandrea, M., 2019. Tracking banking in the Western Climate Initiative cap-and-trade program. Preprint. https://doi.org/10.17605/OSF.IO/U7HRP</w:t>
      </w:r>
    </w:p>
    <w:p w14:paraId="2C400900"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Inman, M., 2019. WCI-RULES repository for model code and data inputs. https://doi.org/10.17605/OSF.IO/S7HQ3</w:t>
      </w:r>
    </w:p>
    <w:p w14:paraId="2FA5FE52"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Inman, M., Cullenward, D., Mastrandrea, M., 2018. Ready, fire, aim: ARB’s overallocation report misses its target. Near Zero. http://wp.nearzero.org/wp-content/uploads/2018/05/Near-Zero-Post-2020-Caps-Report.pdf.</w:t>
      </w:r>
    </w:p>
    <w:p w14:paraId="0E1A67E8"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Mastrandrea, M., Cullenward, D., Inman, M., 2018. Ontario’s exit exacerbates allowance overallocation in the Western Climate Initiative cap-and-trade program. Near Zero. http://www.nearzero.org/wp/2018/07/16/ontarios-exit-exacerbates-allowance-overallocation-in-the-western-climate-initiative-cap-and-trade-program/.</w:t>
      </w:r>
    </w:p>
    <w:p w14:paraId="2610FA23"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MELCC, 2018. Inventaire québécois des émissions de gaz à effet de serre. http://www.environnement.gouv.qc.ca/changements/ges/.</w:t>
      </w:r>
    </w:p>
    <w:p w14:paraId="7458D5CC" w14:textId="77777777" w:rsidR="00450B19" w:rsidRPr="00C12BAA" w:rsidRDefault="00450B19"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t>Québec, 2019. Regulation respecting mandatory reporting of certain emissions of contaminants into the atmosphere. http://legisquebec.gouv.qc.ca/en/ShowDoc/cr/Q-2,%20r.%2015.</w:t>
      </w:r>
    </w:p>
    <w:p w14:paraId="15921B74" w14:textId="0F0EDF16" w:rsidR="00EA6A10" w:rsidRPr="00C12BAA" w:rsidRDefault="00EA6A10" w:rsidP="00921B0B">
      <w:pPr>
        <w:pStyle w:val="References"/>
        <w:spacing w:before="0" w:after="120" w:line="240" w:lineRule="auto"/>
        <w:ind w:left="360" w:hanging="360"/>
        <w:contextualSpacing w:val="0"/>
        <w:rPr>
          <w:rFonts w:ascii="Calibri" w:hAnsi="Calibri" w:cs="Calibri"/>
        </w:rPr>
      </w:pPr>
      <w:r w:rsidRPr="00C12BAA">
        <w:rPr>
          <w:rFonts w:ascii="Calibri" w:hAnsi="Calibri" w:cs="Calibri"/>
        </w:rPr>
        <w:fldChar w:fldCharType="end"/>
      </w:r>
    </w:p>
    <w:p w14:paraId="2BDF03EB" w14:textId="77777777" w:rsidR="00A86047" w:rsidRPr="00C12BAA" w:rsidRDefault="00A86047" w:rsidP="00450B19">
      <w:pPr>
        <w:pStyle w:val="References"/>
        <w:rPr>
          <w:rFonts w:ascii="Calibri" w:hAnsi="Calibri" w:cs="Calibri"/>
        </w:rPr>
      </w:pPr>
    </w:p>
    <w:sectPr w:rsidR="00A86047" w:rsidRPr="00C12BAA" w:rsidSect="00C12BAA">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FEB2D" w14:textId="77777777" w:rsidR="0084502D" w:rsidRDefault="0084502D" w:rsidP="00C12BAA">
      <w:pPr>
        <w:spacing w:line="240" w:lineRule="auto"/>
      </w:pPr>
      <w:r>
        <w:separator/>
      </w:r>
    </w:p>
  </w:endnote>
  <w:endnote w:type="continuationSeparator" w:id="0">
    <w:p w14:paraId="0E75131F" w14:textId="77777777" w:rsidR="0084502D" w:rsidRDefault="0084502D" w:rsidP="00C12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8125092"/>
      <w:docPartObj>
        <w:docPartGallery w:val="Page Numbers (Bottom of Page)"/>
        <w:docPartUnique/>
      </w:docPartObj>
    </w:sdtPr>
    <w:sdtEndPr>
      <w:rPr>
        <w:rStyle w:val="PageNumber"/>
      </w:rPr>
    </w:sdtEndPr>
    <w:sdtContent>
      <w:p w14:paraId="2CF711B2" w14:textId="3748B74F" w:rsidR="006E20C3" w:rsidRDefault="006E20C3" w:rsidP="00604C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78E543" w14:textId="77777777" w:rsidR="006E20C3" w:rsidRDefault="006E20C3" w:rsidP="00C12B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F911" w14:textId="77777777" w:rsidR="006E20C3" w:rsidRDefault="006E20C3" w:rsidP="00C12BAA">
    <w:pPr>
      <w:pStyle w:val="Footer"/>
      <w:ind w:right="360"/>
    </w:pPr>
    <w:bookmarkStart w:id="25" w:name="_GoBack"/>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EF44" w14:textId="77777777" w:rsidR="003D0D8E" w:rsidRDefault="003D0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84FA" w14:textId="77777777" w:rsidR="0084502D" w:rsidRDefault="0084502D" w:rsidP="00C12BAA">
      <w:pPr>
        <w:spacing w:line="240" w:lineRule="auto"/>
      </w:pPr>
      <w:r>
        <w:separator/>
      </w:r>
    </w:p>
  </w:footnote>
  <w:footnote w:type="continuationSeparator" w:id="0">
    <w:p w14:paraId="7BAA3D7A" w14:textId="77777777" w:rsidR="0084502D" w:rsidRDefault="0084502D" w:rsidP="00C12B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D75A" w14:textId="77777777" w:rsidR="003D0D8E" w:rsidRDefault="003D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EC14" w14:textId="77777777" w:rsidR="003D0D8E" w:rsidRDefault="003D0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3025" w14:textId="77777777" w:rsidR="003D0D8E" w:rsidRDefault="003D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96BF8"/>
    <w:multiLevelType w:val="hybridMultilevel"/>
    <w:tmpl w:val="54F82872"/>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A3700"/>
    <w:multiLevelType w:val="multilevel"/>
    <w:tmpl w:val="0E82FF9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ny Cullenward">
    <w15:presenceInfo w15:providerId="AD" w15:userId="S::dcullenward@carnegiescience.edu::fbe1ce60-47a6-4258-a509-9df269ba31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10"/>
    <w:rsid w:val="00000474"/>
    <w:rsid w:val="00003544"/>
    <w:rsid w:val="0000426D"/>
    <w:rsid w:val="00093E1D"/>
    <w:rsid w:val="000B1135"/>
    <w:rsid w:val="000B1A65"/>
    <w:rsid w:val="000C5F2B"/>
    <w:rsid w:val="000E4B11"/>
    <w:rsid w:val="000F77AF"/>
    <w:rsid w:val="00130B0E"/>
    <w:rsid w:val="00134DE3"/>
    <w:rsid w:val="001379F9"/>
    <w:rsid w:val="00141254"/>
    <w:rsid w:val="00141E17"/>
    <w:rsid w:val="00142226"/>
    <w:rsid w:val="00147CAC"/>
    <w:rsid w:val="001549A3"/>
    <w:rsid w:val="00176A42"/>
    <w:rsid w:val="00191A39"/>
    <w:rsid w:val="001C1A69"/>
    <w:rsid w:val="001C21D9"/>
    <w:rsid w:val="001C2625"/>
    <w:rsid w:val="001C641A"/>
    <w:rsid w:val="001C6ABC"/>
    <w:rsid w:val="001E76AC"/>
    <w:rsid w:val="001F6C6C"/>
    <w:rsid w:val="001F7FBC"/>
    <w:rsid w:val="0020755B"/>
    <w:rsid w:val="00286C61"/>
    <w:rsid w:val="00290F57"/>
    <w:rsid w:val="002A0CFE"/>
    <w:rsid w:val="002B5BFB"/>
    <w:rsid w:val="002E233E"/>
    <w:rsid w:val="002E234E"/>
    <w:rsid w:val="00344F0C"/>
    <w:rsid w:val="00345997"/>
    <w:rsid w:val="00356F65"/>
    <w:rsid w:val="003646E4"/>
    <w:rsid w:val="00371FEA"/>
    <w:rsid w:val="0037380E"/>
    <w:rsid w:val="00385BFC"/>
    <w:rsid w:val="00386631"/>
    <w:rsid w:val="003933DA"/>
    <w:rsid w:val="003C2335"/>
    <w:rsid w:val="003C4E7F"/>
    <w:rsid w:val="003D0D8E"/>
    <w:rsid w:val="00421081"/>
    <w:rsid w:val="0043067C"/>
    <w:rsid w:val="00434254"/>
    <w:rsid w:val="00450B19"/>
    <w:rsid w:val="00496272"/>
    <w:rsid w:val="004A28AA"/>
    <w:rsid w:val="004F395B"/>
    <w:rsid w:val="004F4731"/>
    <w:rsid w:val="00507FE7"/>
    <w:rsid w:val="00524638"/>
    <w:rsid w:val="005300F5"/>
    <w:rsid w:val="00556388"/>
    <w:rsid w:val="00581895"/>
    <w:rsid w:val="00583041"/>
    <w:rsid w:val="00595034"/>
    <w:rsid w:val="00596C5C"/>
    <w:rsid w:val="005B3E1D"/>
    <w:rsid w:val="005C036B"/>
    <w:rsid w:val="005D0807"/>
    <w:rsid w:val="005D64B5"/>
    <w:rsid w:val="005D770C"/>
    <w:rsid w:val="005E72A4"/>
    <w:rsid w:val="005F49B7"/>
    <w:rsid w:val="00600E94"/>
    <w:rsid w:val="00604CA0"/>
    <w:rsid w:val="006077AA"/>
    <w:rsid w:val="00614293"/>
    <w:rsid w:val="00627B9A"/>
    <w:rsid w:val="006302DF"/>
    <w:rsid w:val="006909CD"/>
    <w:rsid w:val="006B31A9"/>
    <w:rsid w:val="006E20C3"/>
    <w:rsid w:val="00700BF7"/>
    <w:rsid w:val="00712F27"/>
    <w:rsid w:val="00721FA8"/>
    <w:rsid w:val="00737AAA"/>
    <w:rsid w:val="00766DCE"/>
    <w:rsid w:val="00766FDE"/>
    <w:rsid w:val="00770996"/>
    <w:rsid w:val="007762BE"/>
    <w:rsid w:val="007956A3"/>
    <w:rsid w:val="0079737D"/>
    <w:rsid w:val="007A55D2"/>
    <w:rsid w:val="007A68ED"/>
    <w:rsid w:val="008179BC"/>
    <w:rsid w:val="00822167"/>
    <w:rsid w:val="008350F0"/>
    <w:rsid w:val="0084502D"/>
    <w:rsid w:val="00860DB1"/>
    <w:rsid w:val="0087469D"/>
    <w:rsid w:val="00890ADC"/>
    <w:rsid w:val="008E6D1E"/>
    <w:rsid w:val="008F2C21"/>
    <w:rsid w:val="0091649E"/>
    <w:rsid w:val="00921B0B"/>
    <w:rsid w:val="00932139"/>
    <w:rsid w:val="00934EE1"/>
    <w:rsid w:val="009426D4"/>
    <w:rsid w:val="00944013"/>
    <w:rsid w:val="00986782"/>
    <w:rsid w:val="009A17AB"/>
    <w:rsid w:val="009A2D19"/>
    <w:rsid w:val="009D1D15"/>
    <w:rsid w:val="009F4607"/>
    <w:rsid w:val="00A42985"/>
    <w:rsid w:val="00A42B13"/>
    <w:rsid w:val="00A562A4"/>
    <w:rsid w:val="00A86047"/>
    <w:rsid w:val="00A86C2A"/>
    <w:rsid w:val="00AB14F8"/>
    <w:rsid w:val="00AD1E29"/>
    <w:rsid w:val="00B018B0"/>
    <w:rsid w:val="00B03F7D"/>
    <w:rsid w:val="00B23676"/>
    <w:rsid w:val="00B472F8"/>
    <w:rsid w:val="00B6614A"/>
    <w:rsid w:val="00B7486E"/>
    <w:rsid w:val="00BA1820"/>
    <w:rsid w:val="00BA5C03"/>
    <w:rsid w:val="00BA7167"/>
    <w:rsid w:val="00BB49E6"/>
    <w:rsid w:val="00BC1DDF"/>
    <w:rsid w:val="00BD08D8"/>
    <w:rsid w:val="00BE6354"/>
    <w:rsid w:val="00BF0457"/>
    <w:rsid w:val="00BF41B6"/>
    <w:rsid w:val="00C05D92"/>
    <w:rsid w:val="00C11A04"/>
    <w:rsid w:val="00C12BAA"/>
    <w:rsid w:val="00C16647"/>
    <w:rsid w:val="00C20D51"/>
    <w:rsid w:val="00C44162"/>
    <w:rsid w:val="00C627CA"/>
    <w:rsid w:val="00C90EBB"/>
    <w:rsid w:val="00CB6C2A"/>
    <w:rsid w:val="00CF5DEF"/>
    <w:rsid w:val="00D05B1E"/>
    <w:rsid w:val="00D125F3"/>
    <w:rsid w:val="00D21ACA"/>
    <w:rsid w:val="00D43776"/>
    <w:rsid w:val="00D54F6F"/>
    <w:rsid w:val="00D8690E"/>
    <w:rsid w:val="00D92912"/>
    <w:rsid w:val="00D9668A"/>
    <w:rsid w:val="00DC530E"/>
    <w:rsid w:val="00DD3BC2"/>
    <w:rsid w:val="00DE6F41"/>
    <w:rsid w:val="00E02461"/>
    <w:rsid w:val="00E93C95"/>
    <w:rsid w:val="00EA6A10"/>
    <w:rsid w:val="00EE4999"/>
    <w:rsid w:val="00EF6EB8"/>
    <w:rsid w:val="00F04713"/>
    <w:rsid w:val="00F33D3B"/>
    <w:rsid w:val="00F352AE"/>
    <w:rsid w:val="00F50D22"/>
    <w:rsid w:val="00F538E3"/>
    <w:rsid w:val="00F57310"/>
    <w:rsid w:val="00F92563"/>
    <w:rsid w:val="00FE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FF0"/>
  <w14:defaultImageDpi w14:val="32767"/>
  <w15:chartTrackingRefBased/>
  <w15:docId w15:val="{8D71FD0B-D31D-E742-B105-73DE4EFD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A6A10"/>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uiPriority w:val="9"/>
    <w:qFormat/>
    <w:rsid w:val="00B03F7D"/>
    <w:pPr>
      <w:keepNext/>
      <w:numPr>
        <w:numId w:val="3"/>
      </w:numPr>
      <w:spacing w:before="480" w:after="240" w:line="288" w:lineRule="auto"/>
      <w:ind w:right="562"/>
      <w:contextualSpacing/>
      <w:outlineLvl w:val="0"/>
    </w:pPr>
    <w:rPr>
      <w:rFonts w:cs="Arial"/>
      <w:b/>
      <w:bCs/>
      <w:kern w:val="32"/>
      <w:szCs w:val="32"/>
    </w:rPr>
  </w:style>
  <w:style w:type="paragraph" w:styleId="Heading2">
    <w:name w:val="heading 2"/>
    <w:basedOn w:val="Heading3"/>
    <w:next w:val="Paragraph"/>
    <w:link w:val="Heading2Char"/>
    <w:uiPriority w:val="9"/>
    <w:qFormat/>
    <w:rsid w:val="00712F27"/>
    <w:pPr>
      <w:numPr>
        <w:ilvl w:val="1"/>
        <w:numId w:val="3"/>
      </w:numPr>
      <w:spacing w:before="240" w:after="240" w:line="288" w:lineRule="auto"/>
      <w:ind w:right="562"/>
      <w:outlineLvl w:val="1"/>
    </w:pPr>
    <w:rPr>
      <w:rFonts w:cs="Times New Roman"/>
      <w:b/>
      <w:i w:val="0"/>
    </w:rPr>
  </w:style>
  <w:style w:type="paragraph" w:styleId="Heading3">
    <w:name w:val="heading 3"/>
    <w:basedOn w:val="Normal"/>
    <w:next w:val="Paragraph"/>
    <w:link w:val="Heading3Char"/>
    <w:uiPriority w:val="9"/>
    <w:qFormat/>
    <w:rsid w:val="00EA6A10"/>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EA6A10"/>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F7D"/>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uiPriority w:val="9"/>
    <w:rsid w:val="00712F27"/>
    <w:rPr>
      <w:rFonts w:ascii="Times New Roman" w:eastAsia="Times New Roman" w:hAnsi="Times New Roman" w:cs="Times New Roman"/>
      <w:b/>
      <w:bCs/>
      <w:szCs w:val="26"/>
      <w:lang w:val="en-GB" w:eastAsia="en-GB"/>
    </w:rPr>
  </w:style>
  <w:style w:type="character" w:customStyle="1" w:styleId="Heading3Char">
    <w:name w:val="Heading 3 Char"/>
    <w:basedOn w:val="DefaultParagraphFont"/>
    <w:link w:val="Heading3"/>
    <w:uiPriority w:val="9"/>
    <w:rsid w:val="00EA6A10"/>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EA6A10"/>
    <w:rPr>
      <w:rFonts w:ascii="Times New Roman" w:eastAsia="Times New Roman" w:hAnsi="Times New Roman" w:cs="Times New Roman"/>
      <w:bCs/>
      <w:szCs w:val="28"/>
      <w:lang w:val="en-GB" w:eastAsia="en-GB"/>
    </w:rPr>
  </w:style>
  <w:style w:type="character" w:styleId="CommentReference">
    <w:name w:val="annotation reference"/>
    <w:basedOn w:val="DefaultParagraphFont"/>
    <w:uiPriority w:val="99"/>
    <w:semiHidden/>
    <w:unhideWhenUsed/>
    <w:rsid w:val="00EA6A10"/>
    <w:rPr>
      <w:sz w:val="16"/>
      <w:szCs w:val="16"/>
    </w:rPr>
  </w:style>
  <w:style w:type="paragraph" w:styleId="CommentText">
    <w:name w:val="annotation text"/>
    <w:basedOn w:val="Normal"/>
    <w:link w:val="CommentTextChar"/>
    <w:uiPriority w:val="99"/>
    <w:semiHidden/>
    <w:unhideWhenUsed/>
    <w:rsid w:val="00EA6A10"/>
    <w:rPr>
      <w:sz w:val="20"/>
      <w:szCs w:val="20"/>
    </w:rPr>
  </w:style>
  <w:style w:type="character" w:customStyle="1" w:styleId="CommentTextChar">
    <w:name w:val="Comment Text Char"/>
    <w:basedOn w:val="DefaultParagraphFont"/>
    <w:link w:val="CommentText"/>
    <w:uiPriority w:val="99"/>
    <w:semiHidden/>
    <w:rsid w:val="00EA6A1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A6A10"/>
    <w:rPr>
      <w:b/>
      <w:bCs/>
    </w:rPr>
  </w:style>
  <w:style w:type="character" w:customStyle="1" w:styleId="CommentSubjectChar">
    <w:name w:val="Comment Subject Char"/>
    <w:basedOn w:val="CommentTextChar"/>
    <w:link w:val="CommentSubject"/>
    <w:uiPriority w:val="99"/>
    <w:semiHidden/>
    <w:rsid w:val="00EA6A10"/>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EA6A10"/>
    <w:rPr>
      <w:sz w:val="18"/>
      <w:szCs w:val="18"/>
    </w:rPr>
  </w:style>
  <w:style w:type="character" w:customStyle="1" w:styleId="BalloonTextChar">
    <w:name w:val="Balloon Text Char"/>
    <w:basedOn w:val="DefaultParagraphFont"/>
    <w:link w:val="BalloonText"/>
    <w:uiPriority w:val="99"/>
    <w:semiHidden/>
    <w:rsid w:val="00EA6A10"/>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EA6A10"/>
    <w:pPr>
      <w:ind w:left="720"/>
      <w:contextualSpacing/>
    </w:pPr>
  </w:style>
  <w:style w:type="paragraph" w:styleId="Subtitle">
    <w:name w:val="Subtitle"/>
    <w:basedOn w:val="Normal"/>
    <w:next w:val="Normal"/>
    <w:link w:val="SubtitleChar"/>
    <w:uiPriority w:val="11"/>
    <w:qFormat/>
    <w:rsid w:val="00EA6A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A6A10"/>
    <w:rPr>
      <w:rFonts w:ascii="Times New Roman" w:eastAsiaTheme="minorEastAsia" w:hAnsi="Times New Roman" w:cs="Times New Roman"/>
      <w:color w:val="5A5A5A" w:themeColor="text1" w:themeTint="A5"/>
      <w:spacing w:val="15"/>
      <w:sz w:val="22"/>
      <w:szCs w:val="22"/>
      <w:lang w:val="en-GB" w:eastAsia="en-GB"/>
    </w:rPr>
  </w:style>
  <w:style w:type="character" w:styleId="Hyperlink">
    <w:name w:val="Hyperlink"/>
    <w:basedOn w:val="DefaultParagraphFont"/>
    <w:uiPriority w:val="99"/>
    <w:unhideWhenUsed/>
    <w:rsid w:val="00EA6A10"/>
    <w:rPr>
      <w:color w:val="0563C1" w:themeColor="hyperlink"/>
      <w:u w:val="single"/>
    </w:rPr>
  </w:style>
  <w:style w:type="character" w:styleId="UnresolvedMention">
    <w:name w:val="Unresolved Mention"/>
    <w:basedOn w:val="DefaultParagraphFont"/>
    <w:uiPriority w:val="99"/>
    <w:rsid w:val="00EA6A10"/>
    <w:rPr>
      <w:color w:val="605E5C"/>
      <w:shd w:val="clear" w:color="auto" w:fill="E1DFDD"/>
    </w:rPr>
  </w:style>
  <w:style w:type="table" w:styleId="TableGrid">
    <w:name w:val="Table Grid"/>
    <w:basedOn w:val="TableNormal"/>
    <w:uiPriority w:val="39"/>
    <w:rsid w:val="00EA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6A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A10"/>
    <w:rPr>
      <w:rFonts w:asciiTheme="majorHAnsi" w:eastAsiaTheme="majorEastAsia" w:hAnsiTheme="majorHAnsi" w:cstheme="majorBidi"/>
      <w:spacing w:val="-10"/>
      <w:kern w:val="28"/>
      <w:sz w:val="56"/>
      <w:szCs w:val="56"/>
      <w:lang w:val="en-GB" w:eastAsia="en-GB"/>
    </w:rPr>
  </w:style>
  <w:style w:type="paragraph" w:styleId="EndnoteText">
    <w:name w:val="endnote text"/>
    <w:basedOn w:val="Normal"/>
    <w:link w:val="EndnoteTextChar"/>
    <w:autoRedefine/>
    <w:rsid w:val="00EA6A10"/>
    <w:pPr>
      <w:ind w:left="284" w:hanging="284"/>
    </w:pPr>
    <w:rPr>
      <w:sz w:val="22"/>
      <w:szCs w:val="20"/>
    </w:rPr>
  </w:style>
  <w:style w:type="character" w:customStyle="1" w:styleId="EndnoteTextChar">
    <w:name w:val="Endnote Text Char"/>
    <w:basedOn w:val="DefaultParagraphFont"/>
    <w:link w:val="EndnoteText"/>
    <w:rsid w:val="00EA6A10"/>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EA6A10"/>
    <w:rPr>
      <w:vertAlign w:val="superscript"/>
    </w:rPr>
  </w:style>
  <w:style w:type="paragraph" w:styleId="FootnoteText">
    <w:name w:val="footnote text"/>
    <w:basedOn w:val="Normal"/>
    <w:link w:val="FootnoteTextChar"/>
    <w:autoRedefine/>
    <w:rsid w:val="00EA6A10"/>
    <w:pPr>
      <w:ind w:left="284" w:hanging="284"/>
    </w:pPr>
    <w:rPr>
      <w:sz w:val="22"/>
      <w:szCs w:val="20"/>
    </w:rPr>
  </w:style>
  <w:style w:type="character" w:customStyle="1" w:styleId="FootnoteTextChar">
    <w:name w:val="Footnote Text Char"/>
    <w:basedOn w:val="DefaultParagraphFont"/>
    <w:link w:val="FootnoteText"/>
    <w:rsid w:val="00EA6A10"/>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EA6A10"/>
    <w:rPr>
      <w:vertAlign w:val="superscript"/>
    </w:rPr>
  </w:style>
  <w:style w:type="paragraph" w:styleId="Bibliography">
    <w:name w:val="Bibliography"/>
    <w:basedOn w:val="Normal"/>
    <w:next w:val="Normal"/>
    <w:uiPriority w:val="37"/>
    <w:unhideWhenUsed/>
    <w:rsid w:val="00EA6A10"/>
    <w:pPr>
      <w:spacing w:line="240" w:lineRule="auto"/>
      <w:ind w:left="720" w:hanging="720"/>
    </w:pPr>
  </w:style>
  <w:style w:type="paragraph" w:styleId="Revision">
    <w:name w:val="Revision"/>
    <w:hidden/>
    <w:uiPriority w:val="99"/>
    <w:semiHidden/>
    <w:rsid w:val="00EA6A10"/>
  </w:style>
  <w:style w:type="paragraph" w:styleId="Footer">
    <w:name w:val="footer"/>
    <w:basedOn w:val="Normal"/>
    <w:link w:val="FooterChar"/>
    <w:uiPriority w:val="99"/>
    <w:rsid w:val="00EA6A10"/>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EA6A10"/>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EA6A10"/>
  </w:style>
  <w:style w:type="paragraph" w:styleId="Header">
    <w:name w:val="header"/>
    <w:basedOn w:val="Normal"/>
    <w:link w:val="HeaderChar"/>
    <w:uiPriority w:val="99"/>
    <w:rsid w:val="00EA6A10"/>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EA6A10"/>
    <w:rPr>
      <w:rFonts w:ascii="Times New Roman" w:eastAsia="Times New Roman" w:hAnsi="Times New Roman" w:cs="Times New Roman"/>
      <w:lang w:val="en-GB" w:eastAsia="en-GB"/>
    </w:rPr>
  </w:style>
  <w:style w:type="paragraph" w:styleId="TOC1">
    <w:name w:val="toc 1"/>
    <w:basedOn w:val="Normal"/>
    <w:next w:val="Normal"/>
    <w:autoRedefine/>
    <w:uiPriority w:val="39"/>
    <w:unhideWhenUsed/>
    <w:rsid w:val="00D05B1E"/>
    <w:pPr>
      <w:tabs>
        <w:tab w:val="left" w:pos="480"/>
        <w:tab w:val="right" w:leader="dot" w:pos="9350"/>
      </w:tabs>
      <w:spacing w:before="240" w:after="120" w:line="288" w:lineRule="auto"/>
      <w:ind w:left="360" w:hanging="360"/>
    </w:pPr>
    <w:rPr>
      <w:b/>
      <w:noProof/>
    </w:rPr>
  </w:style>
  <w:style w:type="paragraph" w:styleId="TOC2">
    <w:name w:val="toc 2"/>
    <w:basedOn w:val="Normal"/>
    <w:next w:val="Normal"/>
    <w:autoRedefine/>
    <w:uiPriority w:val="39"/>
    <w:unhideWhenUsed/>
    <w:rsid w:val="00EA6A10"/>
    <w:pPr>
      <w:tabs>
        <w:tab w:val="left" w:pos="960"/>
        <w:tab w:val="right" w:leader="dot" w:pos="9350"/>
      </w:tabs>
      <w:spacing w:after="100"/>
      <w:ind w:left="240"/>
    </w:pPr>
  </w:style>
  <w:style w:type="paragraph" w:styleId="TOC3">
    <w:name w:val="toc 3"/>
    <w:basedOn w:val="Normal"/>
    <w:next w:val="Normal"/>
    <w:autoRedefine/>
    <w:uiPriority w:val="39"/>
    <w:unhideWhenUsed/>
    <w:rsid w:val="00EA6A10"/>
    <w:pPr>
      <w:tabs>
        <w:tab w:val="right" w:leader="dot" w:pos="9350"/>
      </w:tabs>
      <w:spacing w:after="100"/>
      <w:ind w:left="360" w:hanging="240"/>
    </w:pPr>
    <w:rPr>
      <w:b/>
      <w:noProof/>
    </w:rPr>
  </w:style>
  <w:style w:type="paragraph" w:styleId="Caption">
    <w:name w:val="caption"/>
    <w:basedOn w:val="Normal"/>
    <w:next w:val="Normal"/>
    <w:uiPriority w:val="35"/>
    <w:unhideWhenUsed/>
    <w:qFormat/>
    <w:rsid w:val="00EA6A10"/>
    <w:pPr>
      <w:spacing w:line="264" w:lineRule="auto"/>
    </w:pPr>
    <w:rPr>
      <w:i/>
      <w:iCs/>
    </w:rPr>
  </w:style>
  <w:style w:type="character" w:styleId="FollowedHyperlink">
    <w:name w:val="FollowedHyperlink"/>
    <w:basedOn w:val="DefaultParagraphFont"/>
    <w:uiPriority w:val="99"/>
    <w:semiHidden/>
    <w:unhideWhenUsed/>
    <w:rsid w:val="00EA6A10"/>
    <w:rPr>
      <w:color w:val="954F72" w:themeColor="followedHyperlink"/>
      <w:u w:val="single"/>
    </w:rPr>
  </w:style>
  <w:style w:type="paragraph" w:customStyle="1" w:styleId="Articletitle">
    <w:name w:val="Article title"/>
    <w:basedOn w:val="Normal"/>
    <w:next w:val="Normal"/>
    <w:qFormat/>
    <w:rsid w:val="00EA6A10"/>
    <w:pPr>
      <w:spacing w:after="120" w:line="360" w:lineRule="auto"/>
    </w:pPr>
    <w:rPr>
      <w:b/>
      <w:sz w:val="28"/>
    </w:rPr>
  </w:style>
  <w:style w:type="paragraph" w:customStyle="1" w:styleId="Authornames">
    <w:name w:val="Author names"/>
    <w:basedOn w:val="Normal"/>
    <w:next w:val="Normal"/>
    <w:qFormat/>
    <w:rsid w:val="00EA6A10"/>
    <w:pPr>
      <w:spacing w:before="240" w:line="360" w:lineRule="auto"/>
    </w:pPr>
    <w:rPr>
      <w:sz w:val="28"/>
    </w:rPr>
  </w:style>
  <w:style w:type="paragraph" w:customStyle="1" w:styleId="Affiliation">
    <w:name w:val="Affiliation"/>
    <w:basedOn w:val="Normal"/>
    <w:qFormat/>
    <w:rsid w:val="00EA6A10"/>
    <w:pPr>
      <w:spacing w:before="240" w:line="360" w:lineRule="auto"/>
    </w:pPr>
    <w:rPr>
      <w:i/>
    </w:rPr>
  </w:style>
  <w:style w:type="paragraph" w:customStyle="1" w:styleId="Receiveddates">
    <w:name w:val="Received dates"/>
    <w:basedOn w:val="Affiliation"/>
    <w:next w:val="Normal"/>
    <w:qFormat/>
    <w:rsid w:val="00EA6A10"/>
  </w:style>
  <w:style w:type="paragraph" w:customStyle="1" w:styleId="Abstract">
    <w:name w:val="Abstract"/>
    <w:basedOn w:val="Normal"/>
    <w:next w:val="Keywords"/>
    <w:qFormat/>
    <w:rsid w:val="00EA6A10"/>
    <w:pPr>
      <w:spacing w:before="360" w:after="300" w:line="360" w:lineRule="auto"/>
      <w:ind w:left="720" w:right="567"/>
    </w:pPr>
    <w:rPr>
      <w:sz w:val="22"/>
    </w:rPr>
  </w:style>
  <w:style w:type="paragraph" w:customStyle="1" w:styleId="Keywords">
    <w:name w:val="Keywords"/>
    <w:basedOn w:val="Normal"/>
    <w:next w:val="Paragraph"/>
    <w:qFormat/>
    <w:rsid w:val="00EA6A10"/>
    <w:pPr>
      <w:spacing w:before="240" w:after="240" w:line="360" w:lineRule="auto"/>
      <w:ind w:left="720" w:right="567"/>
    </w:pPr>
    <w:rPr>
      <w:sz w:val="22"/>
    </w:rPr>
  </w:style>
  <w:style w:type="paragraph" w:customStyle="1" w:styleId="Correspondencedetails">
    <w:name w:val="Correspondence details"/>
    <w:basedOn w:val="Normal"/>
    <w:qFormat/>
    <w:rsid w:val="00EA6A10"/>
    <w:pPr>
      <w:spacing w:before="240" w:line="360" w:lineRule="auto"/>
    </w:pPr>
  </w:style>
  <w:style w:type="paragraph" w:customStyle="1" w:styleId="Displayedquotation">
    <w:name w:val="Displayed quotation"/>
    <w:basedOn w:val="Normal"/>
    <w:qFormat/>
    <w:rsid w:val="00EA6A1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EA6A10"/>
    <w:pPr>
      <w:widowControl/>
      <w:numPr>
        <w:numId w:val="1"/>
      </w:numPr>
      <w:spacing w:after="240"/>
      <w:contextualSpacing/>
    </w:pPr>
  </w:style>
  <w:style w:type="paragraph" w:customStyle="1" w:styleId="Displayedequation">
    <w:name w:val="Displayed equation"/>
    <w:basedOn w:val="Normal"/>
    <w:next w:val="Paragraph"/>
    <w:qFormat/>
    <w:rsid w:val="00EA6A10"/>
    <w:pPr>
      <w:tabs>
        <w:tab w:val="center" w:pos="4253"/>
        <w:tab w:val="right" w:pos="8222"/>
      </w:tabs>
      <w:spacing w:before="240" w:after="240"/>
      <w:jc w:val="center"/>
    </w:pPr>
  </w:style>
  <w:style w:type="paragraph" w:customStyle="1" w:styleId="Acknowledgements">
    <w:name w:val="Acknowledgements"/>
    <w:basedOn w:val="Normal"/>
    <w:next w:val="Normal"/>
    <w:qFormat/>
    <w:rsid w:val="00EA6A10"/>
    <w:pPr>
      <w:spacing w:before="120" w:line="360" w:lineRule="auto"/>
    </w:pPr>
    <w:rPr>
      <w:sz w:val="22"/>
    </w:rPr>
  </w:style>
  <w:style w:type="paragraph" w:customStyle="1" w:styleId="Tabletitle">
    <w:name w:val="Table title"/>
    <w:basedOn w:val="Normal"/>
    <w:next w:val="Normal"/>
    <w:qFormat/>
    <w:rsid w:val="00EA6A10"/>
    <w:pPr>
      <w:spacing w:before="240" w:line="360" w:lineRule="auto"/>
    </w:pPr>
  </w:style>
  <w:style w:type="paragraph" w:customStyle="1" w:styleId="Figurecaption">
    <w:name w:val="Figure caption"/>
    <w:basedOn w:val="Normal"/>
    <w:next w:val="Normal"/>
    <w:qFormat/>
    <w:rsid w:val="00EA6A10"/>
    <w:pPr>
      <w:spacing w:before="240" w:line="360" w:lineRule="auto"/>
    </w:pPr>
  </w:style>
  <w:style w:type="paragraph" w:customStyle="1" w:styleId="Footnotes">
    <w:name w:val="Footnotes"/>
    <w:basedOn w:val="Normal"/>
    <w:qFormat/>
    <w:rsid w:val="00EA6A10"/>
    <w:pPr>
      <w:spacing w:before="120" w:line="360" w:lineRule="auto"/>
      <w:ind w:left="482" w:hanging="482"/>
      <w:contextualSpacing/>
    </w:pPr>
    <w:rPr>
      <w:sz w:val="22"/>
    </w:rPr>
  </w:style>
  <w:style w:type="paragraph" w:customStyle="1" w:styleId="Notesoncontributors">
    <w:name w:val="Notes on contributors"/>
    <w:basedOn w:val="Normal"/>
    <w:qFormat/>
    <w:rsid w:val="00EA6A10"/>
    <w:pPr>
      <w:spacing w:before="240" w:line="360" w:lineRule="auto"/>
    </w:pPr>
    <w:rPr>
      <w:sz w:val="22"/>
    </w:rPr>
  </w:style>
  <w:style w:type="paragraph" w:customStyle="1" w:styleId="Normalparagraphstyle">
    <w:name w:val="Normal paragraph style"/>
    <w:basedOn w:val="Normal"/>
    <w:next w:val="Normal"/>
    <w:rsid w:val="00EA6A10"/>
  </w:style>
  <w:style w:type="paragraph" w:customStyle="1" w:styleId="Paragraph">
    <w:name w:val="Paragraph"/>
    <w:basedOn w:val="Normal"/>
    <w:next w:val="Newparagraph"/>
    <w:qFormat/>
    <w:rsid w:val="00A42B13"/>
    <w:pPr>
      <w:widowControl w:val="0"/>
      <w:spacing w:line="288" w:lineRule="auto"/>
      <w:ind w:firstLine="360"/>
      <w:jc w:val="both"/>
    </w:pPr>
    <w:rPr>
      <w:rFonts w:ascii="Calibri" w:hAnsi="Calibri" w:cs="Calibri"/>
    </w:rPr>
  </w:style>
  <w:style w:type="paragraph" w:customStyle="1" w:styleId="Newparagraph">
    <w:name w:val="New paragraph"/>
    <w:basedOn w:val="Normal"/>
    <w:qFormat/>
    <w:rsid w:val="00EA6A10"/>
    <w:pPr>
      <w:ind w:firstLine="720"/>
    </w:pPr>
  </w:style>
  <w:style w:type="paragraph" w:styleId="NormalIndent">
    <w:name w:val="Normal Indent"/>
    <w:basedOn w:val="Normal"/>
    <w:rsid w:val="00EA6A10"/>
    <w:pPr>
      <w:ind w:left="720"/>
    </w:pPr>
  </w:style>
  <w:style w:type="paragraph" w:customStyle="1" w:styleId="References">
    <w:name w:val="References"/>
    <w:basedOn w:val="Normal"/>
    <w:qFormat/>
    <w:rsid w:val="00EA6A10"/>
    <w:pPr>
      <w:spacing w:before="120" w:line="360" w:lineRule="auto"/>
      <w:ind w:left="720" w:hanging="720"/>
      <w:contextualSpacing/>
    </w:pPr>
  </w:style>
  <w:style w:type="paragraph" w:customStyle="1" w:styleId="Subjectcodes">
    <w:name w:val="Subject codes"/>
    <w:basedOn w:val="Keywords"/>
    <w:next w:val="Paragraph"/>
    <w:qFormat/>
    <w:rsid w:val="00EA6A10"/>
  </w:style>
  <w:style w:type="paragraph" w:customStyle="1" w:styleId="Bulletedlist">
    <w:name w:val="Bulleted list"/>
    <w:basedOn w:val="Paragraph"/>
    <w:next w:val="Paragraph"/>
    <w:qFormat/>
    <w:rsid w:val="00EA6A10"/>
    <w:pPr>
      <w:widowControl/>
      <w:numPr>
        <w:numId w:val="2"/>
      </w:numPr>
      <w:spacing w:after="240"/>
      <w:contextualSpacing/>
    </w:pPr>
  </w:style>
  <w:style w:type="paragraph" w:customStyle="1" w:styleId="Heading4Paragraph">
    <w:name w:val="Heading 4 + Paragraph"/>
    <w:basedOn w:val="Paragraph"/>
    <w:next w:val="Newparagraph"/>
    <w:qFormat/>
    <w:rsid w:val="00EA6A10"/>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374815">
      <w:bodyDiv w:val="1"/>
      <w:marLeft w:val="0"/>
      <w:marRight w:val="0"/>
      <w:marTop w:val="0"/>
      <w:marBottom w:val="0"/>
      <w:divBdr>
        <w:top w:val="none" w:sz="0" w:space="0" w:color="auto"/>
        <w:left w:val="none" w:sz="0" w:space="0" w:color="auto"/>
        <w:bottom w:val="none" w:sz="0" w:space="0" w:color="auto"/>
        <w:right w:val="none" w:sz="0" w:space="0" w:color="auto"/>
      </w:divBdr>
    </w:div>
    <w:div w:id="1250698795">
      <w:bodyDiv w:val="1"/>
      <w:marLeft w:val="0"/>
      <w:marRight w:val="0"/>
      <w:marTop w:val="0"/>
      <w:marBottom w:val="0"/>
      <w:divBdr>
        <w:top w:val="none" w:sz="0" w:space="0" w:color="auto"/>
        <w:left w:val="none" w:sz="0" w:space="0" w:color="auto"/>
        <w:bottom w:val="none" w:sz="0" w:space="0" w:color="auto"/>
        <w:right w:val="none" w:sz="0" w:space="0" w:color="auto"/>
      </w:divBdr>
    </w:div>
    <w:div w:id="1298535497">
      <w:bodyDiv w:val="1"/>
      <w:marLeft w:val="0"/>
      <w:marRight w:val="0"/>
      <w:marTop w:val="0"/>
      <w:marBottom w:val="0"/>
      <w:divBdr>
        <w:top w:val="none" w:sz="0" w:space="0" w:color="auto"/>
        <w:left w:val="none" w:sz="0" w:space="0" w:color="auto"/>
        <w:bottom w:val="none" w:sz="0" w:space="0" w:color="auto"/>
        <w:right w:val="none" w:sz="0" w:space="0" w:color="auto"/>
      </w:divBdr>
    </w:div>
    <w:div w:id="19232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en/ShowDoc/cr/Q-2,%20r.%2015.2" TargetMode="External"/><Relationship Id="rId13" Type="http://schemas.openxmlformats.org/officeDocument/2006/relationships/hyperlink" Target="http://environnement.gouv.qc.ca/changements/carbone/documentation-en.htm" TargetMode="External"/><Relationship Id="rId18" Type="http://schemas.openxmlformats.org/officeDocument/2006/relationships/hyperlink" Target="https://arb.ca.gov/cc/capandtrade/complianceinstrumentreport.xls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jupyter.org/" TargetMode="External"/><Relationship Id="rId7" Type="http://schemas.openxmlformats.org/officeDocument/2006/relationships/endnotes" Target="endnotes.xml"/><Relationship Id="rId12" Type="http://schemas.openxmlformats.org/officeDocument/2006/relationships/hyperlink" Target="https://arb.ca.gov/cc/capandtrade/capandtrade.htm" TargetMode="External"/><Relationship Id="rId17" Type="http://schemas.openxmlformats.org/officeDocument/2006/relationships/hyperlink" Target="http://environnement.gouv.qc.ca/changements/carbone/ventes-encheres/avis-resultats-en.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rb.ca.gov/cc/capandtrade/auction/auction_notices_and_reports.htm" TargetMode="External"/><Relationship Id="rId20" Type="http://schemas.openxmlformats.org/officeDocument/2006/relationships/hyperlink" Target="https://pandas.pydat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vironnement.gouv.qc.ca/changements/carbone/documentation-en.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vironnement.gouv.qc.ca/changements/carbone/documentation-en.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2.arb.ca.gov/mrr-data" TargetMode="External"/><Relationship Id="rId19" Type="http://schemas.openxmlformats.org/officeDocument/2006/relationships/hyperlink" Target="https://github.com/nearzero/WCI-cap-and-tra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quebec.gouv.qc.ca/en/ShowDoc/cr/Q-2,%20r.%2015.3" TargetMode="External"/><Relationship Id="rId14" Type="http://schemas.openxmlformats.org/officeDocument/2006/relationships/hyperlink" Target="https://www.arb.ca.gov/cc/capandtrade/allowanceallocation/publicallocation.htm" TargetMode="External"/><Relationship Id="rId22" Type="http://schemas.openxmlformats.org/officeDocument/2006/relationships/hyperlink" Target="https://bokeh.pydata.org/"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4EEBE-8ECA-4683-8912-2AE7CDFE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7303</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Inman</dc:creator>
  <cp:keywords/>
  <dc:description/>
  <cp:lastModifiedBy>Michael Mastrandrea</cp:lastModifiedBy>
  <cp:revision>20</cp:revision>
  <cp:lastPrinted>2019-09-11T19:44:00Z</cp:lastPrinted>
  <dcterms:created xsi:type="dcterms:W3CDTF">2019-09-09T17:14:00Z</dcterms:created>
  <dcterms:modified xsi:type="dcterms:W3CDTF">2019-09-13T19:02:00Z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id="jJO36eFX"/&gt;&lt;style id="http://www.zotero.org/styles/elsevier-harvard" hasBibliography="1" bibliographyStyleHasBeenSet="1"/&gt;&lt;prefs&gt;&lt;pref name="fieldType" value="Field"/&gt;&lt;/prefs&gt;&lt;/data&gt;</vt:lpwstr>
  </property>
</Properties>
</file>