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F143" w14:textId="6B6AB652" w:rsidR="00A25484" w:rsidRPr="00F7339B" w:rsidRDefault="00A25484" w:rsidP="00A25484">
      <w:pPr>
        <w:tabs>
          <w:tab w:val="left" w:pos="2552"/>
        </w:tabs>
        <w:spacing w:after="0"/>
        <w:rPr>
          <w:rFonts w:ascii="Times New Roman" w:hAnsi="Times New Roman"/>
          <w:lang w:val="en-US"/>
        </w:rPr>
      </w:pPr>
      <w:bookmarkStart w:id="0" w:name="_GoBack"/>
      <w:bookmarkEnd w:id="0"/>
      <w:r w:rsidRPr="00F7339B">
        <w:rPr>
          <w:rFonts w:ascii="Times New Roman" w:hAnsi="Times New Roman"/>
          <w:b/>
          <w:lang w:val="en-US"/>
        </w:rPr>
        <w:t>Title:</w:t>
      </w:r>
      <w:r w:rsidRPr="00F7339B">
        <w:rPr>
          <w:rFonts w:ascii="Times New Roman" w:hAnsi="Times New Roman"/>
          <w:lang w:val="en-US"/>
        </w:rPr>
        <w:t xml:space="preserve"> </w:t>
      </w:r>
      <w:r w:rsidR="00565D0E" w:rsidRPr="00F7339B">
        <w:rPr>
          <w:rFonts w:ascii="Times New Roman" w:hAnsi="Times New Roman"/>
          <w:lang w:val="en-US"/>
        </w:rPr>
        <w:t xml:space="preserve">The Cost Effectiveness of Pembrolizumab versus Chemotherapy </w:t>
      </w:r>
      <w:r w:rsidR="00E74CCA" w:rsidRPr="00F7339B">
        <w:rPr>
          <w:rFonts w:ascii="Times New Roman" w:hAnsi="Times New Roman"/>
          <w:lang w:val="en-US"/>
        </w:rPr>
        <w:t xml:space="preserve">or </w:t>
      </w:r>
      <w:r w:rsidR="00565D0E" w:rsidRPr="00F7339B">
        <w:rPr>
          <w:rFonts w:ascii="Times New Roman" w:hAnsi="Times New Roman"/>
          <w:lang w:val="en-US"/>
        </w:rPr>
        <w:t xml:space="preserve">Atezolizumab as Second-Line Therapy for Advanced Urothelial Carcinoma in the United States </w:t>
      </w:r>
    </w:p>
    <w:p w14:paraId="78A72915" w14:textId="740BE498" w:rsidR="002C3BEB" w:rsidRDefault="00A25484" w:rsidP="002C3BEB">
      <w:pPr>
        <w:pStyle w:val="Authornames"/>
        <w:rPr>
          <w:lang w:val="en-US"/>
        </w:rPr>
      </w:pPr>
      <w:r w:rsidRPr="00C908CA">
        <w:rPr>
          <w:rFonts w:cs="Arial"/>
          <w:b/>
          <w:lang w:val="en-US"/>
        </w:rPr>
        <w:t>Authors:</w:t>
      </w:r>
      <w:r w:rsidRPr="00C908CA">
        <w:rPr>
          <w:rFonts w:cs="Arial"/>
          <w:lang w:val="en-US"/>
        </w:rPr>
        <w:t xml:space="preserve"> </w:t>
      </w:r>
      <w:r w:rsidR="002C3BEB" w:rsidRPr="00A00B39">
        <w:rPr>
          <w:sz w:val="24"/>
          <w:szCs w:val="22"/>
          <w:lang w:val="en-US"/>
        </w:rPr>
        <w:t>Rachael Louise Slater, MSc</w:t>
      </w:r>
      <w:r w:rsidR="002C3BEB" w:rsidRPr="00A00B39">
        <w:rPr>
          <w:sz w:val="24"/>
          <w:szCs w:val="22"/>
          <w:vertAlign w:val="superscript"/>
          <w:lang w:val="en-US"/>
        </w:rPr>
        <w:t>1</w:t>
      </w:r>
      <w:r w:rsidR="002C3BEB" w:rsidRPr="00A00B39">
        <w:rPr>
          <w:sz w:val="24"/>
          <w:szCs w:val="22"/>
          <w:lang w:val="en-US"/>
        </w:rPr>
        <w:t>; Yizhen Lai, MSc</w:t>
      </w:r>
      <w:r w:rsidR="002C3BEB" w:rsidRPr="00A00B39">
        <w:rPr>
          <w:sz w:val="24"/>
          <w:szCs w:val="22"/>
          <w:vertAlign w:val="superscript"/>
          <w:lang w:val="en-US"/>
        </w:rPr>
        <w:t>2</w:t>
      </w:r>
      <w:r w:rsidR="002C3BEB" w:rsidRPr="00A00B39">
        <w:rPr>
          <w:sz w:val="24"/>
          <w:szCs w:val="22"/>
          <w:lang w:val="en-US"/>
        </w:rPr>
        <w:t>; Yichen</w:t>
      </w:r>
      <w:r w:rsidR="002C3BEB" w:rsidRPr="00A00B39">
        <w:rPr>
          <w:sz w:val="24"/>
          <w:szCs w:val="22"/>
          <w:vertAlign w:val="superscript"/>
          <w:lang w:val="en-US"/>
        </w:rPr>
        <w:t xml:space="preserve"> </w:t>
      </w:r>
      <w:r w:rsidR="002C3BEB" w:rsidRPr="00A00B39">
        <w:rPr>
          <w:sz w:val="24"/>
          <w:szCs w:val="22"/>
          <w:lang w:val="en-US"/>
        </w:rPr>
        <w:t>Zhong, MHS</w:t>
      </w:r>
      <w:r w:rsidR="002C3BEB" w:rsidRPr="00A00B39">
        <w:rPr>
          <w:sz w:val="24"/>
          <w:szCs w:val="22"/>
          <w:vertAlign w:val="superscript"/>
          <w:lang w:val="en-US"/>
        </w:rPr>
        <w:t>2</w:t>
      </w:r>
      <w:r w:rsidR="002C3BEB" w:rsidRPr="00A00B39">
        <w:rPr>
          <w:sz w:val="24"/>
          <w:szCs w:val="22"/>
          <w:lang w:val="en-US"/>
        </w:rPr>
        <w:t>; Haojie Li, MD, PhD</w:t>
      </w:r>
      <w:r w:rsidR="002C3BEB" w:rsidRPr="00A00B39">
        <w:rPr>
          <w:sz w:val="24"/>
          <w:szCs w:val="22"/>
          <w:vertAlign w:val="superscript"/>
          <w:lang w:val="en-US"/>
        </w:rPr>
        <w:t>2</w:t>
      </w:r>
      <w:r w:rsidR="002C3BEB" w:rsidRPr="00A00B39">
        <w:rPr>
          <w:sz w:val="24"/>
          <w:szCs w:val="22"/>
          <w:lang w:val="en-US"/>
        </w:rPr>
        <w:t>;Yang Meng, PhD</w:t>
      </w:r>
      <w:r w:rsidR="002C3BEB" w:rsidRPr="00A00B39">
        <w:rPr>
          <w:sz w:val="24"/>
          <w:szCs w:val="22"/>
          <w:vertAlign w:val="superscript"/>
          <w:lang w:val="en-US"/>
        </w:rPr>
        <w:t>1</w:t>
      </w:r>
      <w:r w:rsidR="002C3BEB" w:rsidRPr="00A00B39">
        <w:rPr>
          <w:sz w:val="24"/>
          <w:szCs w:val="22"/>
          <w:lang w:val="en-US"/>
        </w:rPr>
        <w:t>; Blanca Homet Moreno, MD, PhD</w:t>
      </w:r>
      <w:r w:rsidR="002C3BEB" w:rsidRPr="00A00B39">
        <w:rPr>
          <w:sz w:val="24"/>
          <w:szCs w:val="22"/>
          <w:vertAlign w:val="superscript"/>
          <w:lang w:val="en-US"/>
        </w:rPr>
        <w:t>2</w:t>
      </w:r>
      <w:r w:rsidR="002C3BEB" w:rsidRPr="00A00B39">
        <w:rPr>
          <w:sz w:val="24"/>
          <w:szCs w:val="22"/>
          <w:lang w:val="en-US"/>
        </w:rPr>
        <w:t>; James Luke Godwin, MD</w:t>
      </w:r>
      <w:r w:rsidR="002C3BEB" w:rsidRPr="00A00B39">
        <w:rPr>
          <w:sz w:val="24"/>
          <w:szCs w:val="22"/>
          <w:vertAlign w:val="superscript"/>
          <w:lang w:val="en-US"/>
        </w:rPr>
        <w:t>2</w:t>
      </w:r>
      <w:r w:rsidR="002C3BEB" w:rsidRPr="00A00B39">
        <w:rPr>
          <w:sz w:val="24"/>
          <w:szCs w:val="22"/>
          <w:lang w:val="en-US"/>
        </w:rPr>
        <w:t>; Tara Frenkl, MD, MPH</w:t>
      </w:r>
      <w:r w:rsidR="002C3BEB" w:rsidRPr="00A00B39">
        <w:rPr>
          <w:sz w:val="24"/>
          <w:szCs w:val="22"/>
          <w:vertAlign w:val="superscript"/>
          <w:lang w:val="en-US"/>
        </w:rPr>
        <w:t>2</w:t>
      </w:r>
      <w:r w:rsidR="002C3BEB" w:rsidRPr="00A00B39">
        <w:rPr>
          <w:sz w:val="24"/>
          <w:szCs w:val="22"/>
          <w:lang w:val="en-US"/>
        </w:rPr>
        <w:t>; Guru P Sonpavde, PhD</w:t>
      </w:r>
      <w:r w:rsidR="002C3BEB" w:rsidRPr="00A00B39">
        <w:rPr>
          <w:sz w:val="24"/>
          <w:szCs w:val="22"/>
          <w:vertAlign w:val="superscript"/>
          <w:lang w:val="en-US"/>
        </w:rPr>
        <w:t>3</w:t>
      </w:r>
      <w:r w:rsidR="002C3BEB" w:rsidRPr="00A00B39">
        <w:rPr>
          <w:sz w:val="24"/>
          <w:szCs w:val="22"/>
          <w:lang w:val="en-US"/>
        </w:rPr>
        <w:t>; Ronac Mamtani, MD, MSCE</w:t>
      </w:r>
      <w:r w:rsidR="002C3BEB" w:rsidRPr="00A00B39">
        <w:rPr>
          <w:sz w:val="24"/>
          <w:szCs w:val="22"/>
          <w:vertAlign w:val="superscript"/>
          <w:lang w:val="en-US"/>
        </w:rPr>
        <w:t>4</w:t>
      </w:r>
      <w:r w:rsidR="002C3BEB" w:rsidRPr="00A00B39">
        <w:rPr>
          <w:sz w:val="24"/>
          <w:szCs w:val="22"/>
          <w:lang w:val="en-US"/>
        </w:rPr>
        <w:t xml:space="preserve">. </w:t>
      </w:r>
    </w:p>
    <w:p w14:paraId="3FDFF10E" w14:textId="77777777" w:rsidR="002C3BEB" w:rsidRDefault="002C3BEB" w:rsidP="002C3BEB">
      <w:pPr>
        <w:pStyle w:val="Affiliation"/>
        <w:rPr>
          <w:lang w:val="en-US"/>
        </w:rPr>
      </w:pPr>
      <w:r>
        <w:rPr>
          <w:vertAlign w:val="superscript"/>
          <w:lang w:val="en-US"/>
        </w:rPr>
        <w:t>1</w:t>
      </w:r>
      <w:r w:rsidRPr="00C908CA">
        <w:rPr>
          <w:lang w:val="en-US"/>
        </w:rPr>
        <w:t xml:space="preserve">BresMed </w:t>
      </w:r>
      <w:r>
        <w:rPr>
          <w:lang w:val="en-US"/>
        </w:rPr>
        <w:t xml:space="preserve">Health Solutions </w:t>
      </w:r>
      <w:r w:rsidRPr="00C908CA">
        <w:rPr>
          <w:lang w:val="en-US"/>
        </w:rPr>
        <w:t>Ltd, Sheffield, UK;</w:t>
      </w:r>
      <w:r w:rsidRPr="00C908CA">
        <w:rPr>
          <w:vertAlign w:val="superscript"/>
          <w:lang w:val="en-US"/>
        </w:rPr>
        <w:t xml:space="preserve"> </w:t>
      </w:r>
      <w:r>
        <w:rPr>
          <w:vertAlign w:val="superscript"/>
          <w:lang w:val="en-US"/>
        </w:rPr>
        <w:t>2</w:t>
      </w:r>
      <w:r w:rsidRPr="00C908CA">
        <w:rPr>
          <w:lang w:val="en-US"/>
        </w:rPr>
        <w:t xml:space="preserve">Merck &amp; Co, Inc., Kenilworth, NJ, US; </w:t>
      </w:r>
      <w:r>
        <w:rPr>
          <w:vertAlign w:val="superscript"/>
          <w:lang w:val="en-US"/>
        </w:rPr>
        <w:t>3</w:t>
      </w:r>
      <w:r w:rsidRPr="00C908CA">
        <w:rPr>
          <w:lang w:val="en-US"/>
        </w:rPr>
        <w:t>Dana-Farber Cancer Institute, MA, US</w:t>
      </w:r>
      <w:r>
        <w:rPr>
          <w:lang w:val="en-US"/>
        </w:rPr>
        <w:t xml:space="preserve">; </w:t>
      </w:r>
      <w:r>
        <w:rPr>
          <w:vertAlign w:val="superscript"/>
          <w:lang w:val="en-US"/>
        </w:rPr>
        <w:t>4</w:t>
      </w:r>
      <w:r w:rsidRPr="00C908CA">
        <w:rPr>
          <w:lang w:val="en-US"/>
        </w:rPr>
        <w:t>Abramson Cancer Center, University of Pennsylvania, Philadelphia, PA, US</w:t>
      </w:r>
      <w:r>
        <w:rPr>
          <w:lang w:val="en-US"/>
        </w:rPr>
        <w:t xml:space="preserve">; </w:t>
      </w:r>
    </w:p>
    <w:p w14:paraId="5F0C153A" w14:textId="20A722EC" w:rsidR="00A25484" w:rsidRPr="00C908CA" w:rsidRDefault="00A25484" w:rsidP="004B2AB7">
      <w:pPr>
        <w:spacing w:after="0"/>
        <w:rPr>
          <w:rFonts w:cs="Arial"/>
          <w:lang w:val="en-US"/>
        </w:rPr>
      </w:pPr>
    </w:p>
    <w:p w14:paraId="7D662AAC" w14:textId="77777777" w:rsidR="008758A7" w:rsidRPr="002F1CBE" w:rsidRDefault="008758A7" w:rsidP="009F2504">
      <w:pPr>
        <w:spacing w:after="0"/>
        <w:rPr>
          <w:rFonts w:cs="Arial"/>
          <w:lang w:val="en-US"/>
        </w:rPr>
      </w:pPr>
    </w:p>
    <w:p w14:paraId="2AFD3B56" w14:textId="3A1321CB" w:rsidR="00D65703" w:rsidRDefault="004E0815" w:rsidP="004E0815">
      <w:pPr>
        <w:pStyle w:val="Heading2"/>
        <w:rPr>
          <w:lang w:val="en-US"/>
        </w:rPr>
      </w:pPr>
      <w:r w:rsidRPr="002F1CBE">
        <w:rPr>
          <w:lang w:val="en-US"/>
        </w:rPr>
        <w:t xml:space="preserve">Supplementary </w:t>
      </w:r>
      <w:r w:rsidR="00241FD8" w:rsidRPr="002F1CBE">
        <w:rPr>
          <w:lang w:val="en-US"/>
        </w:rPr>
        <w:t xml:space="preserve">appendix </w:t>
      </w:r>
    </w:p>
    <w:p w14:paraId="518EC4F3" w14:textId="77777777" w:rsidR="006D1497" w:rsidRPr="006D1497" w:rsidRDefault="006D1497" w:rsidP="006D1497"/>
    <w:p w14:paraId="45D32A9A" w14:textId="094D36DF" w:rsidR="00445EFB" w:rsidRPr="00445EFB" w:rsidRDefault="00445EFB" w:rsidP="006D1497">
      <w:pPr>
        <w:pStyle w:val="Heading3"/>
        <w:keepNext/>
        <w:rPr>
          <w:lang w:val="en-US"/>
        </w:rPr>
      </w:pPr>
      <w:r>
        <w:rPr>
          <w:lang w:val="en-US"/>
        </w:rPr>
        <w:t>Base case parameters</w:t>
      </w:r>
    </w:p>
    <w:p w14:paraId="5592D4BE" w14:textId="3735F4B2" w:rsidR="004E0815" w:rsidRPr="002F1CBE" w:rsidRDefault="00913A7B" w:rsidP="00A4433C">
      <w:pPr>
        <w:pStyle w:val="Caption"/>
        <w:rPr>
          <w:lang w:val="en-US"/>
        </w:rPr>
      </w:pPr>
      <w:r w:rsidRPr="002F1CBE">
        <w:rPr>
          <w:lang w:val="en-US"/>
        </w:rPr>
        <w:t xml:space="preserve">Supplementary Table </w:t>
      </w:r>
      <w:r w:rsidR="00AC2318" w:rsidRPr="002F1CBE">
        <w:rPr>
          <w:lang w:val="en-US"/>
        </w:rPr>
        <w:fldChar w:fldCharType="begin"/>
      </w:r>
      <w:r w:rsidR="00AC2318" w:rsidRPr="002F1CBE">
        <w:rPr>
          <w:lang w:val="en-US"/>
        </w:rPr>
        <w:instrText xml:space="preserve"> SEQ Table \* ARABIC </w:instrText>
      </w:r>
      <w:r w:rsidR="00AC2318" w:rsidRPr="002F1CBE">
        <w:rPr>
          <w:lang w:val="en-US"/>
        </w:rPr>
        <w:fldChar w:fldCharType="separate"/>
      </w:r>
      <w:r w:rsidR="00D80D85">
        <w:rPr>
          <w:noProof/>
          <w:lang w:val="en-US"/>
        </w:rPr>
        <w:t>1</w:t>
      </w:r>
      <w:r w:rsidR="00AC2318" w:rsidRPr="002F1CBE">
        <w:rPr>
          <w:lang w:val="en-US"/>
        </w:rPr>
        <w:fldChar w:fldCharType="end"/>
      </w:r>
      <w:r w:rsidRPr="002F1CBE">
        <w:rPr>
          <w:lang w:val="en-US"/>
        </w:rPr>
        <w:t xml:space="preserve">: </w:t>
      </w:r>
      <w:r w:rsidR="004E0815" w:rsidRPr="002F1CBE">
        <w:rPr>
          <w:lang w:val="en-US"/>
        </w:rPr>
        <w:t>Base case parameters with sensitivity ranges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1418"/>
        <w:gridCol w:w="1418"/>
        <w:gridCol w:w="1418"/>
        <w:gridCol w:w="1134"/>
        <w:gridCol w:w="1132"/>
      </w:tblGrid>
      <w:tr w:rsidR="00E75219" w:rsidRPr="002F1CBE" w14:paraId="0C77ED57" w14:textId="377406D8" w:rsidTr="00E74CCA">
        <w:trPr>
          <w:trHeight w:val="742"/>
          <w:tblHeader/>
        </w:trPr>
        <w:tc>
          <w:tcPr>
            <w:tcW w:w="1615" w:type="pct"/>
            <w:shd w:val="clear" w:color="auto" w:fill="auto"/>
            <w:vAlign w:val="center"/>
            <w:hideMark/>
          </w:tcPr>
          <w:p w14:paraId="5AD9663C" w14:textId="77777777" w:rsidR="00E75219" w:rsidRPr="002F1CBE" w:rsidRDefault="00E75219" w:rsidP="00233F4B">
            <w:pPr>
              <w:pStyle w:val="Tableheader"/>
              <w:jc w:val="left"/>
              <w:rPr>
                <w:color w:val="auto"/>
                <w:sz w:val="22"/>
                <w:lang w:val="en-US"/>
              </w:rPr>
            </w:pPr>
            <w:r w:rsidRPr="002F1CBE">
              <w:rPr>
                <w:color w:val="auto"/>
                <w:sz w:val="22"/>
                <w:lang w:val="en-US"/>
              </w:rPr>
              <w:t>Parameters</w:t>
            </w:r>
          </w:p>
        </w:tc>
        <w:tc>
          <w:tcPr>
            <w:tcW w:w="736" w:type="pct"/>
            <w:shd w:val="clear" w:color="auto" w:fill="auto"/>
            <w:vAlign w:val="center"/>
            <w:hideMark/>
          </w:tcPr>
          <w:p w14:paraId="6133FF56" w14:textId="77777777" w:rsidR="00E75219" w:rsidRPr="002F1CBE" w:rsidRDefault="00E75219" w:rsidP="00233F4B">
            <w:pPr>
              <w:pStyle w:val="Tableheader"/>
              <w:jc w:val="left"/>
              <w:rPr>
                <w:color w:val="auto"/>
                <w:sz w:val="22"/>
                <w:lang w:val="en-US"/>
              </w:rPr>
            </w:pPr>
            <w:r w:rsidRPr="002F1CBE">
              <w:rPr>
                <w:color w:val="auto"/>
                <w:sz w:val="22"/>
                <w:lang w:val="en-US"/>
              </w:rPr>
              <w:t>Mean/ deterministic value</w:t>
            </w:r>
          </w:p>
        </w:tc>
        <w:tc>
          <w:tcPr>
            <w:tcW w:w="736" w:type="pct"/>
            <w:shd w:val="clear" w:color="auto" w:fill="auto"/>
            <w:vAlign w:val="center"/>
            <w:hideMark/>
          </w:tcPr>
          <w:p w14:paraId="22D76388" w14:textId="6BF5A525" w:rsidR="00E75219" w:rsidRPr="002F1CBE" w:rsidRDefault="00E75219" w:rsidP="00233F4B">
            <w:pPr>
              <w:pStyle w:val="Tableheader"/>
              <w:jc w:val="left"/>
              <w:rPr>
                <w:color w:val="auto"/>
                <w:sz w:val="22"/>
                <w:lang w:val="en-US"/>
              </w:rPr>
            </w:pPr>
            <w:r w:rsidRPr="002F1CBE">
              <w:rPr>
                <w:color w:val="auto"/>
                <w:sz w:val="22"/>
                <w:lang w:val="en-US"/>
              </w:rPr>
              <w:t>Lower Bound</w:t>
            </w:r>
          </w:p>
        </w:tc>
        <w:tc>
          <w:tcPr>
            <w:tcW w:w="736" w:type="pct"/>
            <w:shd w:val="clear" w:color="auto" w:fill="auto"/>
            <w:vAlign w:val="center"/>
            <w:hideMark/>
          </w:tcPr>
          <w:p w14:paraId="3C12115A" w14:textId="3F2589E4" w:rsidR="00E75219" w:rsidRPr="002F1CBE" w:rsidRDefault="00E75219" w:rsidP="00233F4B">
            <w:pPr>
              <w:pStyle w:val="Tableheader"/>
              <w:jc w:val="left"/>
              <w:rPr>
                <w:color w:val="auto"/>
                <w:sz w:val="22"/>
                <w:lang w:val="en-US"/>
              </w:rPr>
            </w:pPr>
            <w:r w:rsidRPr="002F1CBE">
              <w:rPr>
                <w:color w:val="auto"/>
                <w:sz w:val="22"/>
                <w:lang w:val="en-US"/>
              </w:rPr>
              <w:t>Upper Bound</w:t>
            </w:r>
          </w:p>
        </w:tc>
        <w:tc>
          <w:tcPr>
            <w:tcW w:w="589" w:type="pct"/>
            <w:shd w:val="clear" w:color="auto" w:fill="auto"/>
            <w:vAlign w:val="center"/>
            <w:hideMark/>
          </w:tcPr>
          <w:p w14:paraId="1C308556" w14:textId="77777777" w:rsidR="00E75219" w:rsidRPr="002F1CBE" w:rsidRDefault="00E75219" w:rsidP="00233F4B">
            <w:pPr>
              <w:pStyle w:val="Tableheader"/>
              <w:jc w:val="left"/>
              <w:rPr>
                <w:color w:val="auto"/>
                <w:sz w:val="22"/>
                <w:lang w:val="en-US"/>
              </w:rPr>
            </w:pPr>
            <w:r w:rsidRPr="002F1CBE">
              <w:rPr>
                <w:color w:val="auto"/>
                <w:sz w:val="22"/>
                <w:lang w:val="en-US"/>
              </w:rPr>
              <w:t>Distribution</w:t>
            </w:r>
          </w:p>
        </w:tc>
        <w:tc>
          <w:tcPr>
            <w:tcW w:w="588" w:type="pct"/>
            <w:vAlign w:val="center"/>
          </w:tcPr>
          <w:p w14:paraId="7937555F" w14:textId="19BDC36E" w:rsidR="00E75219" w:rsidRPr="002F1CBE" w:rsidRDefault="00E75219" w:rsidP="00233F4B">
            <w:pPr>
              <w:pStyle w:val="Tableheader"/>
              <w:jc w:val="left"/>
              <w:rPr>
                <w:color w:val="auto"/>
                <w:sz w:val="22"/>
                <w:lang w:val="en-US"/>
              </w:rPr>
            </w:pPr>
            <w:r>
              <w:rPr>
                <w:color w:val="auto"/>
                <w:sz w:val="22"/>
                <w:lang w:val="en-US"/>
              </w:rPr>
              <w:t>Source</w:t>
            </w:r>
          </w:p>
        </w:tc>
      </w:tr>
      <w:tr w:rsidR="00E75219" w:rsidRPr="002F1CBE" w14:paraId="6EF55A24" w14:textId="5AD31399" w:rsidTr="00A00B39">
        <w:trPr>
          <w:trHeight w:val="315"/>
        </w:trPr>
        <w:tc>
          <w:tcPr>
            <w:tcW w:w="5000" w:type="pct"/>
            <w:gridSpan w:val="6"/>
            <w:shd w:val="clear" w:color="auto" w:fill="auto"/>
            <w:noWrap/>
            <w:vAlign w:val="center"/>
            <w:hideMark/>
          </w:tcPr>
          <w:p w14:paraId="6EA3B89C" w14:textId="5A97F256" w:rsidR="00E75219" w:rsidRPr="002F1CBE" w:rsidRDefault="00E75219">
            <w:pPr>
              <w:pStyle w:val="Tabletext0"/>
              <w:rPr>
                <w:b/>
                <w:i/>
                <w:szCs w:val="22"/>
                <w:lang w:val="en-US"/>
              </w:rPr>
            </w:pPr>
            <w:r w:rsidRPr="002F1CBE">
              <w:rPr>
                <w:b/>
                <w:i/>
                <w:szCs w:val="22"/>
                <w:lang w:val="en-US"/>
              </w:rPr>
              <w:t>General information</w:t>
            </w:r>
          </w:p>
        </w:tc>
      </w:tr>
      <w:tr w:rsidR="00E75219" w:rsidRPr="002F1CBE" w14:paraId="71C6E959" w14:textId="19EE2552" w:rsidTr="00E74CCA">
        <w:trPr>
          <w:trHeight w:val="285"/>
        </w:trPr>
        <w:tc>
          <w:tcPr>
            <w:tcW w:w="1615" w:type="pct"/>
            <w:shd w:val="clear" w:color="auto" w:fill="auto"/>
            <w:noWrap/>
            <w:vAlign w:val="center"/>
            <w:hideMark/>
          </w:tcPr>
          <w:p w14:paraId="55900166" w14:textId="77777777" w:rsidR="00E75219" w:rsidRPr="002F1CBE" w:rsidRDefault="00E75219">
            <w:pPr>
              <w:pStyle w:val="Tabletext0"/>
              <w:rPr>
                <w:szCs w:val="22"/>
                <w:lang w:val="en-US"/>
              </w:rPr>
            </w:pPr>
            <w:r w:rsidRPr="002F1CBE">
              <w:rPr>
                <w:szCs w:val="22"/>
                <w:lang w:val="en-US"/>
              </w:rPr>
              <w:t>Model cycle length (weeks)</w:t>
            </w:r>
          </w:p>
        </w:tc>
        <w:tc>
          <w:tcPr>
            <w:tcW w:w="736" w:type="pct"/>
            <w:shd w:val="clear" w:color="auto" w:fill="auto"/>
            <w:noWrap/>
            <w:vAlign w:val="center"/>
            <w:hideMark/>
          </w:tcPr>
          <w:p w14:paraId="10929CAB" w14:textId="77777777" w:rsidR="00E75219" w:rsidRPr="002F1CBE" w:rsidRDefault="00E75219" w:rsidP="00233F4B">
            <w:pPr>
              <w:pStyle w:val="Tabletext0"/>
              <w:rPr>
                <w:szCs w:val="22"/>
                <w:lang w:val="en-US"/>
              </w:rPr>
            </w:pPr>
            <w:r w:rsidRPr="002F1CBE">
              <w:rPr>
                <w:szCs w:val="22"/>
                <w:lang w:val="en-US"/>
              </w:rPr>
              <w:t>1.00</w:t>
            </w:r>
          </w:p>
        </w:tc>
        <w:tc>
          <w:tcPr>
            <w:tcW w:w="736" w:type="pct"/>
            <w:shd w:val="clear" w:color="auto" w:fill="auto"/>
            <w:noWrap/>
            <w:vAlign w:val="center"/>
            <w:hideMark/>
          </w:tcPr>
          <w:p w14:paraId="63911433" w14:textId="77777777" w:rsidR="00E75219" w:rsidRPr="002F1CBE" w:rsidRDefault="00E75219" w:rsidP="00233F4B">
            <w:pPr>
              <w:pStyle w:val="Tabletext0"/>
              <w:rPr>
                <w:szCs w:val="22"/>
                <w:lang w:val="en-US"/>
              </w:rPr>
            </w:pPr>
            <w:r w:rsidRPr="002F1CBE">
              <w:rPr>
                <w:szCs w:val="22"/>
                <w:lang w:val="en-US"/>
              </w:rPr>
              <w:t> </w:t>
            </w:r>
          </w:p>
        </w:tc>
        <w:tc>
          <w:tcPr>
            <w:tcW w:w="736" w:type="pct"/>
            <w:shd w:val="clear" w:color="auto" w:fill="auto"/>
            <w:noWrap/>
            <w:vAlign w:val="center"/>
            <w:hideMark/>
          </w:tcPr>
          <w:p w14:paraId="4FC0DEB0" w14:textId="77777777" w:rsidR="00E75219" w:rsidRPr="002F1CBE" w:rsidRDefault="00E75219" w:rsidP="00233F4B">
            <w:pPr>
              <w:pStyle w:val="Tabletext0"/>
              <w:rPr>
                <w:szCs w:val="22"/>
                <w:lang w:val="en-US"/>
              </w:rPr>
            </w:pPr>
            <w:r w:rsidRPr="002F1CBE">
              <w:rPr>
                <w:szCs w:val="22"/>
                <w:lang w:val="en-US"/>
              </w:rPr>
              <w:t> </w:t>
            </w:r>
          </w:p>
        </w:tc>
        <w:tc>
          <w:tcPr>
            <w:tcW w:w="589" w:type="pct"/>
            <w:shd w:val="clear" w:color="auto" w:fill="auto"/>
            <w:noWrap/>
            <w:vAlign w:val="center"/>
            <w:hideMark/>
          </w:tcPr>
          <w:p w14:paraId="352BF0F0" w14:textId="77777777" w:rsidR="00E75219" w:rsidRPr="002F1CBE" w:rsidRDefault="00E75219">
            <w:pPr>
              <w:pStyle w:val="Tabletext0"/>
              <w:rPr>
                <w:szCs w:val="22"/>
                <w:lang w:val="en-US"/>
              </w:rPr>
            </w:pPr>
            <w:r w:rsidRPr="002F1CBE">
              <w:rPr>
                <w:szCs w:val="22"/>
                <w:lang w:val="en-US"/>
              </w:rPr>
              <w:t>Not varied in SA</w:t>
            </w:r>
          </w:p>
        </w:tc>
        <w:tc>
          <w:tcPr>
            <w:tcW w:w="588" w:type="pct"/>
            <w:vAlign w:val="center"/>
          </w:tcPr>
          <w:p w14:paraId="601A7CF3" w14:textId="77777777" w:rsidR="00E75219" w:rsidRPr="002F1CBE" w:rsidRDefault="00E75219">
            <w:pPr>
              <w:pStyle w:val="Tabletext0"/>
              <w:rPr>
                <w:szCs w:val="22"/>
                <w:lang w:val="en-US"/>
              </w:rPr>
            </w:pPr>
          </w:p>
        </w:tc>
      </w:tr>
      <w:tr w:rsidR="00E75219" w:rsidRPr="002F1CBE" w14:paraId="38ABA010" w14:textId="73385F06" w:rsidTr="00E74CCA">
        <w:trPr>
          <w:trHeight w:val="285"/>
        </w:trPr>
        <w:tc>
          <w:tcPr>
            <w:tcW w:w="1615" w:type="pct"/>
            <w:shd w:val="clear" w:color="auto" w:fill="auto"/>
            <w:noWrap/>
            <w:vAlign w:val="center"/>
            <w:hideMark/>
          </w:tcPr>
          <w:p w14:paraId="76F2E414" w14:textId="77777777" w:rsidR="00E75219" w:rsidRPr="002F1CBE" w:rsidRDefault="00E75219">
            <w:pPr>
              <w:pStyle w:val="Tabletext0"/>
              <w:rPr>
                <w:szCs w:val="22"/>
                <w:lang w:val="en-US"/>
              </w:rPr>
            </w:pPr>
            <w:r w:rsidRPr="002F1CBE">
              <w:rPr>
                <w:szCs w:val="22"/>
                <w:lang w:val="en-US"/>
              </w:rPr>
              <w:t>Model time horizon (years)</w:t>
            </w:r>
          </w:p>
        </w:tc>
        <w:tc>
          <w:tcPr>
            <w:tcW w:w="736" w:type="pct"/>
            <w:shd w:val="clear" w:color="auto" w:fill="auto"/>
            <w:noWrap/>
            <w:vAlign w:val="center"/>
            <w:hideMark/>
          </w:tcPr>
          <w:p w14:paraId="5F24D112" w14:textId="77777777" w:rsidR="00E75219" w:rsidRPr="002F1CBE" w:rsidRDefault="00E75219" w:rsidP="00233F4B">
            <w:pPr>
              <w:pStyle w:val="Tabletext0"/>
              <w:rPr>
                <w:szCs w:val="22"/>
                <w:lang w:val="en-US"/>
              </w:rPr>
            </w:pPr>
            <w:r w:rsidRPr="002F1CBE">
              <w:rPr>
                <w:szCs w:val="22"/>
                <w:lang w:val="en-US"/>
              </w:rPr>
              <w:t>20.00</w:t>
            </w:r>
          </w:p>
        </w:tc>
        <w:tc>
          <w:tcPr>
            <w:tcW w:w="736" w:type="pct"/>
            <w:shd w:val="clear" w:color="auto" w:fill="auto"/>
            <w:noWrap/>
            <w:vAlign w:val="center"/>
            <w:hideMark/>
          </w:tcPr>
          <w:p w14:paraId="2275787B" w14:textId="77777777" w:rsidR="00E75219" w:rsidRPr="002F1CBE" w:rsidRDefault="00E75219" w:rsidP="00233F4B">
            <w:pPr>
              <w:pStyle w:val="Tabletext0"/>
              <w:rPr>
                <w:szCs w:val="22"/>
                <w:lang w:val="en-US"/>
              </w:rPr>
            </w:pPr>
            <w:r w:rsidRPr="002F1CBE">
              <w:rPr>
                <w:szCs w:val="22"/>
                <w:lang w:val="en-US"/>
              </w:rPr>
              <w:t> </w:t>
            </w:r>
          </w:p>
        </w:tc>
        <w:tc>
          <w:tcPr>
            <w:tcW w:w="736" w:type="pct"/>
            <w:shd w:val="clear" w:color="auto" w:fill="auto"/>
            <w:noWrap/>
            <w:vAlign w:val="center"/>
            <w:hideMark/>
          </w:tcPr>
          <w:p w14:paraId="0F9BD177" w14:textId="77777777" w:rsidR="00E75219" w:rsidRPr="002F1CBE" w:rsidRDefault="00E75219" w:rsidP="00233F4B">
            <w:pPr>
              <w:pStyle w:val="Tabletext0"/>
              <w:rPr>
                <w:szCs w:val="22"/>
                <w:lang w:val="en-US"/>
              </w:rPr>
            </w:pPr>
            <w:r w:rsidRPr="002F1CBE">
              <w:rPr>
                <w:szCs w:val="22"/>
                <w:lang w:val="en-US"/>
              </w:rPr>
              <w:t> </w:t>
            </w:r>
          </w:p>
        </w:tc>
        <w:tc>
          <w:tcPr>
            <w:tcW w:w="589" w:type="pct"/>
            <w:shd w:val="clear" w:color="auto" w:fill="auto"/>
            <w:noWrap/>
            <w:vAlign w:val="center"/>
            <w:hideMark/>
          </w:tcPr>
          <w:p w14:paraId="67BF8058" w14:textId="77777777" w:rsidR="00E75219" w:rsidRPr="002F1CBE" w:rsidRDefault="00E75219">
            <w:pPr>
              <w:pStyle w:val="Tabletext0"/>
              <w:rPr>
                <w:szCs w:val="22"/>
                <w:lang w:val="en-US"/>
              </w:rPr>
            </w:pPr>
            <w:r w:rsidRPr="002F1CBE">
              <w:rPr>
                <w:szCs w:val="22"/>
                <w:lang w:val="en-US"/>
              </w:rPr>
              <w:t>Not varied in SA</w:t>
            </w:r>
          </w:p>
        </w:tc>
        <w:tc>
          <w:tcPr>
            <w:tcW w:w="588" w:type="pct"/>
            <w:vAlign w:val="center"/>
          </w:tcPr>
          <w:p w14:paraId="54A266D5" w14:textId="77777777" w:rsidR="00E75219" w:rsidRPr="002F1CBE" w:rsidRDefault="00E75219">
            <w:pPr>
              <w:pStyle w:val="Tabletext0"/>
              <w:rPr>
                <w:szCs w:val="22"/>
                <w:lang w:val="en-US"/>
              </w:rPr>
            </w:pPr>
          </w:p>
        </w:tc>
      </w:tr>
      <w:tr w:rsidR="00E75219" w:rsidRPr="002F1CBE" w14:paraId="6C299B55" w14:textId="754FEABE" w:rsidTr="00E74CCA">
        <w:trPr>
          <w:trHeight w:val="285"/>
        </w:trPr>
        <w:tc>
          <w:tcPr>
            <w:tcW w:w="1615" w:type="pct"/>
            <w:shd w:val="clear" w:color="auto" w:fill="auto"/>
            <w:noWrap/>
            <w:vAlign w:val="center"/>
            <w:hideMark/>
          </w:tcPr>
          <w:p w14:paraId="2B285576" w14:textId="7AE5DB6F" w:rsidR="00E75219" w:rsidRPr="002F1CBE" w:rsidRDefault="00E75219">
            <w:pPr>
              <w:pStyle w:val="Tabletext0"/>
              <w:rPr>
                <w:szCs w:val="22"/>
                <w:lang w:val="en-US"/>
              </w:rPr>
            </w:pPr>
            <w:r w:rsidRPr="002F1CBE">
              <w:rPr>
                <w:szCs w:val="22"/>
                <w:lang w:val="en-US"/>
              </w:rPr>
              <w:t>Discount rate: costs</w:t>
            </w:r>
          </w:p>
        </w:tc>
        <w:tc>
          <w:tcPr>
            <w:tcW w:w="736" w:type="pct"/>
            <w:shd w:val="clear" w:color="auto" w:fill="auto"/>
            <w:noWrap/>
            <w:vAlign w:val="center"/>
            <w:hideMark/>
          </w:tcPr>
          <w:p w14:paraId="45636CEE" w14:textId="31F31481" w:rsidR="00E75219" w:rsidRPr="002F1CBE" w:rsidRDefault="00E75219" w:rsidP="00233F4B">
            <w:pPr>
              <w:pStyle w:val="Tabletext0"/>
              <w:rPr>
                <w:szCs w:val="22"/>
                <w:lang w:val="en-US"/>
              </w:rPr>
            </w:pPr>
            <w:r w:rsidRPr="002F1CBE">
              <w:rPr>
                <w:szCs w:val="22"/>
                <w:lang w:val="en-US"/>
              </w:rPr>
              <w:t>3.0</w:t>
            </w:r>
            <w:r w:rsidR="00C73427">
              <w:rPr>
                <w:szCs w:val="22"/>
                <w:lang w:val="en-US"/>
              </w:rPr>
              <w:t>0</w:t>
            </w:r>
            <w:r w:rsidRPr="002F1CBE">
              <w:rPr>
                <w:szCs w:val="22"/>
                <w:lang w:val="en-US"/>
              </w:rPr>
              <w:t>%</w:t>
            </w:r>
          </w:p>
        </w:tc>
        <w:tc>
          <w:tcPr>
            <w:tcW w:w="736" w:type="pct"/>
            <w:shd w:val="clear" w:color="auto" w:fill="auto"/>
            <w:noWrap/>
            <w:vAlign w:val="center"/>
          </w:tcPr>
          <w:p w14:paraId="1256B0DE" w14:textId="52B35E72" w:rsidR="00E75219" w:rsidRPr="002F1CBE" w:rsidRDefault="00E75219" w:rsidP="00233F4B">
            <w:pPr>
              <w:pStyle w:val="Tabletext0"/>
              <w:rPr>
                <w:szCs w:val="22"/>
                <w:lang w:val="en-US"/>
              </w:rPr>
            </w:pPr>
            <w:r w:rsidRPr="002F1CBE">
              <w:rPr>
                <w:szCs w:val="22"/>
                <w:lang w:val="en-US"/>
              </w:rPr>
              <w:t>0.0</w:t>
            </w:r>
            <w:r w:rsidR="00C73427">
              <w:rPr>
                <w:szCs w:val="22"/>
                <w:lang w:val="en-US"/>
              </w:rPr>
              <w:t>0</w:t>
            </w:r>
            <w:r w:rsidRPr="002F1CBE">
              <w:rPr>
                <w:szCs w:val="22"/>
                <w:lang w:val="en-US"/>
              </w:rPr>
              <w:t>%</w:t>
            </w:r>
          </w:p>
        </w:tc>
        <w:tc>
          <w:tcPr>
            <w:tcW w:w="736" w:type="pct"/>
            <w:shd w:val="clear" w:color="auto" w:fill="auto"/>
            <w:noWrap/>
            <w:vAlign w:val="center"/>
          </w:tcPr>
          <w:p w14:paraId="22CBF64A" w14:textId="65C1D83B" w:rsidR="00E75219" w:rsidRPr="002F1CBE" w:rsidRDefault="00E75219" w:rsidP="00233F4B">
            <w:pPr>
              <w:pStyle w:val="Tabletext0"/>
              <w:rPr>
                <w:szCs w:val="22"/>
                <w:lang w:val="en-US"/>
              </w:rPr>
            </w:pPr>
            <w:r w:rsidRPr="002F1CBE">
              <w:rPr>
                <w:szCs w:val="22"/>
                <w:lang w:val="en-US"/>
              </w:rPr>
              <w:t>5.0</w:t>
            </w:r>
            <w:r w:rsidR="00C73427">
              <w:rPr>
                <w:szCs w:val="22"/>
                <w:lang w:val="en-US"/>
              </w:rPr>
              <w:t>0</w:t>
            </w:r>
            <w:r w:rsidRPr="002F1CBE">
              <w:rPr>
                <w:szCs w:val="22"/>
                <w:lang w:val="en-US"/>
              </w:rPr>
              <w:t>%</w:t>
            </w:r>
          </w:p>
        </w:tc>
        <w:tc>
          <w:tcPr>
            <w:tcW w:w="589" w:type="pct"/>
            <w:shd w:val="clear" w:color="auto" w:fill="auto"/>
            <w:noWrap/>
            <w:vAlign w:val="center"/>
            <w:hideMark/>
          </w:tcPr>
          <w:p w14:paraId="05B42CDC" w14:textId="77777777" w:rsidR="00E75219" w:rsidRPr="002F1CBE" w:rsidRDefault="00E75219">
            <w:pPr>
              <w:pStyle w:val="Tabletext0"/>
              <w:rPr>
                <w:szCs w:val="22"/>
                <w:lang w:val="en-US"/>
              </w:rPr>
            </w:pPr>
            <w:r w:rsidRPr="002F1CBE">
              <w:rPr>
                <w:szCs w:val="22"/>
                <w:lang w:val="en-US"/>
              </w:rPr>
              <w:t> </w:t>
            </w:r>
          </w:p>
        </w:tc>
        <w:tc>
          <w:tcPr>
            <w:tcW w:w="588" w:type="pct"/>
            <w:vMerge w:val="restart"/>
            <w:vAlign w:val="center"/>
          </w:tcPr>
          <w:p w14:paraId="15ED7469" w14:textId="2557D305" w:rsidR="00E75219" w:rsidRPr="002F1CBE" w:rsidRDefault="00E75219">
            <w:pPr>
              <w:pStyle w:val="Tabletext0"/>
              <w:rPr>
                <w:szCs w:val="22"/>
                <w:lang w:val="en-US"/>
              </w:rPr>
            </w:pPr>
            <w:r>
              <w:rPr>
                <w:szCs w:val="22"/>
                <w:lang w:val="en-US"/>
              </w:rPr>
              <w:t>ICER framework</w:t>
            </w:r>
            <w:r w:rsidR="00C73427">
              <w:rPr>
                <w:szCs w:val="22"/>
                <w:lang w:val="en-US"/>
              </w:rPr>
              <w:fldChar w:fldCharType="begin"/>
            </w:r>
            <w:r w:rsidR="006B11A7">
              <w:rPr>
                <w:szCs w:val="22"/>
                <w:lang w:val="en-US"/>
              </w:rPr>
              <w:instrText xml:space="preserve"> ADDIN EN.CITE &lt;EndNote&gt;&lt;Cite&gt;&lt;Author&gt;Institute for Clinical and Economic Review (ICER)&lt;/Author&gt;&lt;Year&gt;2018&lt;/Year&gt;&lt;RecNum&gt;75&lt;/RecNum&gt;&lt;DisplayText&gt;[1]&lt;/DisplayText&gt;&lt;record&gt;&lt;rec-number&gt;75&lt;/rec-number&gt;&lt;foreign-keys&gt;&lt;key app="EN" db-id="sv0re5vpexw0fmexwr6x0t91xt9zt5dxfxvz" timestamp="1557828122"&gt;75&lt;/key&gt;&lt;/foreign-keys&gt;&lt;ref-type name="Web Page"&gt;12&lt;/ref-type&gt;&lt;contributors&gt;&lt;authors&gt;&lt;author&gt;Institute for Clinical and Economic Review (ICER),.&lt;/author&gt;&lt;/authors&gt;&lt;/contributors&gt;&lt;titles&gt;&lt;title&gt;ICER&amp;apos;s Reference Case for Economic Evaluations: Principles and Rationale&lt;/title&gt;&lt;/titles&gt;&lt;number&gt;May 2019&lt;/number&gt;&lt;dates&gt;&lt;year&gt;2018&lt;/year&gt;&lt;/dates&gt;&lt;urls&gt;&lt;related-urls&gt;&lt;url&gt;https://icer-review.org/wp-content/uploads/2018/07/ICER_Reference_Case_July-2018.pdf&lt;/url&gt;&lt;/related-urls&gt;&lt;/urls&gt;&lt;/record&gt;&lt;/Cite&gt;&lt;/EndNote&gt;</w:instrText>
            </w:r>
            <w:r w:rsidR="00C73427">
              <w:rPr>
                <w:szCs w:val="22"/>
                <w:lang w:val="en-US"/>
              </w:rPr>
              <w:fldChar w:fldCharType="separate"/>
            </w:r>
            <w:r w:rsidR="006B11A7">
              <w:rPr>
                <w:noProof/>
                <w:szCs w:val="22"/>
                <w:lang w:val="en-US"/>
              </w:rPr>
              <w:t>[1]</w:t>
            </w:r>
            <w:r w:rsidR="00C73427">
              <w:rPr>
                <w:szCs w:val="22"/>
                <w:lang w:val="en-US"/>
              </w:rPr>
              <w:fldChar w:fldCharType="end"/>
            </w:r>
          </w:p>
        </w:tc>
      </w:tr>
      <w:tr w:rsidR="00E75219" w:rsidRPr="002F1CBE" w14:paraId="72793FB5" w14:textId="51979D83" w:rsidTr="00E74CCA">
        <w:trPr>
          <w:trHeight w:val="285"/>
        </w:trPr>
        <w:tc>
          <w:tcPr>
            <w:tcW w:w="1615" w:type="pct"/>
            <w:shd w:val="clear" w:color="auto" w:fill="auto"/>
            <w:noWrap/>
            <w:vAlign w:val="center"/>
            <w:hideMark/>
          </w:tcPr>
          <w:p w14:paraId="1338FA8D" w14:textId="5F201ECB" w:rsidR="00E75219" w:rsidRPr="002F1CBE" w:rsidRDefault="00E75219">
            <w:pPr>
              <w:pStyle w:val="Tabletext0"/>
              <w:rPr>
                <w:szCs w:val="22"/>
                <w:lang w:val="en-US"/>
              </w:rPr>
            </w:pPr>
            <w:r w:rsidRPr="002F1CBE">
              <w:rPr>
                <w:szCs w:val="22"/>
                <w:lang w:val="en-US"/>
              </w:rPr>
              <w:t>Discount rate: health outcomes</w:t>
            </w:r>
          </w:p>
        </w:tc>
        <w:tc>
          <w:tcPr>
            <w:tcW w:w="736" w:type="pct"/>
            <w:shd w:val="clear" w:color="auto" w:fill="auto"/>
            <w:noWrap/>
            <w:vAlign w:val="center"/>
            <w:hideMark/>
          </w:tcPr>
          <w:p w14:paraId="0BF0B1A4" w14:textId="55665AB9" w:rsidR="00E75219" w:rsidRPr="002F1CBE" w:rsidRDefault="00E75219" w:rsidP="00233F4B">
            <w:pPr>
              <w:pStyle w:val="Tabletext0"/>
              <w:rPr>
                <w:szCs w:val="22"/>
                <w:lang w:val="en-US"/>
              </w:rPr>
            </w:pPr>
            <w:r w:rsidRPr="002F1CBE">
              <w:rPr>
                <w:szCs w:val="22"/>
                <w:lang w:val="en-US"/>
              </w:rPr>
              <w:t>3.0</w:t>
            </w:r>
            <w:r w:rsidR="00C73427">
              <w:rPr>
                <w:szCs w:val="22"/>
                <w:lang w:val="en-US"/>
              </w:rPr>
              <w:t>0</w:t>
            </w:r>
            <w:r w:rsidRPr="002F1CBE">
              <w:rPr>
                <w:szCs w:val="22"/>
                <w:lang w:val="en-US"/>
              </w:rPr>
              <w:t>%</w:t>
            </w:r>
          </w:p>
        </w:tc>
        <w:tc>
          <w:tcPr>
            <w:tcW w:w="736" w:type="pct"/>
            <w:shd w:val="clear" w:color="auto" w:fill="auto"/>
            <w:noWrap/>
            <w:vAlign w:val="center"/>
          </w:tcPr>
          <w:p w14:paraId="2BDB9FD2" w14:textId="463B2331" w:rsidR="00E75219" w:rsidRPr="002F1CBE" w:rsidRDefault="00E75219" w:rsidP="00233F4B">
            <w:pPr>
              <w:pStyle w:val="Tabletext0"/>
              <w:rPr>
                <w:szCs w:val="22"/>
                <w:lang w:val="en-US"/>
              </w:rPr>
            </w:pPr>
            <w:r w:rsidRPr="002F1CBE">
              <w:rPr>
                <w:szCs w:val="22"/>
                <w:lang w:val="en-US"/>
              </w:rPr>
              <w:t>0.0</w:t>
            </w:r>
            <w:r w:rsidR="00C73427">
              <w:rPr>
                <w:szCs w:val="22"/>
                <w:lang w:val="en-US"/>
              </w:rPr>
              <w:t>0</w:t>
            </w:r>
            <w:r w:rsidRPr="002F1CBE">
              <w:rPr>
                <w:szCs w:val="22"/>
                <w:lang w:val="en-US"/>
              </w:rPr>
              <w:t>%</w:t>
            </w:r>
          </w:p>
        </w:tc>
        <w:tc>
          <w:tcPr>
            <w:tcW w:w="736" w:type="pct"/>
            <w:shd w:val="clear" w:color="auto" w:fill="auto"/>
            <w:noWrap/>
            <w:vAlign w:val="center"/>
          </w:tcPr>
          <w:p w14:paraId="238EFA75" w14:textId="58912992" w:rsidR="00E75219" w:rsidRPr="002F1CBE" w:rsidRDefault="00E75219" w:rsidP="00233F4B">
            <w:pPr>
              <w:pStyle w:val="Tabletext0"/>
              <w:rPr>
                <w:szCs w:val="22"/>
                <w:lang w:val="en-US"/>
              </w:rPr>
            </w:pPr>
            <w:r w:rsidRPr="002F1CBE">
              <w:rPr>
                <w:szCs w:val="22"/>
                <w:lang w:val="en-US"/>
              </w:rPr>
              <w:t>5.0</w:t>
            </w:r>
            <w:r w:rsidR="00C73427">
              <w:rPr>
                <w:szCs w:val="22"/>
                <w:lang w:val="en-US"/>
              </w:rPr>
              <w:t>0</w:t>
            </w:r>
            <w:r w:rsidRPr="002F1CBE">
              <w:rPr>
                <w:szCs w:val="22"/>
                <w:lang w:val="en-US"/>
              </w:rPr>
              <w:t>%</w:t>
            </w:r>
          </w:p>
        </w:tc>
        <w:tc>
          <w:tcPr>
            <w:tcW w:w="589" w:type="pct"/>
            <w:shd w:val="clear" w:color="auto" w:fill="auto"/>
            <w:noWrap/>
            <w:vAlign w:val="center"/>
            <w:hideMark/>
          </w:tcPr>
          <w:p w14:paraId="3F2B12B3" w14:textId="77777777" w:rsidR="00E75219" w:rsidRPr="002F1CBE" w:rsidRDefault="00E75219">
            <w:pPr>
              <w:pStyle w:val="Tabletext0"/>
              <w:rPr>
                <w:szCs w:val="22"/>
                <w:lang w:val="en-US"/>
              </w:rPr>
            </w:pPr>
            <w:r w:rsidRPr="002F1CBE">
              <w:rPr>
                <w:szCs w:val="22"/>
                <w:lang w:val="en-US"/>
              </w:rPr>
              <w:t> </w:t>
            </w:r>
          </w:p>
        </w:tc>
        <w:tc>
          <w:tcPr>
            <w:tcW w:w="588" w:type="pct"/>
            <w:vMerge/>
            <w:vAlign w:val="center"/>
          </w:tcPr>
          <w:p w14:paraId="40827B5D" w14:textId="77777777" w:rsidR="00E75219" w:rsidRPr="002F1CBE" w:rsidRDefault="00E75219">
            <w:pPr>
              <w:pStyle w:val="Tabletext0"/>
              <w:rPr>
                <w:szCs w:val="22"/>
                <w:lang w:val="en-US"/>
              </w:rPr>
            </w:pPr>
          </w:p>
        </w:tc>
      </w:tr>
      <w:tr w:rsidR="00E75219" w:rsidRPr="002F1CBE" w14:paraId="4E995647" w14:textId="68C37147" w:rsidTr="00A00B39">
        <w:trPr>
          <w:trHeight w:val="315"/>
        </w:trPr>
        <w:tc>
          <w:tcPr>
            <w:tcW w:w="5000" w:type="pct"/>
            <w:gridSpan w:val="6"/>
            <w:shd w:val="clear" w:color="auto" w:fill="auto"/>
            <w:noWrap/>
            <w:vAlign w:val="center"/>
            <w:hideMark/>
          </w:tcPr>
          <w:p w14:paraId="2CDDB079" w14:textId="606CC789" w:rsidR="00E75219" w:rsidRPr="002F1CBE" w:rsidRDefault="00E75219">
            <w:pPr>
              <w:pStyle w:val="Tabletext0"/>
              <w:rPr>
                <w:b/>
                <w:i/>
                <w:szCs w:val="22"/>
                <w:lang w:val="en-US"/>
              </w:rPr>
            </w:pPr>
            <w:r w:rsidRPr="002F1CBE">
              <w:rPr>
                <w:b/>
                <w:i/>
                <w:szCs w:val="22"/>
                <w:lang w:val="en-US"/>
              </w:rPr>
              <w:t>Patient information </w:t>
            </w:r>
          </w:p>
        </w:tc>
      </w:tr>
      <w:tr w:rsidR="00E75219" w:rsidRPr="002F1CBE" w14:paraId="69504AD5" w14:textId="4FC7D937" w:rsidTr="00E74CCA">
        <w:trPr>
          <w:trHeight w:val="285"/>
        </w:trPr>
        <w:tc>
          <w:tcPr>
            <w:tcW w:w="1615" w:type="pct"/>
            <w:shd w:val="clear" w:color="auto" w:fill="auto"/>
            <w:noWrap/>
            <w:vAlign w:val="center"/>
            <w:hideMark/>
          </w:tcPr>
          <w:p w14:paraId="6B8FB5DC" w14:textId="77777777" w:rsidR="00E75219" w:rsidRPr="002F1CBE" w:rsidRDefault="00E75219">
            <w:pPr>
              <w:pStyle w:val="Tabletext0"/>
              <w:rPr>
                <w:szCs w:val="22"/>
                <w:lang w:val="en-US"/>
              </w:rPr>
            </w:pPr>
            <w:r w:rsidRPr="002F1CBE">
              <w:rPr>
                <w:szCs w:val="22"/>
                <w:lang w:val="en-US"/>
              </w:rPr>
              <w:t>Patient age</w:t>
            </w:r>
          </w:p>
        </w:tc>
        <w:tc>
          <w:tcPr>
            <w:tcW w:w="736" w:type="pct"/>
            <w:shd w:val="clear" w:color="auto" w:fill="auto"/>
            <w:noWrap/>
            <w:vAlign w:val="center"/>
            <w:hideMark/>
          </w:tcPr>
          <w:p w14:paraId="0340B17C" w14:textId="77777777" w:rsidR="00E75219" w:rsidRPr="002F1CBE" w:rsidRDefault="00E75219" w:rsidP="00233F4B">
            <w:pPr>
              <w:pStyle w:val="Tabletext0"/>
              <w:rPr>
                <w:szCs w:val="22"/>
                <w:lang w:val="en-US"/>
              </w:rPr>
            </w:pPr>
            <w:r w:rsidRPr="002F1CBE">
              <w:rPr>
                <w:szCs w:val="22"/>
                <w:lang w:val="en-US"/>
              </w:rPr>
              <w:t>65.00</w:t>
            </w:r>
          </w:p>
        </w:tc>
        <w:tc>
          <w:tcPr>
            <w:tcW w:w="736" w:type="pct"/>
            <w:shd w:val="clear" w:color="auto" w:fill="auto"/>
            <w:noWrap/>
            <w:vAlign w:val="center"/>
            <w:hideMark/>
          </w:tcPr>
          <w:p w14:paraId="63E59F90" w14:textId="77777777" w:rsidR="00E75219" w:rsidRPr="002F1CBE" w:rsidRDefault="00E75219" w:rsidP="00233F4B">
            <w:pPr>
              <w:pStyle w:val="Tabletext0"/>
              <w:rPr>
                <w:szCs w:val="22"/>
                <w:lang w:val="en-US"/>
              </w:rPr>
            </w:pPr>
            <w:r w:rsidRPr="002F1CBE">
              <w:rPr>
                <w:szCs w:val="22"/>
                <w:lang w:val="en-US"/>
              </w:rPr>
              <w:t>60.00</w:t>
            </w:r>
          </w:p>
        </w:tc>
        <w:tc>
          <w:tcPr>
            <w:tcW w:w="736" w:type="pct"/>
            <w:shd w:val="clear" w:color="auto" w:fill="auto"/>
            <w:noWrap/>
            <w:vAlign w:val="center"/>
            <w:hideMark/>
          </w:tcPr>
          <w:p w14:paraId="7B273605" w14:textId="77777777" w:rsidR="00E75219" w:rsidRPr="002F1CBE" w:rsidRDefault="00E75219" w:rsidP="00233F4B">
            <w:pPr>
              <w:pStyle w:val="Tabletext0"/>
              <w:rPr>
                <w:szCs w:val="22"/>
                <w:lang w:val="en-US"/>
              </w:rPr>
            </w:pPr>
            <w:r w:rsidRPr="002F1CBE">
              <w:rPr>
                <w:szCs w:val="22"/>
                <w:lang w:val="en-US"/>
              </w:rPr>
              <w:t>70.00</w:t>
            </w:r>
          </w:p>
        </w:tc>
        <w:tc>
          <w:tcPr>
            <w:tcW w:w="589" w:type="pct"/>
            <w:shd w:val="clear" w:color="auto" w:fill="auto"/>
            <w:noWrap/>
            <w:vAlign w:val="center"/>
            <w:hideMark/>
          </w:tcPr>
          <w:p w14:paraId="2A506570" w14:textId="1AE7F881" w:rsidR="00E75219" w:rsidRPr="002F1CBE" w:rsidRDefault="00E75219" w:rsidP="00233F4B">
            <w:pPr>
              <w:pStyle w:val="Tabletext0"/>
              <w:rPr>
                <w:szCs w:val="22"/>
                <w:lang w:val="en-US"/>
              </w:rPr>
            </w:pPr>
            <w:r w:rsidRPr="002F1CBE">
              <w:rPr>
                <w:szCs w:val="22"/>
                <w:lang w:val="en-US"/>
              </w:rPr>
              <w:t> ±5 years</w:t>
            </w:r>
          </w:p>
        </w:tc>
        <w:tc>
          <w:tcPr>
            <w:tcW w:w="588" w:type="pct"/>
            <w:vMerge w:val="restart"/>
            <w:vAlign w:val="center"/>
          </w:tcPr>
          <w:p w14:paraId="40E4E2DB" w14:textId="039ED193" w:rsidR="00E75219" w:rsidRPr="002F1CBE" w:rsidRDefault="00E75219" w:rsidP="00233F4B">
            <w:pPr>
              <w:pStyle w:val="Tabletext0"/>
              <w:rPr>
                <w:szCs w:val="22"/>
                <w:lang w:val="en-US"/>
              </w:rPr>
            </w:pPr>
            <w:r>
              <w:rPr>
                <w:szCs w:val="22"/>
                <w:lang w:val="en-US"/>
              </w:rPr>
              <w:t>KN-045</w:t>
            </w:r>
          </w:p>
        </w:tc>
      </w:tr>
      <w:tr w:rsidR="00E75219" w:rsidRPr="002F1CBE" w14:paraId="6C44CE82" w14:textId="27DFB72A" w:rsidTr="00E74CCA">
        <w:trPr>
          <w:trHeight w:val="285"/>
        </w:trPr>
        <w:tc>
          <w:tcPr>
            <w:tcW w:w="1615" w:type="pct"/>
            <w:shd w:val="clear" w:color="auto" w:fill="auto"/>
            <w:noWrap/>
            <w:vAlign w:val="center"/>
            <w:hideMark/>
          </w:tcPr>
          <w:p w14:paraId="4853C2B7" w14:textId="77777777" w:rsidR="00E75219" w:rsidRPr="002F1CBE" w:rsidRDefault="00E75219">
            <w:pPr>
              <w:pStyle w:val="Tabletext0"/>
              <w:rPr>
                <w:szCs w:val="22"/>
                <w:lang w:val="en-US"/>
              </w:rPr>
            </w:pPr>
            <w:r w:rsidRPr="002F1CBE">
              <w:rPr>
                <w:szCs w:val="22"/>
                <w:lang w:val="en-US"/>
              </w:rPr>
              <w:t>Average patient weight (kg)</w:t>
            </w:r>
          </w:p>
        </w:tc>
        <w:tc>
          <w:tcPr>
            <w:tcW w:w="736" w:type="pct"/>
            <w:shd w:val="clear" w:color="auto" w:fill="auto"/>
            <w:noWrap/>
            <w:vAlign w:val="center"/>
            <w:hideMark/>
          </w:tcPr>
          <w:p w14:paraId="5061D18D" w14:textId="77777777" w:rsidR="00E75219" w:rsidRPr="002F1CBE" w:rsidRDefault="00E75219" w:rsidP="00233F4B">
            <w:pPr>
              <w:pStyle w:val="Tabletext0"/>
              <w:rPr>
                <w:szCs w:val="22"/>
                <w:lang w:val="en-US"/>
              </w:rPr>
            </w:pPr>
            <w:r w:rsidRPr="002F1CBE">
              <w:rPr>
                <w:lang w:val="en-US"/>
              </w:rPr>
              <w:t>73.58</w:t>
            </w:r>
          </w:p>
        </w:tc>
        <w:tc>
          <w:tcPr>
            <w:tcW w:w="736" w:type="pct"/>
            <w:shd w:val="clear" w:color="auto" w:fill="auto"/>
            <w:noWrap/>
            <w:vAlign w:val="center"/>
          </w:tcPr>
          <w:p w14:paraId="53B0FDB7" w14:textId="77777777" w:rsidR="00E75219" w:rsidRPr="002F1CBE" w:rsidRDefault="00E75219" w:rsidP="00233F4B">
            <w:pPr>
              <w:pStyle w:val="Tabletext0"/>
              <w:rPr>
                <w:szCs w:val="22"/>
                <w:lang w:val="en-US"/>
              </w:rPr>
            </w:pPr>
            <w:r w:rsidRPr="002F1CBE">
              <w:rPr>
                <w:lang w:val="en-US"/>
              </w:rPr>
              <w:t>70.87</w:t>
            </w:r>
          </w:p>
        </w:tc>
        <w:tc>
          <w:tcPr>
            <w:tcW w:w="736" w:type="pct"/>
            <w:shd w:val="clear" w:color="auto" w:fill="auto"/>
            <w:noWrap/>
            <w:vAlign w:val="center"/>
          </w:tcPr>
          <w:p w14:paraId="48023A1C" w14:textId="77777777" w:rsidR="00E75219" w:rsidRPr="002F1CBE" w:rsidRDefault="00E75219" w:rsidP="00233F4B">
            <w:pPr>
              <w:pStyle w:val="Tabletext0"/>
              <w:rPr>
                <w:szCs w:val="22"/>
                <w:lang w:val="en-US"/>
              </w:rPr>
            </w:pPr>
            <w:r w:rsidRPr="002F1CBE">
              <w:rPr>
                <w:lang w:val="en-US"/>
              </w:rPr>
              <w:t>76.39</w:t>
            </w:r>
          </w:p>
        </w:tc>
        <w:tc>
          <w:tcPr>
            <w:tcW w:w="589" w:type="pct"/>
            <w:shd w:val="clear" w:color="auto" w:fill="auto"/>
            <w:noWrap/>
            <w:vAlign w:val="center"/>
            <w:hideMark/>
          </w:tcPr>
          <w:p w14:paraId="187C1BD7" w14:textId="6227F57B" w:rsidR="00E75219" w:rsidRPr="002F1CBE" w:rsidRDefault="00E75219" w:rsidP="00233F4B">
            <w:pPr>
              <w:pStyle w:val="Tabletext0"/>
              <w:rPr>
                <w:szCs w:val="22"/>
                <w:lang w:val="en-US"/>
              </w:rPr>
            </w:pPr>
            <w:r w:rsidRPr="002F1CBE">
              <w:rPr>
                <w:szCs w:val="22"/>
                <w:lang w:val="en-US"/>
              </w:rPr>
              <w:t>Log normal</w:t>
            </w:r>
          </w:p>
        </w:tc>
        <w:tc>
          <w:tcPr>
            <w:tcW w:w="588" w:type="pct"/>
            <w:vMerge/>
            <w:vAlign w:val="center"/>
          </w:tcPr>
          <w:p w14:paraId="4C82844C" w14:textId="77777777" w:rsidR="00E75219" w:rsidRPr="002F1CBE" w:rsidRDefault="00E75219" w:rsidP="00233F4B">
            <w:pPr>
              <w:pStyle w:val="Tabletext0"/>
              <w:rPr>
                <w:szCs w:val="22"/>
                <w:lang w:val="en-US"/>
              </w:rPr>
            </w:pPr>
          </w:p>
        </w:tc>
      </w:tr>
      <w:tr w:rsidR="00E75219" w:rsidRPr="002F1CBE" w14:paraId="251AF9E2" w14:textId="461A40BC" w:rsidTr="00E74CCA">
        <w:trPr>
          <w:trHeight w:val="285"/>
        </w:trPr>
        <w:tc>
          <w:tcPr>
            <w:tcW w:w="1615" w:type="pct"/>
            <w:shd w:val="clear" w:color="auto" w:fill="auto"/>
            <w:noWrap/>
            <w:vAlign w:val="center"/>
            <w:hideMark/>
          </w:tcPr>
          <w:p w14:paraId="26B35567" w14:textId="3108EE4E" w:rsidR="00E75219" w:rsidRPr="002F1CBE" w:rsidRDefault="00E75219">
            <w:pPr>
              <w:pStyle w:val="Tabletext0"/>
              <w:rPr>
                <w:szCs w:val="22"/>
                <w:lang w:val="en-US"/>
              </w:rPr>
            </w:pPr>
            <w:r w:rsidRPr="002F1CBE">
              <w:rPr>
                <w:szCs w:val="22"/>
                <w:lang w:val="en-US"/>
              </w:rPr>
              <w:t>Average patient BSA (m</w:t>
            </w:r>
            <w:r w:rsidRPr="002F1CBE">
              <w:rPr>
                <w:szCs w:val="22"/>
                <w:vertAlign w:val="superscript"/>
                <w:lang w:val="en-US"/>
              </w:rPr>
              <w:t>2</w:t>
            </w:r>
            <w:r w:rsidRPr="002F1CBE">
              <w:rPr>
                <w:szCs w:val="22"/>
                <w:lang w:val="en-US"/>
              </w:rPr>
              <w:t>)</w:t>
            </w:r>
          </w:p>
        </w:tc>
        <w:tc>
          <w:tcPr>
            <w:tcW w:w="736" w:type="pct"/>
            <w:shd w:val="clear" w:color="auto" w:fill="auto"/>
            <w:noWrap/>
            <w:vAlign w:val="center"/>
            <w:hideMark/>
          </w:tcPr>
          <w:p w14:paraId="48E013C7" w14:textId="77777777" w:rsidR="00E75219" w:rsidRPr="002F1CBE" w:rsidRDefault="00E75219" w:rsidP="00233F4B">
            <w:pPr>
              <w:pStyle w:val="Tabletext0"/>
              <w:rPr>
                <w:szCs w:val="22"/>
                <w:lang w:val="en-US"/>
              </w:rPr>
            </w:pPr>
            <w:r w:rsidRPr="002F1CBE">
              <w:rPr>
                <w:lang w:val="en-US"/>
              </w:rPr>
              <w:t>1.85</w:t>
            </w:r>
          </w:p>
        </w:tc>
        <w:tc>
          <w:tcPr>
            <w:tcW w:w="736" w:type="pct"/>
            <w:shd w:val="clear" w:color="auto" w:fill="auto"/>
            <w:noWrap/>
            <w:vAlign w:val="center"/>
            <w:hideMark/>
          </w:tcPr>
          <w:p w14:paraId="57639E72" w14:textId="77777777" w:rsidR="00E75219" w:rsidRPr="002F1CBE" w:rsidRDefault="00E75219" w:rsidP="00233F4B">
            <w:pPr>
              <w:pStyle w:val="Tabletext0"/>
              <w:rPr>
                <w:szCs w:val="22"/>
                <w:lang w:val="en-US"/>
              </w:rPr>
            </w:pPr>
            <w:r w:rsidRPr="002F1CBE">
              <w:rPr>
                <w:lang w:val="en-US"/>
              </w:rPr>
              <w:t>1.49</w:t>
            </w:r>
          </w:p>
        </w:tc>
        <w:tc>
          <w:tcPr>
            <w:tcW w:w="736" w:type="pct"/>
            <w:shd w:val="clear" w:color="auto" w:fill="auto"/>
            <w:noWrap/>
            <w:vAlign w:val="center"/>
            <w:hideMark/>
          </w:tcPr>
          <w:p w14:paraId="23C25D7F" w14:textId="77777777" w:rsidR="00E75219" w:rsidRPr="002F1CBE" w:rsidRDefault="00E75219" w:rsidP="00233F4B">
            <w:pPr>
              <w:pStyle w:val="Tabletext0"/>
              <w:rPr>
                <w:szCs w:val="22"/>
                <w:lang w:val="en-US"/>
              </w:rPr>
            </w:pPr>
            <w:r w:rsidRPr="002F1CBE">
              <w:rPr>
                <w:lang w:val="en-US"/>
              </w:rPr>
              <w:t>2.21</w:t>
            </w:r>
          </w:p>
        </w:tc>
        <w:tc>
          <w:tcPr>
            <w:tcW w:w="589" w:type="pct"/>
            <w:shd w:val="clear" w:color="auto" w:fill="auto"/>
            <w:noWrap/>
            <w:vAlign w:val="center"/>
            <w:hideMark/>
          </w:tcPr>
          <w:p w14:paraId="7289A20E" w14:textId="77777777" w:rsidR="00E75219" w:rsidRPr="002F1CBE" w:rsidRDefault="00E75219" w:rsidP="00233F4B">
            <w:pPr>
              <w:pStyle w:val="Tabletext0"/>
              <w:rPr>
                <w:szCs w:val="22"/>
                <w:lang w:val="en-US"/>
              </w:rPr>
            </w:pPr>
            <w:r w:rsidRPr="002F1CBE">
              <w:rPr>
                <w:szCs w:val="22"/>
                <w:lang w:val="en-US"/>
              </w:rPr>
              <w:t>Normal</w:t>
            </w:r>
          </w:p>
        </w:tc>
        <w:tc>
          <w:tcPr>
            <w:tcW w:w="588" w:type="pct"/>
            <w:vMerge/>
            <w:vAlign w:val="center"/>
          </w:tcPr>
          <w:p w14:paraId="78324010" w14:textId="77777777" w:rsidR="00E75219" w:rsidRPr="002F1CBE" w:rsidRDefault="00E75219" w:rsidP="00233F4B">
            <w:pPr>
              <w:pStyle w:val="Tabletext0"/>
              <w:rPr>
                <w:szCs w:val="22"/>
                <w:lang w:val="en-US"/>
              </w:rPr>
            </w:pPr>
          </w:p>
        </w:tc>
      </w:tr>
      <w:tr w:rsidR="00E75219" w:rsidRPr="002F1CBE" w14:paraId="3C087A3A" w14:textId="3AD0A8DD" w:rsidTr="00A00B39">
        <w:trPr>
          <w:trHeight w:val="315"/>
        </w:trPr>
        <w:tc>
          <w:tcPr>
            <w:tcW w:w="5000" w:type="pct"/>
            <w:gridSpan w:val="6"/>
            <w:shd w:val="clear" w:color="auto" w:fill="auto"/>
            <w:noWrap/>
            <w:vAlign w:val="center"/>
            <w:hideMark/>
          </w:tcPr>
          <w:p w14:paraId="71EAF448" w14:textId="7CE8C2D5" w:rsidR="00E75219" w:rsidRPr="002F1CBE" w:rsidRDefault="00E75219">
            <w:pPr>
              <w:pStyle w:val="Tabletext0"/>
              <w:rPr>
                <w:b/>
                <w:i/>
                <w:szCs w:val="22"/>
                <w:lang w:val="en-US"/>
              </w:rPr>
            </w:pPr>
            <w:r w:rsidRPr="002F1CBE">
              <w:rPr>
                <w:b/>
                <w:i/>
                <w:szCs w:val="22"/>
                <w:lang w:val="en-US"/>
              </w:rPr>
              <w:t>Utility inputs</w:t>
            </w:r>
          </w:p>
        </w:tc>
      </w:tr>
      <w:tr w:rsidR="00E75219" w:rsidRPr="002F1CBE" w14:paraId="0C0E0CCA" w14:textId="5DAA71BB" w:rsidTr="00A00B39">
        <w:trPr>
          <w:trHeight w:val="285"/>
        </w:trPr>
        <w:tc>
          <w:tcPr>
            <w:tcW w:w="5000" w:type="pct"/>
            <w:gridSpan w:val="6"/>
            <w:shd w:val="clear" w:color="auto" w:fill="auto"/>
            <w:noWrap/>
            <w:vAlign w:val="center"/>
            <w:hideMark/>
          </w:tcPr>
          <w:p w14:paraId="6ED9EB46" w14:textId="01FC6E28" w:rsidR="00E75219" w:rsidRPr="002F1CBE" w:rsidRDefault="00E75219">
            <w:pPr>
              <w:pStyle w:val="Tabletext0"/>
              <w:rPr>
                <w:b/>
                <w:i/>
                <w:szCs w:val="22"/>
                <w:lang w:val="en-US"/>
              </w:rPr>
            </w:pPr>
            <w:r w:rsidRPr="002F1CBE">
              <w:rPr>
                <w:b/>
                <w:i/>
                <w:szCs w:val="22"/>
                <w:lang w:val="en-US"/>
              </w:rPr>
              <w:t>Utility by time to death (pooled)</w:t>
            </w:r>
          </w:p>
        </w:tc>
      </w:tr>
      <w:tr w:rsidR="00E75219" w:rsidRPr="002F1CBE" w14:paraId="2112B735" w14:textId="3923BC30" w:rsidTr="00E74CCA">
        <w:trPr>
          <w:trHeight w:val="285"/>
        </w:trPr>
        <w:tc>
          <w:tcPr>
            <w:tcW w:w="1615" w:type="pct"/>
            <w:shd w:val="clear" w:color="auto" w:fill="auto"/>
            <w:noWrap/>
            <w:vAlign w:val="center"/>
            <w:hideMark/>
          </w:tcPr>
          <w:p w14:paraId="120D5FA7" w14:textId="6F22DC5F" w:rsidR="00E75219" w:rsidRPr="002F1CBE" w:rsidRDefault="00E75219">
            <w:pPr>
              <w:pStyle w:val="Tabletext0"/>
              <w:rPr>
                <w:szCs w:val="22"/>
                <w:lang w:val="en-US"/>
              </w:rPr>
            </w:pPr>
            <w:r w:rsidRPr="002F1CBE">
              <w:rPr>
                <w:szCs w:val="22"/>
                <w:lang w:val="en-US"/>
              </w:rPr>
              <w:t>≥360 days</w:t>
            </w:r>
          </w:p>
        </w:tc>
        <w:tc>
          <w:tcPr>
            <w:tcW w:w="736" w:type="pct"/>
            <w:shd w:val="clear" w:color="auto" w:fill="auto"/>
            <w:noWrap/>
            <w:vAlign w:val="center"/>
            <w:hideMark/>
          </w:tcPr>
          <w:p w14:paraId="261B3AF9" w14:textId="77777777" w:rsidR="00E75219" w:rsidRPr="002F1CBE" w:rsidRDefault="00E75219" w:rsidP="00233F4B">
            <w:pPr>
              <w:pStyle w:val="Tabletext0"/>
              <w:rPr>
                <w:szCs w:val="22"/>
                <w:lang w:val="en-US"/>
              </w:rPr>
            </w:pPr>
            <w:r w:rsidRPr="002F1CBE">
              <w:rPr>
                <w:szCs w:val="22"/>
                <w:lang w:val="en-US"/>
              </w:rPr>
              <w:t>0.85</w:t>
            </w:r>
          </w:p>
        </w:tc>
        <w:tc>
          <w:tcPr>
            <w:tcW w:w="736" w:type="pct"/>
            <w:shd w:val="clear" w:color="auto" w:fill="auto"/>
            <w:noWrap/>
            <w:vAlign w:val="center"/>
            <w:hideMark/>
          </w:tcPr>
          <w:p w14:paraId="7DB229DC" w14:textId="77777777" w:rsidR="00E75219" w:rsidRPr="002F1CBE" w:rsidRDefault="00E75219" w:rsidP="00233F4B">
            <w:pPr>
              <w:pStyle w:val="Tabletext0"/>
              <w:rPr>
                <w:szCs w:val="22"/>
                <w:lang w:val="en-US"/>
              </w:rPr>
            </w:pPr>
            <w:r w:rsidRPr="002F1CBE">
              <w:rPr>
                <w:szCs w:val="22"/>
                <w:lang w:val="en-US"/>
              </w:rPr>
              <w:t>0.84</w:t>
            </w:r>
          </w:p>
        </w:tc>
        <w:tc>
          <w:tcPr>
            <w:tcW w:w="736" w:type="pct"/>
            <w:shd w:val="clear" w:color="auto" w:fill="auto"/>
            <w:noWrap/>
            <w:vAlign w:val="center"/>
            <w:hideMark/>
          </w:tcPr>
          <w:p w14:paraId="36FCE119" w14:textId="77777777" w:rsidR="00E75219" w:rsidRPr="002F1CBE" w:rsidRDefault="00E75219" w:rsidP="00233F4B">
            <w:pPr>
              <w:pStyle w:val="Tabletext0"/>
              <w:rPr>
                <w:szCs w:val="22"/>
                <w:lang w:val="en-US"/>
              </w:rPr>
            </w:pPr>
            <w:r w:rsidRPr="002F1CBE">
              <w:rPr>
                <w:szCs w:val="22"/>
                <w:lang w:val="en-US"/>
              </w:rPr>
              <w:t>0.86</w:t>
            </w:r>
          </w:p>
        </w:tc>
        <w:tc>
          <w:tcPr>
            <w:tcW w:w="589" w:type="pct"/>
            <w:shd w:val="clear" w:color="auto" w:fill="auto"/>
            <w:noWrap/>
            <w:vAlign w:val="center"/>
            <w:hideMark/>
          </w:tcPr>
          <w:p w14:paraId="1E543F72" w14:textId="77777777" w:rsidR="00E75219" w:rsidRPr="002F1CBE" w:rsidRDefault="00E75219">
            <w:pPr>
              <w:pStyle w:val="Tabletext0"/>
              <w:rPr>
                <w:szCs w:val="22"/>
                <w:lang w:val="en-US"/>
              </w:rPr>
            </w:pPr>
            <w:r w:rsidRPr="002F1CBE">
              <w:rPr>
                <w:szCs w:val="22"/>
                <w:lang w:val="en-US"/>
              </w:rPr>
              <w:t>Beta</w:t>
            </w:r>
          </w:p>
        </w:tc>
        <w:tc>
          <w:tcPr>
            <w:tcW w:w="588" w:type="pct"/>
            <w:vMerge w:val="restart"/>
            <w:vAlign w:val="center"/>
          </w:tcPr>
          <w:p w14:paraId="2AF75CAC" w14:textId="49086617" w:rsidR="00E75219" w:rsidRPr="002F1CBE" w:rsidRDefault="00E75219">
            <w:pPr>
              <w:pStyle w:val="Tabletext0"/>
              <w:rPr>
                <w:szCs w:val="22"/>
                <w:lang w:val="en-US"/>
              </w:rPr>
            </w:pPr>
            <w:r>
              <w:rPr>
                <w:szCs w:val="22"/>
                <w:lang w:val="en-US"/>
              </w:rPr>
              <w:t>KN-045</w:t>
            </w:r>
          </w:p>
        </w:tc>
      </w:tr>
      <w:tr w:rsidR="00E75219" w:rsidRPr="002F1CBE" w14:paraId="290068D6" w14:textId="6EAB0727" w:rsidTr="00E74CCA">
        <w:trPr>
          <w:trHeight w:val="285"/>
        </w:trPr>
        <w:tc>
          <w:tcPr>
            <w:tcW w:w="1615" w:type="pct"/>
            <w:shd w:val="clear" w:color="auto" w:fill="auto"/>
            <w:noWrap/>
            <w:vAlign w:val="center"/>
            <w:hideMark/>
          </w:tcPr>
          <w:p w14:paraId="660B27F8" w14:textId="276D0B58" w:rsidR="00E75219" w:rsidRPr="002F1CBE" w:rsidRDefault="00A25484">
            <w:pPr>
              <w:pStyle w:val="Tabletext0"/>
              <w:rPr>
                <w:szCs w:val="22"/>
                <w:lang w:val="en-US"/>
              </w:rPr>
            </w:pPr>
            <w:r>
              <w:rPr>
                <w:szCs w:val="22"/>
                <w:lang w:val="en-US"/>
              </w:rPr>
              <w:t>180-360 days</w:t>
            </w:r>
          </w:p>
        </w:tc>
        <w:tc>
          <w:tcPr>
            <w:tcW w:w="736" w:type="pct"/>
            <w:shd w:val="clear" w:color="auto" w:fill="auto"/>
            <w:noWrap/>
            <w:vAlign w:val="center"/>
            <w:hideMark/>
          </w:tcPr>
          <w:p w14:paraId="55094C61" w14:textId="77777777" w:rsidR="00E75219" w:rsidRPr="002F1CBE" w:rsidRDefault="00E75219" w:rsidP="00233F4B">
            <w:pPr>
              <w:pStyle w:val="Tabletext0"/>
              <w:rPr>
                <w:szCs w:val="22"/>
                <w:lang w:val="en-US"/>
              </w:rPr>
            </w:pPr>
            <w:r w:rsidRPr="002F1CBE">
              <w:rPr>
                <w:szCs w:val="22"/>
                <w:lang w:val="en-US"/>
              </w:rPr>
              <w:t>0.78</w:t>
            </w:r>
          </w:p>
        </w:tc>
        <w:tc>
          <w:tcPr>
            <w:tcW w:w="736" w:type="pct"/>
            <w:shd w:val="clear" w:color="auto" w:fill="auto"/>
            <w:noWrap/>
            <w:vAlign w:val="center"/>
            <w:hideMark/>
          </w:tcPr>
          <w:p w14:paraId="60C405AB" w14:textId="77777777" w:rsidR="00E75219" w:rsidRPr="002F1CBE" w:rsidRDefault="00E75219" w:rsidP="00233F4B">
            <w:pPr>
              <w:pStyle w:val="Tabletext0"/>
              <w:rPr>
                <w:szCs w:val="22"/>
                <w:lang w:val="en-US"/>
              </w:rPr>
            </w:pPr>
            <w:r w:rsidRPr="002F1CBE">
              <w:rPr>
                <w:szCs w:val="22"/>
                <w:lang w:val="en-US"/>
              </w:rPr>
              <w:t>0.77</w:t>
            </w:r>
          </w:p>
        </w:tc>
        <w:tc>
          <w:tcPr>
            <w:tcW w:w="736" w:type="pct"/>
            <w:shd w:val="clear" w:color="auto" w:fill="auto"/>
            <w:noWrap/>
            <w:vAlign w:val="center"/>
            <w:hideMark/>
          </w:tcPr>
          <w:p w14:paraId="5B1A688E" w14:textId="77777777" w:rsidR="00E75219" w:rsidRPr="002F1CBE" w:rsidRDefault="00E75219" w:rsidP="00233F4B">
            <w:pPr>
              <w:pStyle w:val="Tabletext0"/>
              <w:rPr>
                <w:szCs w:val="22"/>
                <w:lang w:val="en-US"/>
              </w:rPr>
            </w:pPr>
            <w:r w:rsidRPr="002F1CBE">
              <w:rPr>
                <w:szCs w:val="22"/>
                <w:lang w:val="en-US"/>
              </w:rPr>
              <w:t>0.80</w:t>
            </w:r>
          </w:p>
        </w:tc>
        <w:tc>
          <w:tcPr>
            <w:tcW w:w="589" w:type="pct"/>
            <w:shd w:val="clear" w:color="auto" w:fill="auto"/>
            <w:noWrap/>
            <w:vAlign w:val="center"/>
            <w:hideMark/>
          </w:tcPr>
          <w:p w14:paraId="1F29FDF5" w14:textId="77777777" w:rsidR="00E75219" w:rsidRPr="002F1CBE" w:rsidRDefault="00E75219">
            <w:pPr>
              <w:pStyle w:val="Tabletext0"/>
              <w:rPr>
                <w:szCs w:val="22"/>
                <w:lang w:val="en-US"/>
              </w:rPr>
            </w:pPr>
            <w:r w:rsidRPr="002F1CBE">
              <w:rPr>
                <w:szCs w:val="22"/>
                <w:lang w:val="en-US"/>
              </w:rPr>
              <w:t>Beta</w:t>
            </w:r>
          </w:p>
        </w:tc>
        <w:tc>
          <w:tcPr>
            <w:tcW w:w="588" w:type="pct"/>
            <w:vMerge/>
            <w:vAlign w:val="center"/>
          </w:tcPr>
          <w:p w14:paraId="323E46C0" w14:textId="77777777" w:rsidR="00E75219" w:rsidRPr="002F1CBE" w:rsidRDefault="00E75219">
            <w:pPr>
              <w:pStyle w:val="Tabletext0"/>
              <w:rPr>
                <w:szCs w:val="22"/>
                <w:lang w:val="en-US"/>
              </w:rPr>
            </w:pPr>
          </w:p>
        </w:tc>
      </w:tr>
      <w:tr w:rsidR="00E75219" w:rsidRPr="002F1CBE" w14:paraId="59B00B47" w14:textId="1A2CF6AA" w:rsidTr="00E74CCA">
        <w:trPr>
          <w:trHeight w:val="285"/>
        </w:trPr>
        <w:tc>
          <w:tcPr>
            <w:tcW w:w="1615" w:type="pct"/>
            <w:shd w:val="clear" w:color="auto" w:fill="auto"/>
            <w:noWrap/>
            <w:vAlign w:val="center"/>
            <w:hideMark/>
          </w:tcPr>
          <w:p w14:paraId="0FC2A280" w14:textId="79525A49" w:rsidR="00E75219" w:rsidRPr="002F1CBE" w:rsidRDefault="00A25484">
            <w:pPr>
              <w:pStyle w:val="Tabletext0"/>
              <w:rPr>
                <w:szCs w:val="22"/>
                <w:lang w:val="en-US"/>
              </w:rPr>
            </w:pPr>
            <w:r>
              <w:rPr>
                <w:szCs w:val="22"/>
                <w:lang w:val="en-US"/>
              </w:rPr>
              <w:lastRenderedPageBreak/>
              <w:t>90-180 days</w:t>
            </w:r>
          </w:p>
        </w:tc>
        <w:tc>
          <w:tcPr>
            <w:tcW w:w="736" w:type="pct"/>
            <w:shd w:val="clear" w:color="auto" w:fill="auto"/>
            <w:noWrap/>
            <w:vAlign w:val="center"/>
            <w:hideMark/>
          </w:tcPr>
          <w:p w14:paraId="38E0CA4A" w14:textId="77777777" w:rsidR="00E75219" w:rsidRPr="002F1CBE" w:rsidRDefault="00E75219" w:rsidP="00233F4B">
            <w:pPr>
              <w:pStyle w:val="Tabletext0"/>
              <w:rPr>
                <w:szCs w:val="22"/>
                <w:lang w:val="en-US"/>
              </w:rPr>
            </w:pPr>
            <w:r w:rsidRPr="002F1CBE">
              <w:rPr>
                <w:szCs w:val="22"/>
                <w:lang w:val="en-US"/>
              </w:rPr>
              <w:t>0.70</w:t>
            </w:r>
          </w:p>
        </w:tc>
        <w:tc>
          <w:tcPr>
            <w:tcW w:w="736" w:type="pct"/>
            <w:shd w:val="clear" w:color="auto" w:fill="auto"/>
            <w:noWrap/>
            <w:vAlign w:val="center"/>
            <w:hideMark/>
          </w:tcPr>
          <w:p w14:paraId="22BD3ECB" w14:textId="77777777" w:rsidR="00E75219" w:rsidRPr="002F1CBE" w:rsidRDefault="00E75219" w:rsidP="00233F4B">
            <w:pPr>
              <w:pStyle w:val="Tabletext0"/>
              <w:rPr>
                <w:szCs w:val="22"/>
                <w:lang w:val="en-US"/>
              </w:rPr>
            </w:pPr>
            <w:r w:rsidRPr="002F1CBE">
              <w:rPr>
                <w:szCs w:val="22"/>
                <w:lang w:val="en-US"/>
              </w:rPr>
              <w:t>0.68</w:t>
            </w:r>
          </w:p>
        </w:tc>
        <w:tc>
          <w:tcPr>
            <w:tcW w:w="736" w:type="pct"/>
            <w:shd w:val="clear" w:color="auto" w:fill="auto"/>
            <w:noWrap/>
            <w:vAlign w:val="center"/>
            <w:hideMark/>
          </w:tcPr>
          <w:p w14:paraId="511EB747" w14:textId="77777777" w:rsidR="00E75219" w:rsidRPr="002F1CBE" w:rsidRDefault="00E75219" w:rsidP="00233F4B">
            <w:pPr>
              <w:pStyle w:val="Tabletext0"/>
              <w:rPr>
                <w:szCs w:val="22"/>
                <w:lang w:val="en-US"/>
              </w:rPr>
            </w:pPr>
            <w:r w:rsidRPr="002F1CBE">
              <w:rPr>
                <w:szCs w:val="22"/>
                <w:lang w:val="en-US"/>
              </w:rPr>
              <w:t>0.72</w:t>
            </w:r>
          </w:p>
        </w:tc>
        <w:tc>
          <w:tcPr>
            <w:tcW w:w="589" w:type="pct"/>
            <w:shd w:val="clear" w:color="auto" w:fill="auto"/>
            <w:noWrap/>
            <w:vAlign w:val="center"/>
            <w:hideMark/>
          </w:tcPr>
          <w:p w14:paraId="226A0E37" w14:textId="77777777" w:rsidR="00E75219" w:rsidRPr="002F1CBE" w:rsidRDefault="00E75219">
            <w:pPr>
              <w:pStyle w:val="Tabletext0"/>
              <w:rPr>
                <w:szCs w:val="22"/>
                <w:lang w:val="en-US"/>
              </w:rPr>
            </w:pPr>
            <w:r w:rsidRPr="002F1CBE">
              <w:rPr>
                <w:szCs w:val="22"/>
                <w:lang w:val="en-US"/>
              </w:rPr>
              <w:t>Beta</w:t>
            </w:r>
          </w:p>
        </w:tc>
        <w:tc>
          <w:tcPr>
            <w:tcW w:w="588" w:type="pct"/>
            <w:vMerge/>
            <w:vAlign w:val="center"/>
          </w:tcPr>
          <w:p w14:paraId="49FF931A" w14:textId="77777777" w:rsidR="00E75219" w:rsidRPr="002F1CBE" w:rsidRDefault="00E75219">
            <w:pPr>
              <w:pStyle w:val="Tabletext0"/>
              <w:rPr>
                <w:szCs w:val="22"/>
                <w:lang w:val="en-US"/>
              </w:rPr>
            </w:pPr>
          </w:p>
        </w:tc>
      </w:tr>
      <w:tr w:rsidR="00E75219" w:rsidRPr="002F1CBE" w14:paraId="14FE1A8D" w14:textId="6CBB20E3" w:rsidTr="00E74CCA">
        <w:trPr>
          <w:trHeight w:val="285"/>
        </w:trPr>
        <w:tc>
          <w:tcPr>
            <w:tcW w:w="1615" w:type="pct"/>
            <w:shd w:val="clear" w:color="auto" w:fill="auto"/>
            <w:noWrap/>
            <w:vAlign w:val="center"/>
            <w:hideMark/>
          </w:tcPr>
          <w:p w14:paraId="51AD7E94" w14:textId="675E9994" w:rsidR="00E75219" w:rsidRPr="002F1CBE" w:rsidRDefault="00A25484">
            <w:pPr>
              <w:pStyle w:val="Tabletext0"/>
              <w:rPr>
                <w:szCs w:val="22"/>
                <w:lang w:val="en-US"/>
              </w:rPr>
            </w:pPr>
            <w:r>
              <w:rPr>
                <w:szCs w:val="22"/>
                <w:lang w:val="en-US"/>
              </w:rPr>
              <w:t>30-90 days</w:t>
            </w:r>
          </w:p>
        </w:tc>
        <w:tc>
          <w:tcPr>
            <w:tcW w:w="736" w:type="pct"/>
            <w:shd w:val="clear" w:color="auto" w:fill="auto"/>
            <w:noWrap/>
            <w:vAlign w:val="center"/>
            <w:hideMark/>
          </w:tcPr>
          <w:p w14:paraId="07DDE12A" w14:textId="77777777" w:rsidR="00E75219" w:rsidRPr="002F1CBE" w:rsidRDefault="00E75219" w:rsidP="00233F4B">
            <w:pPr>
              <w:pStyle w:val="Tabletext0"/>
              <w:rPr>
                <w:szCs w:val="22"/>
                <w:lang w:val="en-US"/>
              </w:rPr>
            </w:pPr>
            <w:r w:rsidRPr="002F1CBE">
              <w:rPr>
                <w:szCs w:val="22"/>
                <w:lang w:val="en-US"/>
              </w:rPr>
              <w:t>0.60</w:t>
            </w:r>
          </w:p>
        </w:tc>
        <w:tc>
          <w:tcPr>
            <w:tcW w:w="736" w:type="pct"/>
            <w:shd w:val="clear" w:color="auto" w:fill="auto"/>
            <w:noWrap/>
            <w:vAlign w:val="center"/>
            <w:hideMark/>
          </w:tcPr>
          <w:p w14:paraId="6613C339" w14:textId="77777777" w:rsidR="00E75219" w:rsidRPr="002F1CBE" w:rsidRDefault="00E75219" w:rsidP="00233F4B">
            <w:pPr>
              <w:pStyle w:val="Tabletext0"/>
              <w:rPr>
                <w:szCs w:val="22"/>
                <w:lang w:val="en-US"/>
              </w:rPr>
            </w:pPr>
            <w:r w:rsidRPr="002F1CBE">
              <w:rPr>
                <w:szCs w:val="22"/>
                <w:lang w:val="en-US"/>
              </w:rPr>
              <w:t>0.57</w:t>
            </w:r>
          </w:p>
        </w:tc>
        <w:tc>
          <w:tcPr>
            <w:tcW w:w="736" w:type="pct"/>
            <w:shd w:val="clear" w:color="auto" w:fill="auto"/>
            <w:noWrap/>
            <w:vAlign w:val="center"/>
            <w:hideMark/>
          </w:tcPr>
          <w:p w14:paraId="1F35600A" w14:textId="77777777" w:rsidR="00E75219" w:rsidRPr="002F1CBE" w:rsidRDefault="00E75219" w:rsidP="00233F4B">
            <w:pPr>
              <w:pStyle w:val="Tabletext0"/>
              <w:rPr>
                <w:szCs w:val="22"/>
                <w:lang w:val="en-US"/>
              </w:rPr>
            </w:pPr>
            <w:r w:rsidRPr="002F1CBE">
              <w:rPr>
                <w:szCs w:val="22"/>
                <w:lang w:val="en-US"/>
              </w:rPr>
              <w:t>0.63</w:t>
            </w:r>
          </w:p>
        </w:tc>
        <w:tc>
          <w:tcPr>
            <w:tcW w:w="589" w:type="pct"/>
            <w:shd w:val="clear" w:color="auto" w:fill="auto"/>
            <w:noWrap/>
            <w:vAlign w:val="center"/>
            <w:hideMark/>
          </w:tcPr>
          <w:p w14:paraId="5DB21C8C" w14:textId="77777777" w:rsidR="00E75219" w:rsidRPr="002F1CBE" w:rsidRDefault="00E75219">
            <w:pPr>
              <w:pStyle w:val="Tabletext0"/>
              <w:rPr>
                <w:szCs w:val="22"/>
                <w:lang w:val="en-US"/>
              </w:rPr>
            </w:pPr>
            <w:r w:rsidRPr="002F1CBE">
              <w:rPr>
                <w:szCs w:val="22"/>
                <w:lang w:val="en-US"/>
              </w:rPr>
              <w:t>Beta</w:t>
            </w:r>
          </w:p>
        </w:tc>
        <w:tc>
          <w:tcPr>
            <w:tcW w:w="588" w:type="pct"/>
            <w:vMerge/>
            <w:vAlign w:val="center"/>
          </w:tcPr>
          <w:p w14:paraId="61E99980" w14:textId="77777777" w:rsidR="00E75219" w:rsidRPr="002F1CBE" w:rsidRDefault="00E75219">
            <w:pPr>
              <w:pStyle w:val="Tabletext0"/>
              <w:rPr>
                <w:szCs w:val="22"/>
                <w:lang w:val="en-US"/>
              </w:rPr>
            </w:pPr>
          </w:p>
        </w:tc>
      </w:tr>
      <w:tr w:rsidR="00E75219" w:rsidRPr="002F1CBE" w14:paraId="6E07894F" w14:textId="59B2B936" w:rsidTr="00E74CCA">
        <w:trPr>
          <w:trHeight w:val="285"/>
        </w:trPr>
        <w:tc>
          <w:tcPr>
            <w:tcW w:w="1615" w:type="pct"/>
            <w:shd w:val="clear" w:color="auto" w:fill="auto"/>
            <w:noWrap/>
            <w:vAlign w:val="center"/>
            <w:hideMark/>
          </w:tcPr>
          <w:p w14:paraId="734D5814" w14:textId="3336B4BC" w:rsidR="00E75219" w:rsidRPr="002F1CBE" w:rsidRDefault="00E75219">
            <w:pPr>
              <w:pStyle w:val="Tabletext0"/>
              <w:rPr>
                <w:szCs w:val="22"/>
                <w:lang w:val="en-US"/>
              </w:rPr>
            </w:pPr>
            <w:r w:rsidRPr="002F1CBE">
              <w:rPr>
                <w:szCs w:val="22"/>
                <w:lang w:val="en-US"/>
              </w:rPr>
              <w:t>&lt;30 days</w:t>
            </w:r>
          </w:p>
        </w:tc>
        <w:tc>
          <w:tcPr>
            <w:tcW w:w="736" w:type="pct"/>
            <w:shd w:val="clear" w:color="auto" w:fill="auto"/>
            <w:noWrap/>
            <w:vAlign w:val="center"/>
            <w:hideMark/>
          </w:tcPr>
          <w:p w14:paraId="7938F4B1" w14:textId="77777777" w:rsidR="00E75219" w:rsidRPr="002F1CBE" w:rsidRDefault="00E75219" w:rsidP="00233F4B">
            <w:pPr>
              <w:pStyle w:val="Tabletext0"/>
              <w:rPr>
                <w:szCs w:val="22"/>
                <w:lang w:val="en-US"/>
              </w:rPr>
            </w:pPr>
            <w:r w:rsidRPr="002F1CBE">
              <w:rPr>
                <w:szCs w:val="22"/>
                <w:lang w:val="en-US"/>
              </w:rPr>
              <w:t>0.51</w:t>
            </w:r>
          </w:p>
        </w:tc>
        <w:tc>
          <w:tcPr>
            <w:tcW w:w="736" w:type="pct"/>
            <w:shd w:val="clear" w:color="auto" w:fill="auto"/>
            <w:noWrap/>
            <w:vAlign w:val="center"/>
            <w:hideMark/>
          </w:tcPr>
          <w:p w14:paraId="19102D34" w14:textId="77777777" w:rsidR="00E75219" w:rsidRPr="002F1CBE" w:rsidRDefault="00E75219" w:rsidP="00233F4B">
            <w:pPr>
              <w:pStyle w:val="Tabletext0"/>
              <w:rPr>
                <w:szCs w:val="22"/>
                <w:lang w:val="en-US"/>
              </w:rPr>
            </w:pPr>
            <w:r w:rsidRPr="002F1CBE">
              <w:rPr>
                <w:szCs w:val="22"/>
                <w:lang w:val="en-US"/>
              </w:rPr>
              <w:t>0.43</w:t>
            </w:r>
          </w:p>
        </w:tc>
        <w:tc>
          <w:tcPr>
            <w:tcW w:w="736" w:type="pct"/>
            <w:shd w:val="clear" w:color="auto" w:fill="auto"/>
            <w:noWrap/>
            <w:vAlign w:val="center"/>
            <w:hideMark/>
          </w:tcPr>
          <w:p w14:paraId="1CA2E3F5" w14:textId="77777777" w:rsidR="00E75219" w:rsidRPr="002F1CBE" w:rsidRDefault="00E75219" w:rsidP="00233F4B">
            <w:pPr>
              <w:pStyle w:val="Tabletext0"/>
              <w:rPr>
                <w:szCs w:val="22"/>
                <w:lang w:val="en-US"/>
              </w:rPr>
            </w:pPr>
            <w:r w:rsidRPr="002F1CBE">
              <w:rPr>
                <w:szCs w:val="22"/>
                <w:lang w:val="en-US"/>
              </w:rPr>
              <w:t>0.58</w:t>
            </w:r>
          </w:p>
        </w:tc>
        <w:tc>
          <w:tcPr>
            <w:tcW w:w="589" w:type="pct"/>
            <w:shd w:val="clear" w:color="auto" w:fill="auto"/>
            <w:noWrap/>
            <w:vAlign w:val="center"/>
            <w:hideMark/>
          </w:tcPr>
          <w:p w14:paraId="300FED18" w14:textId="77777777" w:rsidR="00E75219" w:rsidRPr="002F1CBE" w:rsidRDefault="00E75219">
            <w:pPr>
              <w:pStyle w:val="Tabletext0"/>
              <w:rPr>
                <w:szCs w:val="22"/>
                <w:lang w:val="en-US"/>
              </w:rPr>
            </w:pPr>
            <w:r w:rsidRPr="002F1CBE">
              <w:rPr>
                <w:szCs w:val="22"/>
                <w:lang w:val="en-US"/>
              </w:rPr>
              <w:t>Beta</w:t>
            </w:r>
          </w:p>
        </w:tc>
        <w:tc>
          <w:tcPr>
            <w:tcW w:w="588" w:type="pct"/>
            <w:vMerge/>
            <w:vAlign w:val="center"/>
          </w:tcPr>
          <w:p w14:paraId="3878342B" w14:textId="77777777" w:rsidR="00E75219" w:rsidRPr="002F1CBE" w:rsidRDefault="00E75219">
            <w:pPr>
              <w:pStyle w:val="Tabletext0"/>
              <w:rPr>
                <w:szCs w:val="22"/>
                <w:lang w:val="en-US"/>
              </w:rPr>
            </w:pPr>
          </w:p>
        </w:tc>
      </w:tr>
      <w:tr w:rsidR="00E75219" w:rsidRPr="002F1CBE" w14:paraId="51953212" w14:textId="76763082" w:rsidTr="00A00B39">
        <w:trPr>
          <w:trHeight w:val="285"/>
        </w:trPr>
        <w:tc>
          <w:tcPr>
            <w:tcW w:w="5000" w:type="pct"/>
            <w:gridSpan w:val="6"/>
            <w:shd w:val="clear" w:color="auto" w:fill="auto"/>
            <w:noWrap/>
            <w:vAlign w:val="center"/>
            <w:hideMark/>
          </w:tcPr>
          <w:p w14:paraId="2F2FD1BB" w14:textId="252365BF" w:rsidR="00E75219" w:rsidRPr="002F1CBE" w:rsidRDefault="00E75219">
            <w:pPr>
              <w:pStyle w:val="Tabletext0"/>
              <w:keepNext/>
              <w:rPr>
                <w:b/>
                <w:i/>
                <w:szCs w:val="22"/>
                <w:lang w:val="en-US"/>
              </w:rPr>
            </w:pPr>
            <w:r w:rsidRPr="002F1CBE">
              <w:rPr>
                <w:b/>
                <w:i/>
                <w:szCs w:val="22"/>
                <w:lang w:val="en-US"/>
              </w:rPr>
              <w:t>Utility by progression status (pooled)</w:t>
            </w:r>
          </w:p>
        </w:tc>
      </w:tr>
      <w:tr w:rsidR="00E75219" w:rsidRPr="002F1CBE" w14:paraId="51460857" w14:textId="588DB8FE" w:rsidTr="00E74CCA">
        <w:trPr>
          <w:trHeight w:val="285"/>
        </w:trPr>
        <w:tc>
          <w:tcPr>
            <w:tcW w:w="1615" w:type="pct"/>
            <w:shd w:val="clear" w:color="auto" w:fill="auto"/>
            <w:noWrap/>
            <w:vAlign w:val="center"/>
            <w:hideMark/>
          </w:tcPr>
          <w:p w14:paraId="63AEC390" w14:textId="708A225D" w:rsidR="00E75219" w:rsidRPr="002F1CBE" w:rsidRDefault="00A25484">
            <w:pPr>
              <w:pStyle w:val="Tabletext0"/>
              <w:rPr>
                <w:szCs w:val="22"/>
                <w:lang w:val="en-US"/>
              </w:rPr>
            </w:pPr>
            <w:r>
              <w:rPr>
                <w:szCs w:val="22"/>
                <w:lang w:val="en-US"/>
              </w:rPr>
              <w:t>P</w:t>
            </w:r>
            <w:r w:rsidR="00E75219" w:rsidRPr="002F1CBE">
              <w:rPr>
                <w:szCs w:val="22"/>
                <w:lang w:val="en-US"/>
              </w:rPr>
              <w:t>rogression-free state</w:t>
            </w:r>
          </w:p>
        </w:tc>
        <w:tc>
          <w:tcPr>
            <w:tcW w:w="736" w:type="pct"/>
            <w:shd w:val="clear" w:color="auto" w:fill="auto"/>
            <w:noWrap/>
            <w:vAlign w:val="center"/>
            <w:hideMark/>
          </w:tcPr>
          <w:p w14:paraId="42916226" w14:textId="7E5543EA" w:rsidR="00E75219" w:rsidRPr="002F1CBE" w:rsidRDefault="00E75219" w:rsidP="00233F4B">
            <w:pPr>
              <w:pStyle w:val="Tabletext0"/>
              <w:rPr>
                <w:szCs w:val="22"/>
                <w:lang w:val="en-US"/>
              </w:rPr>
            </w:pPr>
            <w:r w:rsidRPr="002F1CBE">
              <w:rPr>
                <w:szCs w:val="22"/>
                <w:lang w:val="en-US"/>
              </w:rPr>
              <w:t>0.81</w:t>
            </w:r>
          </w:p>
        </w:tc>
        <w:tc>
          <w:tcPr>
            <w:tcW w:w="736" w:type="pct"/>
            <w:shd w:val="clear" w:color="auto" w:fill="auto"/>
            <w:noWrap/>
            <w:vAlign w:val="center"/>
            <w:hideMark/>
          </w:tcPr>
          <w:p w14:paraId="5E6F28CA" w14:textId="281B6B36" w:rsidR="00E75219" w:rsidRPr="002F1CBE" w:rsidRDefault="00E75219" w:rsidP="00233F4B">
            <w:pPr>
              <w:pStyle w:val="Tabletext0"/>
              <w:rPr>
                <w:szCs w:val="22"/>
                <w:lang w:val="en-US"/>
              </w:rPr>
            </w:pPr>
            <w:r w:rsidRPr="002F1CBE">
              <w:rPr>
                <w:szCs w:val="22"/>
                <w:lang w:val="en-US"/>
              </w:rPr>
              <w:t>0.80</w:t>
            </w:r>
          </w:p>
        </w:tc>
        <w:tc>
          <w:tcPr>
            <w:tcW w:w="736" w:type="pct"/>
            <w:shd w:val="clear" w:color="auto" w:fill="auto"/>
            <w:noWrap/>
            <w:vAlign w:val="center"/>
            <w:hideMark/>
          </w:tcPr>
          <w:p w14:paraId="697CB72E" w14:textId="3EECAC31" w:rsidR="00E75219" w:rsidRPr="002F1CBE" w:rsidRDefault="00E75219" w:rsidP="00233F4B">
            <w:pPr>
              <w:pStyle w:val="Tabletext0"/>
              <w:rPr>
                <w:szCs w:val="22"/>
                <w:lang w:val="en-US"/>
              </w:rPr>
            </w:pPr>
            <w:r w:rsidRPr="002F1CBE">
              <w:rPr>
                <w:szCs w:val="22"/>
                <w:lang w:val="en-US"/>
              </w:rPr>
              <w:t>0.82</w:t>
            </w:r>
          </w:p>
        </w:tc>
        <w:tc>
          <w:tcPr>
            <w:tcW w:w="589" w:type="pct"/>
            <w:shd w:val="clear" w:color="auto" w:fill="auto"/>
            <w:noWrap/>
            <w:vAlign w:val="center"/>
            <w:hideMark/>
          </w:tcPr>
          <w:p w14:paraId="708C4BD4" w14:textId="77777777" w:rsidR="00E75219" w:rsidRPr="002F1CBE" w:rsidRDefault="00E75219">
            <w:pPr>
              <w:pStyle w:val="Tabletext0"/>
              <w:rPr>
                <w:szCs w:val="22"/>
                <w:lang w:val="en-US"/>
              </w:rPr>
            </w:pPr>
            <w:r w:rsidRPr="002F1CBE">
              <w:rPr>
                <w:szCs w:val="22"/>
                <w:lang w:val="en-US"/>
              </w:rPr>
              <w:t>Beta</w:t>
            </w:r>
          </w:p>
        </w:tc>
        <w:tc>
          <w:tcPr>
            <w:tcW w:w="588" w:type="pct"/>
            <w:vMerge w:val="restart"/>
            <w:vAlign w:val="center"/>
          </w:tcPr>
          <w:p w14:paraId="4FFEBBBE" w14:textId="3E5F3515" w:rsidR="00E75219" w:rsidRPr="002F1CBE" w:rsidRDefault="00E75219">
            <w:pPr>
              <w:pStyle w:val="Tabletext0"/>
              <w:rPr>
                <w:szCs w:val="22"/>
                <w:lang w:val="en-US"/>
              </w:rPr>
            </w:pPr>
            <w:r>
              <w:rPr>
                <w:szCs w:val="22"/>
                <w:lang w:val="en-US"/>
              </w:rPr>
              <w:t>KN-045</w:t>
            </w:r>
          </w:p>
        </w:tc>
      </w:tr>
      <w:tr w:rsidR="00E75219" w:rsidRPr="002F1CBE" w14:paraId="5270C019" w14:textId="7A754F32" w:rsidTr="00E74CCA">
        <w:trPr>
          <w:trHeight w:val="285"/>
        </w:trPr>
        <w:tc>
          <w:tcPr>
            <w:tcW w:w="1615" w:type="pct"/>
            <w:shd w:val="clear" w:color="auto" w:fill="auto"/>
            <w:noWrap/>
            <w:vAlign w:val="center"/>
            <w:hideMark/>
          </w:tcPr>
          <w:p w14:paraId="06BAC30E" w14:textId="1896A8C6" w:rsidR="00E75219" w:rsidRPr="002F1CBE" w:rsidRDefault="00A25484">
            <w:pPr>
              <w:pStyle w:val="Tabletext0"/>
              <w:rPr>
                <w:szCs w:val="22"/>
                <w:lang w:val="en-US"/>
              </w:rPr>
            </w:pPr>
            <w:r>
              <w:rPr>
                <w:szCs w:val="22"/>
                <w:lang w:val="en-US"/>
              </w:rPr>
              <w:t>P</w:t>
            </w:r>
            <w:r w:rsidR="00E75219" w:rsidRPr="002F1CBE">
              <w:rPr>
                <w:szCs w:val="22"/>
                <w:lang w:val="en-US"/>
              </w:rPr>
              <w:t>rogressive disease state</w:t>
            </w:r>
          </w:p>
        </w:tc>
        <w:tc>
          <w:tcPr>
            <w:tcW w:w="736" w:type="pct"/>
            <w:shd w:val="clear" w:color="auto" w:fill="auto"/>
            <w:noWrap/>
            <w:vAlign w:val="center"/>
            <w:hideMark/>
          </w:tcPr>
          <w:p w14:paraId="45D9B492" w14:textId="66D566A7" w:rsidR="00E75219" w:rsidRPr="002F1CBE" w:rsidRDefault="00E75219" w:rsidP="00233F4B">
            <w:pPr>
              <w:pStyle w:val="Tabletext0"/>
              <w:rPr>
                <w:szCs w:val="22"/>
                <w:lang w:val="en-US"/>
              </w:rPr>
            </w:pPr>
            <w:r w:rsidRPr="002F1CBE">
              <w:rPr>
                <w:szCs w:val="22"/>
                <w:lang w:val="en-US"/>
              </w:rPr>
              <w:t>0.73</w:t>
            </w:r>
          </w:p>
        </w:tc>
        <w:tc>
          <w:tcPr>
            <w:tcW w:w="736" w:type="pct"/>
            <w:shd w:val="clear" w:color="auto" w:fill="auto"/>
            <w:noWrap/>
            <w:vAlign w:val="center"/>
            <w:hideMark/>
          </w:tcPr>
          <w:p w14:paraId="4BF11FA1" w14:textId="23D013C0" w:rsidR="00E75219" w:rsidRPr="002F1CBE" w:rsidRDefault="00E75219" w:rsidP="00233F4B">
            <w:pPr>
              <w:pStyle w:val="Tabletext0"/>
              <w:rPr>
                <w:szCs w:val="22"/>
                <w:lang w:val="en-US"/>
              </w:rPr>
            </w:pPr>
            <w:r w:rsidRPr="002F1CBE">
              <w:rPr>
                <w:szCs w:val="22"/>
                <w:lang w:val="en-US"/>
              </w:rPr>
              <w:t>0.71</w:t>
            </w:r>
          </w:p>
        </w:tc>
        <w:tc>
          <w:tcPr>
            <w:tcW w:w="736" w:type="pct"/>
            <w:shd w:val="clear" w:color="auto" w:fill="auto"/>
            <w:noWrap/>
            <w:vAlign w:val="center"/>
            <w:hideMark/>
          </w:tcPr>
          <w:p w14:paraId="7C572E1D" w14:textId="009262A1" w:rsidR="00E75219" w:rsidRPr="002F1CBE" w:rsidRDefault="00E75219" w:rsidP="00233F4B">
            <w:pPr>
              <w:pStyle w:val="Tabletext0"/>
              <w:rPr>
                <w:szCs w:val="22"/>
                <w:lang w:val="en-US"/>
              </w:rPr>
            </w:pPr>
            <w:r w:rsidRPr="002F1CBE">
              <w:rPr>
                <w:szCs w:val="22"/>
                <w:lang w:val="en-US"/>
              </w:rPr>
              <w:t>0.7</w:t>
            </w:r>
            <w:r w:rsidR="00C73427">
              <w:rPr>
                <w:szCs w:val="22"/>
                <w:lang w:val="en-US"/>
              </w:rPr>
              <w:t>5</w:t>
            </w:r>
          </w:p>
        </w:tc>
        <w:tc>
          <w:tcPr>
            <w:tcW w:w="589" w:type="pct"/>
            <w:shd w:val="clear" w:color="auto" w:fill="auto"/>
            <w:noWrap/>
            <w:vAlign w:val="center"/>
            <w:hideMark/>
          </w:tcPr>
          <w:p w14:paraId="37910B71" w14:textId="77777777" w:rsidR="00E75219" w:rsidRPr="002F1CBE" w:rsidRDefault="00E75219">
            <w:pPr>
              <w:pStyle w:val="Tabletext0"/>
              <w:rPr>
                <w:szCs w:val="22"/>
                <w:lang w:val="en-US"/>
              </w:rPr>
            </w:pPr>
            <w:r w:rsidRPr="002F1CBE">
              <w:rPr>
                <w:szCs w:val="22"/>
                <w:lang w:val="en-US"/>
              </w:rPr>
              <w:t>Beta</w:t>
            </w:r>
          </w:p>
        </w:tc>
        <w:tc>
          <w:tcPr>
            <w:tcW w:w="588" w:type="pct"/>
            <w:vMerge/>
            <w:vAlign w:val="center"/>
          </w:tcPr>
          <w:p w14:paraId="016C35F1" w14:textId="77777777" w:rsidR="00E75219" w:rsidRPr="002F1CBE" w:rsidRDefault="00E75219">
            <w:pPr>
              <w:pStyle w:val="Tabletext0"/>
              <w:rPr>
                <w:szCs w:val="22"/>
                <w:lang w:val="en-US"/>
              </w:rPr>
            </w:pPr>
          </w:p>
        </w:tc>
      </w:tr>
      <w:tr w:rsidR="00E75219" w:rsidRPr="002F1CBE" w14:paraId="75448240" w14:textId="35DFBBD2" w:rsidTr="00A00B39">
        <w:trPr>
          <w:trHeight w:val="315"/>
        </w:trPr>
        <w:tc>
          <w:tcPr>
            <w:tcW w:w="5000" w:type="pct"/>
            <w:gridSpan w:val="6"/>
            <w:shd w:val="clear" w:color="auto" w:fill="auto"/>
            <w:noWrap/>
            <w:vAlign w:val="center"/>
            <w:hideMark/>
          </w:tcPr>
          <w:p w14:paraId="63352BC6" w14:textId="217C03DE" w:rsidR="00E75219" w:rsidRPr="002F1CBE" w:rsidRDefault="00E75219">
            <w:pPr>
              <w:pStyle w:val="Tabletext0"/>
              <w:rPr>
                <w:b/>
                <w:i/>
                <w:szCs w:val="22"/>
                <w:lang w:val="en-US"/>
              </w:rPr>
            </w:pPr>
            <w:r w:rsidRPr="002F1CBE">
              <w:rPr>
                <w:b/>
                <w:i/>
                <w:szCs w:val="22"/>
                <w:lang w:val="en-US"/>
              </w:rPr>
              <w:t>Regimen related costs </w:t>
            </w:r>
          </w:p>
        </w:tc>
      </w:tr>
      <w:tr w:rsidR="00E75219" w:rsidRPr="002F1CBE" w14:paraId="6E0EA883" w14:textId="09DD2586" w:rsidTr="00A00B39">
        <w:trPr>
          <w:trHeight w:val="300"/>
        </w:trPr>
        <w:tc>
          <w:tcPr>
            <w:tcW w:w="5000" w:type="pct"/>
            <w:gridSpan w:val="6"/>
            <w:shd w:val="clear" w:color="auto" w:fill="auto"/>
            <w:noWrap/>
            <w:vAlign w:val="center"/>
            <w:hideMark/>
          </w:tcPr>
          <w:p w14:paraId="03F529F3" w14:textId="430BA75B" w:rsidR="00E75219" w:rsidRPr="002F1CBE" w:rsidRDefault="00E75219">
            <w:pPr>
              <w:pStyle w:val="Tabletext0"/>
              <w:rPr>
                <w:b/>
                <w:i/>
                <w:szCs w:val="22"/>
                <w:lang w:val="en-US"/>
              </w:rPr>
            </w:pPr>
            <w:r w:rsidRPr="002F1CBE">
              <w:rPr>
                <w:b/>
                <w:i/>
                <w:szCs w:val="22"/>
                <w:lang w:val="en-US"/>
              </w:rPr>
              <w:t>Drug costs</w:t>
            </w:r>
            <w:r w:rsidR="004772C1">
              <w:rPr>
                <w:b/>
                <w:i/>
                <w:szCs w:val="22"/>
                <w:lang w:val="en-US"/>
              </w:rPr>
              <w:t xml:space="preserve"> per dose</w:t>
            </w:r>
          </w:p>
        </w:tc>
      </w:tr>
      <w:tr w:rsidR="00D259BD" w:rsidRPr="002F1CBE" w14:paraId="22C27745" w14:textId="6F56FF74" w:rsidTr="00E74CCA">
        <w:trPr>
          <w:trHeight w:val="285"/>
        </w:trPr>
        <w:tc>
          <w:tcPr>
            <w:tcW w:w="1615" w:type="pct"/>
            <w:shd w:val="clear" w:color="auto" w:fill="auto"/>
            <w:noWrap/>
            <w:vAlign w:val="center"/>
            <w:hideMark/>
          </w:tcPr>
          <w:p w14:paraId="4363A885" w14:textId="0FE028EB" w:rsidR="00D259BD" w:rsidRPr="002F1CBE" w:rsidRDefault="00D259BD">
            <w:pPr>
              <w:pStyle w:val="Tabletext0"/>
              <w:rPr>
                <w:szCs w:val="22"/>
                <w:lang w:val="en-US"/>
              </w:rPr>
            </w:pPr>
            <w:bookmarkStart w:id="1" w:name="_Hlk8692792"/>
            <w:r w:rsidRPr="002F1CBE">
              <w:rPr>
                <w:szCs w:val="22"/>
                <w:lang w:val="en-US"/>
              </w:rPr>
              <w:t>Pembrolizumab</w:t>
            </w:r>
          </w:p>
        </w:tc>
        <w:tc>
          <w:tcPr>
            <w:tcW w:w="736" w:type="pct"/>
            <w:shd w:val="clear" w:color="auto" w:fill="auto"/>
            <w:noWrap/>
            <w:vAlign w:val="center"/>
            <w:hideMark/>
          </w:tcPr>
          <w:p w14:paraId="6144C4C4" w14:textId="66A05C01" w:rsidR="00D259BD" w:rsidRPr="002F1CBE" w:rsidRDefault="00D259BD" w:rsidP="00233F4B">
            <w:pPr>
              <w:pStyle w:val="Tabletext0"/>
              <w:rPr>
                <w:szCs w:val="22"/>
                <w:highlight w:val="yellow"/>
                <w:lang w:val="en-US"/>
              </w:rPr>
            </w:pPr>
            <w:r w:rsidRPr="002F1CBE">
              <w:rPr>
                <w:lang w:val="en-US"/>
              </w:rPr>
              <w:t>$9,</w:t>
            </w:r>
            <w:r>
              <w:rPr>
                <w:lang w:val="en-US"/>
              </w:rPr>
              <w:t>299</w:t>
            </w:r>
            <w:r w:rsidRPr="002F1CBE">
              <w:rPr>
                <w:lang w:val="en-US"/>
              </w:rPr>
              <w:t>.</w:t>
            </w:r>
            <w:r>
              <w:rPr>
                <w:lang w:val="en-US"/>
              </w:rPr>
              <w:t>28</w:t>
            </w:r>
          </w:p>
        </w:tc>
        <w:tc>
          <w:tcPr>
            <w:tcW w:w="736" w:type="pct"/>
            <w:shd w:val="clear" w:color="auto" w:fill="auto"/>
            <w:noWrap/>
            <w:vAlign w:val="center"/>
            <w:hideMark/>
          </w:tcPr>
          <w:p w14:paraId="263D73DD" w14:textId="77777777" w:rsidR="00D259BD" w:rsidRPr="002F1CBE" w:rsidRDefault="00D259BD" w:rsidP="00233F4B">
            <w:pPr>
              <w:pStyle w:val="Tabletext0"/>
              <w:rPr>
                <w:szCs w:val="22"/>
                <w:lang w:val="en-US"/>
              </w:rPr>
            </w:pPr>
            <w:r w:rsidRPr="002F1CBE">
              <w:rPr>
                <w:szCs w:val="22"/>
                <w:lang w:val="en-US"/>
              </w:rPr>
              <w:t> </w:t>
            </w:r>
          </w:p>
        </w:tc>
        <w:tc>
          <w:tcPr>
            <w:tcW w:w="736" w:type="pct"/>
            <w:shd w:val="clear" w:color="auto" w:fill="auto"/>
            <w:noWrap/>
            <w:vAlign w:val="center"/>
            <w:hideMark/>
          </w:tcPr>
          <w:p w14:paraId="1E92A4E7" w14:textId="77777777" w:rsidR="00D259BD" w:rsidRPr="002F1CBE" w:rsidRDefault="00D259BD" w:rsidP="00233F4B">
            <w:pPr>
              <w:pStyle w:val="Tabletext0"/>
              <w:rPr>
                <w:szCs w:val="22"/>
                <w:lang w:val="en-US"/>
              </w:rPr>
            </w:pPr>
            <w:r w:rsidRPr="002F1CBE">
              <w:rPr>
                <w:szCs w:val="22"/>
                <w:lang w:val="en-US"/>
              </w:rPr>
              <w:t> </w:t>
            </w:r>
          </w:p>
        </w:tc>
        <w:tc>
          <w:tcPr>
            <w:tcW w:w="589" w:type="pct"/>
            <w:shd w:val="clear" w:color="auto" w:fill="auto"/>
            <w:noWrap/>
            <w:vAlign w:val="center"/>
            <w:hideMark/>
          </w:tcPr>
          <w:p w14:paraId="7ACCED8F" w14:textId="77777777" w:rsidR="00D259BD" w:rsidRPr="002F1CBE" w:rsidRDefault="00D259BD">
            <w:pPr>
              <w:pStyle w:val="Tabletext0"/>
              <w:rPr>
                <w:szCs w:val="22"/>
                <w:lang w:val="en-US"/>
              </w:rPr>
            </w:pPr>
            <w:r w:rsidRPr="002F1CBE">
              <w:rPr>
                <w:szCs w:val="22"/>
                <w:lang w:val="en-US"/>
              </w:rPr>
              <w:t>Not varied in SA</w:t>
            </w:r>
          </w:p>
        </w:tc>
        <w:tc>
          <w:tcPr>
            <w:tcW w:w="588" w:type="pct"/>
            <w:vMerge w:val="restart"/>
            <w:vAlign w:val="center"/>
          </w:tcPr>
          <w:p w14:paraId="7792FD79" w14:textId="64046DBF" w:rsidR="00D259BD" w:rsidRPr="002F1CBE" w:rsidRDefault="00D259BD">
            <w:pPr>
              <w:pStyle w:val="Tabletext0"/>
              <w:rPr>
                <w:szCs w:val="22"/>
                <w:lang w:val="en-US"/>
              </w:rPr>
            </w:pPr>
            <w:r>
              <w:rPr>
                <w:szCs w:val="22"/>
                <w:lang w:val="en-US"/>
              </w:rPr>
              <w:t>AnalySource</w:t>
            </w:r>
            <w:r>
              <w:rPr>
                <w:szCs w:val="22"/>
                <w:lang w:val="en-US"/>
              </w:rPr>
              <w:fldChar w:fldCharType="begin"/>
            </w:r>
            <w:r>
              <w:rPr>
                <w:szCs w:val="22"/>
                <w:lang w:val="en-US"/>
              </w:rPr>
              <w:instrText xml:space="preserve"> ADDIN EN.CITE &lt;EndNote&gt;&lt;Cite&gt;&lt;Author&gt;DMD America&lt;/Author&gt;&lt;Year&gt;2018&lt;/Year&gt;&lt;RecNum&gt;77&lt;/RecNum&gt;&lt;DisplayText&gt;[2]&lt;/DisplayText&gt;&lt;record&gt;&lt;rec-number&gt;77&lt;/rec-number&gt;&lt;foreign-keys&gt;&lt;key app="EN" db-id="sv0re5vpexw0fmexwr6x0t91xt9zt5dxfxvz" timestamp="1557915584"&gt;77&lt;/key&gt;&lt;/foreign-keys&gt;&lt;ref-type name="Web Page"&gt;12&lt;/ref-type&gt;&lt;contributors&gt;&lt;authors&gt;&lt;author&gt;DMD America,.&lt;/author&gt;&lt;/authors&gt;&lt;/contributors&gt;&lt;titles&gt;&lt;title&gt;AnalySource Suite of Drug Pricing Services.&lt;/title&gt;&lt;/titles&gt;&lt;number&gt;January 2019&lt;/number&gt;&lt;dates&gt;&lt;year&gt;2018&lt;/year&gt;&lt;/dates&gt;&lt;urls&gt;&lt;related-urls&gt;&lt;url&gt;https://www.analysource.com/about.html&lt;/url&gt;&lt;/related-urls&gt;&lt;/urls&gt;&lt;/record&gt;&lt;/Cite&gt;&lt;/EndNote&gt;</w:instrText>
            </w:r>
            <w:r>
              <w:rPr>
                <w:szCs w:val="22"/>
                <w:lang w:val="en-US"/>
              </w:rPr>
              <w:fldChar w:fldCharType="separate"/>
            </w:r>
            <w:r>
              <w:rPr>
                <w:noProof/>
                <w:szCs w:val="22"/>
                <w:lang w:val="en-US"/>
              </w:rPr>
              <w:t>[2]</w:t>
            </w:r>
            <w:r>
              <w:rPr>
                <w:szCs w:val="22"/>
                <w:lang w:val="en-US"/>
              </w:rPr>
              <w:fldChar w:fldCharType="end"/>
            </w:r>
          </w:p>
        </w:tc>
      </w:tr>
      <w:tr w:rsidR="00D259BD" w:rsidRPr="002F1CBE" w14:paraId="451C0D4A" w14:textId="5D13005E" w:rsidTr="00E74CCA">
        <w:trPr>
          <w:trHeight w:val="285"/>
        </w:trPr>
        <w:tc>
          <w:tcPr>
            <w:tcW w:w="1615" w:type="pct"/>
            <w:shd w:val="clear" w:color="auto" w:fill="auto"/>
            <w:noWrap/>
            <w:vAlign w:val="center"/>
            <w:hideMark/>
          </w:tcPr>
          <w:p w14:paraId="19665056" w14:textId="540948E8" w:rsidR="00D259BD" w:rsidRPr="002F1CBE" w:rsidRDefault="00D259BD">
            <w:pPr>
              <w:pStyle w:val="Tabletext0"/>
              <w:rPr>
                <w:szCs w:val="22"/>
                <w:lang w:val="en-US"/>
              </w:rPr>
            </w:pPr>
            <w:r w:rsidRPr="002F1CBE">
              <w:rPr>
                <w:szCs w:val="22"/>
                <w:lang w:val="en-US"/>
              </w:rPr>
              <w:t>Paclitaxel or docetaxel</w:t>
            </w:r>
          </w:p>
        </w:tc>
        <w:tc>
          <w:tcPr>
            <w:tcW w:w="736" w:type="pct"/>
            <w:shd w:val="clear" w:color="auto" w:fill="auto"/>
            <w:noWrap/>
            <w:vAlign w:val="center"/>
            <w:hideMark/>
          </w:tcPr>
          <w:p w14:paraId="0524A48D" w14:textId="033EDBB4" w:rsidR="00D259BD" w:rsidRPr="002F1CBE" w:rsidRDefault="00D259BD" w:rsidP="00233F4B">
            <w:pPr>
              <w:pStyle w:val="Tabletext0"/>
              <w:rPr>
                <w:szCs w:val="22"/>
                <w:lang w:val="en-US"/>
              </w:rPr>
            </w:pPr>
            <w:r w:rsidRPr="002F1CBE">
              <w:rPr>
                <w:lang w:val="en-US"/>
              </w:rPr>
              <w:t>$</w:t>
            </w:r>
            <w:r>
              <w:rPr>
                <w:lang w:val="en-US"/>
              </w:rPr>
              <w:t>246.34</w:t>
            </w:r>
          </w:p>
        </w:tc>
        <w:tc>
          <w:tcPr>
            <w:tcW w:w="736" w:type="pct"/>
            <w:shd w:val="clear" w:color="auto" w:fill="auto"/>
            <w:noWrap/>
            <w:vAlign w:val="center"/>
            <w:hideMark/>
          </w:tcPr>
          <w:p w14:paraId="69C95644" w14:textId="77777777" w:rsidR="00D259BD" w:rsidRPr="002F1CBE" w:rsidRDefault="00D259BD" w:rsidP="00233F4B">
            <w:pPr>
              <w:pStyle w:val="Tabletext0"/>
              <w:rPr>
                <w:szCs w:val="22"/>
                <w:lang w:val="en-US"/>
              </w:rPr>
            </w:pPr>
            <w:r w:rsidRPr="002F1CBE">
              <w:rPr>
                <w:szCs w:val="22"/>
                <w:lang w:val="en-US"/>
              </w:rPr>
              <w:t> </w:t>
            </w:r>
          </w:p>
        </w:tc>
        <w:tc>
          <w:tcPr>
            <w:tcW w:w="736" w:type="pct"/>
            <w:shd w:val="clear" w:color="auto" w:fill="auto"/>
            <w:noWrap/>
            <w:vAlign w:val="center"/>
            <w:hideMark/>
          </w:tcPr>
          <w:p w14:paraId="6BFF4C83" w14:textId="77777777" w:rsidR="00D259BD" w:rsidRPr="002F1CBE" w:rsidRDefault="00D259BD" w:rsidP="00233F4B">
            <w:pPr>
              <w:pStyle w:val="Tabletext0"/>
              <w:rPr>
                <w:szCs w:val="22"/>
                <w:lang w:val="en-US"/>
              </w:rPr>
            </w:pPr>
            <w:r w:rsidRPr="002F1CBE">
              <w:rPr>
                <w:szCs w:val="22"/>
                <w:lang w:val="en-US"/>
              </w:rPr>
              <w:t> </w:t>
            </w:r>
          </w:p>
        </w:tc>
        <w:tc>
          <w:tcPr>
            <w:tcW w:w="589" w:type="pct"/>
            <w:shd w:val="clear" w:color="auto" w:fill="auto"/>
            <w:noWrap/>
            <w:vAlign w:val="center"/>
            <w:hideMark/>
          </w:tcPr>
          <w:p w14:paraId="3C272750" w14:textId="77777777" w:rsidR="00D259BD" w:rsidRPr="002F1CBE" w:rsidRDefault="00D259BD">
            <w:pPr>
              <w:pStyle w:val="Tabletext0"/>
              <w:rPr>
                <w:szCs w:val="22"/>
                <w:lang w:val="en-US"/>
              </w:rPr>
            </w:pPr>
            <w:r w:rsidRPr="002F1CBE">
              <w:rPr>
                <w:szCs w:val="22"/>
                <w:lang w:val="en-US"/>
              </w:rPr>
              <w:t>Not varied in SA</w:t>
            </w:r>
          </w:p>
        </w:tc>
        <w:tc>
          <w:tcPr>
            <w:tcW w:w="588" w:type="pct"/>
            <w:vMerge/>
            <w:vAlign w:val="center"/>
          </w:tcPr>
          <w:p w14:paraId="3D020844" w14:textId="77777777" w:rsidR="00D259BD" w:rsidRPr="002F1CBE" w:rsidRDefault="00D259BD">
            <w:pPr>
              <w:pStyle w:val="Tabletext0"/>
              <w:rPr>
                <w:szCs w:val="22"/>
                <w:lang w:val="en-US"/>
              </w:rPr>
            </w:pPr>
          </w:p>
        </w:tc>
      </w:tr>
      <w:tr w:rsidR="00D259BD" w:rsidRPr="002F1CBE" w14:paraId="41926A55" w14:textId="77777777" w:rsidTr="00E74CCA">
        <w:trPr>
          <w:trHeight w:val="285"/>
        </w:trPr>
        <w:tc>
          <w:tcPr>
            <w:tcW w:w="1615" w:type="pct"/>
            <w:shd w:val="clear" w:color="auto" w:fill="auto"/>
            <w:noWrap/>
            <w:vAlign w:val="center"/>
          </w:tcPr>
          <w:p w14:paraId="645EE9D3" w14:textId="64BFC2BC" w:rsidR="00D259BD" w:rsidRPr="002F1CBE" w:rsidRDefault="00D259BD">
            <w:pPr>
              <w:pStyle w:val="Tabletext0"/>
              <w:rPr>
                <w:szCs w:val="22"/>
                <w:lang w:val="en-US"/>
              </w:rPr>
            </w:pPr>
            <w:r>
              <w:rPr>
                <w:szCs w:val="22"/>
                <w:lang w:val="en-US"/>
              </w:rPr>
              <w:t>Atezolizumab</w:t>
            </w:r>
          </w:p>
        </w:tc>
        <w:tc>
          <w:tcPr>
            <w:tcW w:w="736" w:type="pct"/>
            <w:shd w:val="clear" w:color="auto" w:fill="auto"/>
            <w:noWrap/>
            <w:vAlign w:val="center"/>
          </w:tcPr>
          <w:p w14:paraId="283D268F" w14:textId="168B96B6" w:rsidR="00D259BD" w:rsidRPr="002F1CBE" w:rsidRDefault="00D259BD" w:rsidP="00233F4B">
            <w:pPr>
              <w:pStyle w:val="Tabletext0"/>
              <w:rPr>
                <w:lang w:val="en-US"/>
              </w:rPr>
            </w:pPr>
            <w:r>
              <w:rPr>
                <w:lang w:val="en-US"/>
              </w:rPr>
              <w:t>$</w:t>
            </w:r>
            <w:r w:rsidR="004F14D1">
              <w:rPr>
                <w:lang w:val="en-US"/>
              </w:rPr>
              <w:t>8,749.30</w:t>
            </w:r>
          </w:p>
        </w:tc>
        <w:tc>
          <w:tcPr>
            <w:tcW w:w="736" w:type="pct"/>
            <w:shd w:val="clear" w:color="auto" w:fill="auto"/>
            <w:noWrap/>
            <w:vAlign w:val="center"/>
          </w:tcPr>
          <w:p w14:paraId="4CFD0CCC" w14:textId="3CC7D4E3" w:rsidR="00D259BD" w:rsidRPr="002F1CBE" w:rsidRDefault="00D259BD" w:rsidP="00233F4B">
            <w:pPr>
              <w:pStyle w:val="Tabletext0"/>
              <w:rPr>
                <w:szCs w:val="22"/>
                <w:lang w:val="en-US"/>
              </w:rPr>
            </w:pPr>
          </w:p>
        </w:tc>
        <w:tc>
          <w:tcPr>
            <w:tcW w:w="736" w:type="pct"/>
            <w:shd w:val="clear" w:color="auto" w:fill="auto"/>
            <w:noWrap/>
            <w:vAlign w:val="center"/>
          </w:tcPr>
          <w:p w14:paraId="22E0C793" w14:textId="77777777" w:rsidR="00D259BD" w:rsidRPr="002F1CBE" w:rsidRDefault="00D259BD" w:rsidP="00233F4B">
            <w:pPr>
              <w:pStyle w:val="Tabletext0"/>
              <w:rPr>
                <w:szCs w:val="22"/>
                <w:lang w:val="en-US"/>
              </w:rPr>
            </w:pPr>
          </w:p>
        </w:tc>
        <w:tc>
          <w:tcPr>
            <w:tcW w:w="589" w:type="pct"/>
            <w:shd w:val="clear" w:color="auto" w:fill="auto"/>
            <w:noWrap/>
            <w:vAlign w:val="center"/>
          </w:tcPr>
          <w:p w14:paraId="24552799" w14:textId="5A3AD600" w:rsidR="00D259BD" w:rsidRPr="002F1CBE" w:rsidRDefault="00D259BD">
            <w:pPr>
              <w:pStyle w:val="Tabletext0"/>
              <w:rPr>
                <w:szCs w:val="22"/>
                <w:lang w:val="en-US"/>
              </w:rPr>
            </w:pPr>
            <w:r w:rsidRPr="002F1CBE">
              <w:rPr>
                <w:szCs w:val="22"/>
                <w:lang w:val="en-US"/>
              </w:rPr>
              <w:t>Not varied in SA</w:t>
            </w:r>
          </w:p>
        </w:tc>
        <w:tc>
          <w:tcPr>
            <w:tcW w:w="588" w:type="pct"/>
            <w:vMerge/>
            <w:vAlign w:val="center"/>
          </w:tcPr>
          <w:p w14:paraId="71DCE036" w14:textId="77777777" w:rsidR="00D259BD" w:rsidRPr="002F1CBE" w:rsidRDefault="00D259BD">
            <w:pPr>
              <w:pStyle w:val="Tabletext0"/>
              <w:rPr>
                <w:szCs w:val="22"/>
                <w:lang w:val="en-US"/>
              </w:rPr>
            </w:pPr>
          </w:p>
        </w:tc>
      </w:tr>
      <w:bookmarkEnd w:id="1"/>
      <w:tr w:rsidR="00E75219" w:rsidRPr="002F1CBE" w14:paraId="1BF9736D" w14:textId="1203E4AF" w:rsidTr="00A00B39">
        <w:trPr>
          <w:trHeight w:val="300"/>
        </w:trPr>
        <w:tc>
          <w:tcPr>
            <w:tcW w:w="5000" w:type="pct"/>
            <w:gridSpan w:val="6"/>
            <w:shd w:val="clear" w:color="auto" w:fill="auto"/>
            <w:noWrap/>
            <w:vAlign w:val="center"/>
            <w:hideMark/>
          </w:tcPr>
          <w:p w14:paraId="3A68C818" w14:textId="21E68A6E" w:rsidR="00E75219" w:rsidRPr="002F1CBE" w:rsidRDefault="00E75219">
            <w:pPr>
              <w:pStyle w:val="Tabletext0"/>
              <w:rPr>
                <w:b/>
                <w:i/>
                <w:szCs w:val="22"/>
                <w:lang w:val="en-US"/>
              </w:rPr>
            </w:pPr>
            <w:r w:rsidRPr="002F1CBE">
              <w:rPr>
                <w:b/>
                <w:i/>
                <w:szCs w:val="22"/>
                <w:lang w:val="en-US"/>
              </w:rPr>
              <w:t>Administration cost for IV</w:t>
            </w:r>
          </w:p>
        </w:tc>
      </w:tr>
      <w:tr w:rsidR="00E75219" w:rsidRPr="002F1CBE" w14:paraId="052A1BCE" w14:textId="60D1153C" w:rsidTr="00E74CCA">
        <w:trPr>
          <w:trHeight w:val="285"/>
        </w:trPr>
        <w:tc>
          <w:tcPr>
            <w:tcW w:w="1615" w:type="pct"/>
            <w:shd w:val="clear" w:color="auto" w:fill="auto"/>
            <w:noWrap/>
            <w:vAlign w:val="center"/>
            <w:hideMark/>
          </w:tcPr>
          <w:p w14:paraId="4BCDD71E" w14:textId="31866532" w:rsidR="00E75219" w:rsidRPr="002F1CBE" w:rsidRDefault="00A25484">
            <w:pPr>
              <w:pStyle w:val="Tabletext0"/>
              <w:rPr>
                <w:szCs w:val="22"/>
                <w:lang w:val="en-US"/>
              </w:rPr>
            </w:pPr>
            <w:r>
              <w:rPr>
                <w:lang w:val="en-US"/>
              </w:rPr>
              <w:t>C</w:t>
            </w:r>
            <w:r w:rsidR="00E75219" w:rsidRPr="002F1CBE">
              <w:rPr>
                <w:lang w:val="en-US"/>
              </w:rPr>
              <w:t>ost for first hour infusion</w:t>
            </w:r>
          </w:p>
        </w:tc>
        <w:tc>
          <w:tcPr>
            <w:tcW w:w="736" w:type="pct"/>
            <w:shd w:val="clear" w:color="auto" w:fill="auto"/>
            <w:noWrap/>
            <w:vAlign w:val="center"/>
            <w:hideMark/>
          </w:tcPr>
          <w:p w14:paraId="32C26E6B" w14:textId="12753B9C" w:rsidR="00E75219" w:rsidRPr="002F1CBE" w:rsidRDefault="00E75219" w:rsidP="00233F4B">
            <w:pPr>
              <w:spacing w:before="0" w:after="0"/>
              <w:rPr>
                <w:rFonts w:cs="Arial"/>
                <w:lang w:val="en-US"/>
              </w:rPr>
            </w:pPr>
            <w:r w:rsidRPr="002F1CBE">
              <w:rPr>
                <w:lang w:val="en-US"/>
              </w:rPr>
              <w:t>$144.72</w:t>
            </w:r>
          </w:p>
        </w:tc>
        <w:tc>
          <w:tcPr>
            <w:tcW w:w="736" w:type="pct"/>
            <w:shd w:val="clear" w:color="auto" w:fill="auto"/>
            <w:noWrap/>
            <w:vAlign w:val="center"/>
            <w:hideMark/>
          </w:tcPr>
          <w:p w14:paraId="6812D483" w14:textId="60FCA345" w:rsidR="00E75219" w:rsidRPr="002F1CBE" w:rsidRDefault="00E75219" w:rsidP="00233F4B">
            <w:pPr>
              <w:pStyle w:val="Tabletext0"/>
              <w:rPr>
                <w:szCs w:val="22"/>
                <w:lang w:val="en-US"/>
              </w:rPr>
            </w:pPr>
            <w:r w:rsidRPr="002F1CBE">
              <w:rPr>
                <w:lang w:val="en-US"/>
              </w:rPr>
              <w:t>$116.36</w:t>
            </w:r>
          </w:p>
        </w:tc>
        <w:tc>
          <w:tcPr>
            <w:tcW w:w="736" w:type="pct"/>
            <w:shd w:val="clear" w:color="auto" w:fill="auto"/>
            <w:noWrap/>
            <w:vAlign w:val="center"/>
            <w:hideMark/>
          </w:tcPr>
          <w:p w14:paraId="356F9708" w14:textId="2D1E2D8E" w:rsidR="00E75219" w:rsidRPr="002F1CBE" w:rsidRDefault="00E75219" w:rsidP="00233F4B">
            <w:pPr>
              <w:pStyle w:val="Tabletext0"/>
              <w:rPr>
                <w:szCs w:val="22"/>
                <w:lang w:val="en-US"/>
              </w:rPr>
            </w:pPr>
            <w:r w:rsidRPr="002F1CBE">
              <w:rPr>
                <w:lang w:val="en-US"/>
              </w:rPr>
              <w:t>$173.08</w:t>
            </w:r>
          </w:p>
        </w:tc>
        <w:tc>
          <w:tcPr>
            <w:tcW w:w="589" w:type="pct"/>
            <w:shd w:val="clear" w:color="auto" w:fill="auto"/>
            <w:noWrap/>
            <w:vAlign w:val="center"/>
            <w:hideMark/>
          </w:tcPr>
          <w:p w14:paraId="1501E7E6" w14:textId="77777777" w:rsidR="00E75219" w:rsidRPr="002F1CBE" w:rsidRDefault="00E75219">
            <w:pPr>
              <w:pStyle w:val="Tabletext0"/>
              <w:rPr>
                <w:szCs w:val="22"/>
                <w:lang w:val="en-US"/>
              </w:rPr>
            </w:pPr>
            <w:r w:rsidRPr="002F1CBE">
              <w:rPr>
                <w:lang w:val="en-US"/>
              </w:rPr>
              <w:t>Normal</w:t>
            </w:r>
          </w:p>
        </w:tc>
        <w:tc>
          <w:tcPr>
            <w:tcW w:w="588" w:type="pct"/>
            <w:vMerge w:val="restart"/>
            <w:vAlign w:val="center"/>
          </w:tcPr>
          <w:p w14:paraId="50289ACD" w14:textId="1A66985C" w:rsidR="00E75219" w:rsidRPr="002F1CBE" w:rsidRDefault="00E75219">
            <w:pPr>
              <w:pStyle w:val="Tabletext0"/>
              <w:rPr>
                <w:lang w:val="en-US"/>
              </w:rPr>
            </w:pPr>
            <w:r>
              <w:rPr>
                <w:lang w:val="en-US"/>
              </w:rPr>
              <w:t>CMS</w:t>
            </w:r>
            <w:r>
              <w:rPr>
                <w:lang w:val="en-US"/>
              </w:rPr>
              <w:fldChar w:fldCharType="begin"/>
            </w:r>
            <w:r w:rsidR="006B11A7">
              <w:rPr>
                <w:lang w:val="en-US"/>
              </w:rPr>
              <w:instrText xml:space="preserve"> ADDIN EN.CITE &lt;EndNote&gt;&lt;Cite&gt;&lt;Author&gt;Centers for Medicare &amp;amp; Medicaid Services&lt;/Author&gt;&lt;Year&gt;2018&lt;/Year&gt;&lt;RecNum&gt;15&lt;/RecNum&gt;&lt;DisplayText&gt;[3]&lt;/DisplayText&gt;&lt;record&gt;&lt;rec-number&gt;15&lt;/rec-number&gt;&lt;foreign-keys&gt;&lt;key app="EN" db-id="sv0re5vpexw0fmexwr6x0t91xt9zt5dxfxvz" timestamp="1526677023"&gt;15&lt;/key&gt;&lt;/foreign-keys&gt;&lt;ref-type name="Web Page"&gt;12&lt;/ref-type&gt;&lt;contributors&gt;&lt;authors&gt;&lt;author&gt;Centers for Medicare &amp;amp; Medicaid Services,&lt;/author&gt;&lt;/authors&gt;&lt;/contributors&gt;&lt;titles&gt;&lt;title&gt;Physician Fee Schedule Search&lt;/title&gt;&lt;/titles&gt;&lt;number&gt;10 May 2018&lt;/number&gt;&lt;dates&gt;&lt;year&gt;2018&lt;/year&gt;&lt;/dates&gt;&lt;urls&gt;&lt;related-urls&gt;&lt;url&gt;https://www.cms.gov/apps/physician-fee-schedule/search/search-criteria.aspx&lt;/url&gt;&lt;/related-urls&gt;&lt;/urls&gt;&lt;/record&gt;&lt;/Cite&gt;&lt;/EndNote&gt;</w:instrText>
            </w:r>
            <w:r>
              <w:rPr>
                <w:lang w:val="en-US"/>
              </w:rPr>
              <w:fldChar w:fldCharType="separate"/>
            </w:r>
            <w:r w:rsidR="006B11A7">
              <w:rPr>
                <w:noProof/>
                <w:lang w:val="en-US"/>
              </w:rPr>
              <w:t>[3]</w:t>
            </w:r>
            <w:r>
              <w:rPr>
                <w:lang w:val="en-US"/>
              </w:rPr>
              <w:fldChar w:fldCharType="end"/>
            </w:r>
          </w:p>
        </w:tc>
      </w:tr>
      <w:tr w:rsidR="00E75219" w:rsidRPr="002F1CBE" w14:paraId="363B7AEC" w14:textId="40C79BEA" w:rsidTr="00E74CCA">
        <w:trPr>
          <w:trHeight w:val="285"/>
        </w:trPr>
        <w:tc>
          <w:tcPr>
            <w:tcW w:w="1615" w:type="pct"/>
            <w:shd w:val="clear" w:color="auto" w:fill="auto"/>
            <w:noWrap/>
            <w:vAlign w:val="center"/>
          </w:tcPr>
          <w:p w14:paraId="3B79589F" w14:textId="683ECF15" w:rsidR="00E75219" w:rsidRPr="002F1CBE" w:rsidRDefault="00A25484">
            <w:pPr>
              <w:pStyle w:val="Tabletext0"/>
              <w:rPr>
                <w:szCs w:val="22"/>
                <w:lang w:val="en-US"/>
              </w:rPr>
            </w:pPr>
            <w:r>
              <w:rPr>
                <w:lang w:val="en-US"/>
              </w:rPr>
              <w:t>C</w:t>
            </w:r>
            <w:r w:rsidR="00E75219" w:rsidRPr="002F1CBE">
              <w:rPr>
                <w:lang w:val="en-US"/>
              </w:rPr>
              <w:t>ost for additional hour infusion (for every hour after first)</w:t>
            </w:r>
          </w:p>
        </w:tc>
        <w:tc>
          <w:tcPr>
            <w:tcW w:w="736" w:type="pct"/>
            <w:shd w:val="clear" w:color="auto" w:fill="auto"/>
            <w:noWrap/>
            <w:vAlign w:val="center"/>
          </w:tcPr>
          <w:p w14:paraId="39499ABD" w14:textId="367C7E0E" w:rsidR="00E75219" w:rsidRPr="002F1CBE" w:rsidRDefault="00E75219" w:rsidP="00233F4B">
            <w:pPr>
              <w:spacing w:before="0" w:after="0"/>
              <w:rPr>
                <w:rFonts w:cs="Arial"/>
                <w:lang w:val="en-US"/>
              </w:rPr>
            </w:pPr>
            <w:r w:rsidRPr="002F1CBE">
              <w:rPr>
                <w:lang w:val="en-US"/>
              </w:rPr>
              <w:t>$31.68</w:t>
            </w:r>
          </w:p>
        </w:tc>
        <w:tc>
          <w:tcPr>
            <w:tcW w:w="736" w:type="pct"/>
            <w:shd w:val="clear" w:color="auto" w:fill="auto"/>
            <w:noWrap/>
            <w:vAlign w:val="center"/>
          </w:tcPr>
          <w:p w14:paraId="57C2095E" w14:textId="57107325" w:rsidR="00E75219" w:rsidRPr="002F1CBE" w:rsidRDefault="00E75219" w:rsidP="00233F4B">
            <w:pPr>
              <w:pStyle w:val="Tabletext0"/>
              <w:rPr>
                <w:szCs w:val="22"/>
                <w:lang w:val="en-US"/>
              </w:rPr>
            </w:pPr>
            <w:r w:rsidRPr="002F1CBE">
              <w:rPr>
                <w:lang w:val="en-US"/>
              </w:rPr>
              <w:t>$25.47</w:t>
            </w:r>
          </w:p>
        </w:tc>
        <w:tc>
          <w:tcPr>
            <w:tcW w:w="736" w:type="pct"/>
            <w:shd w:val="clear" w:color="auto" w:fill="auto"/>
            <w:noWrap/>
            <w:vAlign w:val="center"/>
          </w:tcPr>
          <w:p w14:paraId="49EE4AA4" w14:textId="79C675A0" w:rsidR="00E75219" w:rsidRPr="002F1CBE" w:rsidRDefault="00E75219" w:rsidP="00233F4B">
            <w:pPr>
              <w:pStyle w:val="Tabletext0"/>
              <w:rPr>
                <w:szCs w:val="22"/>
                <w:lang w:val="en-US"/>
              </w:rPr>
            </w:pPr>
            <w:r w:rsidRPr="002F1CBE">
              <w:rPr>
                <w:lang w:val="en-US"/>
              </w:rPr>
              <w:t>$37.89</w:t>
            </w:r>
          </w:p>
        </w:tc>
        <w:tc>
          <w:tcPr>
            <w:tcW w:w="589" w:type="pct"/>
            <w:shd w:val="clear" w:color="auto" w:fill="auto"/>
            <w:noWrap/>
            <w:vAlign w:val="center"/>
          </w:tcPr>
          <w:p w14:paraId="55B25A35" w14:textId="77777777" w:rsidR="00E75219" w:rsidRPr="002F1CBE" w:rsidRDefault="00E75219">
            <w:pPr>
              <w:pStyle w:val="Tabletext0"/>
              <w:rPr>
                <w:szCs w:val="22"/>
                <w:lang w:val="en-US"/>
              </w:rPr>
            </w:pPr>
            <w:r w:rsidRPr="002F1CBE">
              <w:rPr>
                <w:lang w:val="en-US"/>
              </w:rPr>
              <w:t>Normal</w:t>
            </w:r>
          </w:p>
        </w:tc>
        <w:tc>
          <w:tcPr>
            <w:tcW w:w="588" w:type="pct"/>
            <w:vMerge/>
            <w:vAlign w:val="center"/>
          </w:tcPr>
          <w:p w14:paraId="44B539FF" w14:textId="77777777" w:rsidR="00E75219" w:rsidRPr="002F1CBE" w:rsidRDefault="00E75219">
            <w:pPr>
              <w:pStyle w:val="Tabletext0"/>
              <w:rPr>
                <w:lang w:val="en-US"/>
              </w:rPr>
            </w:pPr>
          </w:p>
        </w:tc>
      </w:tr>
      <w:tr w:rsidR="00E75219" w:rsidRPr="002F1CBE" w14:paraId="5DD2A874" w14:textId="777ECB3E" w:rsidTr="00A00B39">
        <w:trPr>
          <w:trHeight w:val="315"/>
        </w:trPr>
        <w:tc>
          <w:tcPr>
            <w:tcW w:w="5000" w:type="pct"/>
            <w:gridSpan w:val="6"/>
            <w:shd w:val="clear" w:color="auto" w:fill="auto"/>
            <w:noWrap/>
            <w:vAlign w:val="center"/>
            <w:hideMark/>
          </w:tcPr>
          <w:p w14:paraId="56480108" w14:textId="1E936D4C" w:rsidR="00E75219" w:rsidRPr="002F1CBE" w:rsidRDefault="00E75219">
            <w:pPr>
              <w:pStyle w:val="Tabletext0"/>
              <w:rPr>
                <w:b/>
                <w:i/>
                <w:szCs w:val="22"/>
                <w:lang w:val="en-US"/>
              </w:rPr>
            </w:pPr>
            <w:r w:rsidRPr="002F1CBE">
              <w:rPr>
                <w:b/>
                <w:i/>
                <w:szCs w:val="22"/>
                <w:lang w:val="en-US"/>
              </w:rPr>
              <w:t>Subsequent treatment costs</w:t>
            </w:r>
          </w:p>
        </w:tc>
      </w:tr>
      <w:tr w:rsidR="00D259BD" w:rsidRPr="002F1CBE" w14:paraId="56BFCB96" w14:textId="235C8552" w:rsidTr="00E74CCA">
        <w:trPr>
          <w:trHeight w:val="285"/>
        </w:trPr>
        <w:tc>
          <w:tcPr>
            <w:tcW w:w="1615" w:type="pct"/>
            <w:shd w:val="clear" w:color="auto" w:fill="auto"/>
            <w:noWrap/>
            <w:vAlign w:val="center"/>
            <w:hideMark/>
          </w:tcPr>
          <w:p w14:paraId="40B63C04" w14:textId="4C9B47F9" w:rsidR="00D259BD" w:rsidRPr="002F1CBE" w:rsidRDefault="00D259BD">
            <w:pPr>
              <w:pStyle w:val="Tabletext0"/>
              <w:rPr>
                <w:szCs w:val="22"/>
                <w:lang w:val="en-US"/>
              </w:rPr>
            </w:pPr>
            <w:r>
              <w:rPr>
                <w:lang w:val="en-US"/>
              </w:rPr>
              <w:t>P</w:t>
            </w:r>
            <w:r w:rsidRPr="002F1CBE">
              <w:rPr>
                <w:lang w:val="en-US"/>
              </w:rPr>
              <w:t>embrolizumab</w:t>
            </w:r>
          </w:p>
        </w:tc>
        <w:tc>
          <w:tcPr>
            <w:tcW w:w="736" w:type="pct"/>
            <w:shd w:val="clear" w:color="auto" w:fill="auto"/>
            <w:noWrap/>
            <w:vAlign w:val="center"/>
            <w:hideMark/>
          </w:tcPr>
          <w:p w14:paraId="2A29370E" w14:textId="7C24F225" w:rsidR="00D259BD" w:rsidRPr="002F1CBE" w:rsidRDefault="00D259BD" w:rsidP="00233F4B">
            <w:pPr>
              <w:pStyle w:val="Tabletext0"/>
              <w:rPr>
                <w:szCs w:val="22"/>
                <w:highlight w:val="yellow"/>
                <w:lang w:val="en-US"/>
              </w:rPr>
            </w:pPr>
            <w:r w:rsidRPr="002F1CBE">
              <w:rPr>
                <w:szCs w:val="22"/>
                <w:lang w:val="en-US"/>
              </w:rPr>
              <w:t>$</w:t>
            </w:r>
            <w:r>
              <w:rPr>
                <w:szCs w:val="22"/>
                <w:lang w:val="en-US"/>
              </w:rPr>
              <w:t>1,919.92</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0A31D726" w14:textId="306A7BB7" w:rsidR="00D259BD" w:rsidRPr="002F1CBE" w:rsidRDefault="00D259BD" w:rsidP="00233F4B">
            <w:pPr>
              <w:pStyle w:val="Tabletext0"/>
              <w:rPr>
                <w:szCs w:val="22"/>
                <w:highlight w:val="yellow"/>
                <w:lang w:val="en-US"/>
              </w:rPr>
            </w:pPr>
            <w:r>
              <w:rPr>
                <w:szCs w:val="22"/>
              </w:rPr>
              <w:t>$1,543.63</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hideMark/>
          </w:tcPr>
          <w:p w14:paraId="35179616" w14:textId="0018E224" w:rsidR="00D259BD" w:rsidRPr="002F1CBE" w:rsidRDefault="00D259BD" w:rsidP="00233F4B">
            <w:pPr>
              <w:pStyle w:val="Tabletext0"/>
              <w:rPr>
                <w:szCs w:val="22"/>
                <w:highlight w:val="yellow"/>
                <w:lang w:val="en-US"/>
              </w:rPr>
            </w:pPr>
            <w:r>
              <w:rPr>
                <w:szCs w:val="22"/>
              </w:rPr>
              <w:t>$2,296.22</w:t>
            </w:r>
          </w:p>
        </w:tc>
        <w:tc>
          <w:tcPr>
            <w:tcW w:w="589" w:type="pct"/>
            <w:shd w:val="clear" w:color="auto" w:fill="auto"/>
            <w:noWrap/>
            <w:vAlign w:val="center"/>
          </w:tcPr>
          <w:p w14:paraId="64E59631" w14:textId="77777777" w:rsidR="00D259BD" w:rsidRPr="002F1CBE" w:rsidRDefault="00D259BD">
            <w:pPr>
              <w:pStyle w:val="Tabletext0"/>
              <w:rPr>
                <w:szCs w:val="22"/>
                <w:lang w:val="en-US"/>
              </w:rPr>
            </w:pPr>
            <w:r w:rsidRPr="002F1CBE">
              <w:rPr>
                <w:lang w:val="en-US"/>
              </w:rPr>
              <w:t>Normal</w:t>
            </w:r>
          </w:p>
        </w:tc>
        <w:tc>
          <w:tcPr>
            <w:tcW w:w="588" w:type="pct"/>
            <w:vMerge w:val="restart"/>
            <w:vAlign w:val="center"/>
          </w:tcPr>
          <w:p w14:paraId="2F736678" w14:textId="01170DD4" w:rsidR="00D259BD" w:rsidRPr="002F1CBE" w:rsidRDefault="00D259BD">
            <w:pPr>
              <w:pStyle w:val="Tabletext0"/>
              <w:rPr>
                <w:lang w:val="en-US"/>
              </w:rPr>
            </w:pPr>
            <w:r>
              <w:rPr>
                <w:lang w:val="en-US"/>
              </w:rPr>
              <w:t>CMS</w:t>
            </w:r>
            <w:r>
              <w:rPr>
                <w:lang w:val="en-US"/>
              </w:rPr>
              <w:fldChar w:fldCharType="begin"/>
            </w:r>
            <w:r>
              <w:rPr>
                <w:lang w:val="en-US"/>
              </w:rPr>
              <w:instrText xml:space="preserve"> ADDIN EN.CITE &lt;EndNote&gt;&lt;Cite&gt;&lt;Author&gt;Centers for Medicare &amp;amp; Medicaid Services&lt;/Author&gt;&lt;Year&gt;2018&lt;/Year&gt;&lt;RecNum&gt;14&lt;/RecNum&gt;&lt;DisplayText&gt;[4]&lt;/DisplayText&gt;&lt;record&gt;&lt;rec-number&gt;14&lt;/rec-number&gt;&lt;foreign-keys&gt;&lt;key app="EN" db-id="sv0re5vpexw0fmexwr6x0t91xt9zt5dxfxvz" timestamp="1526676764"&gt;14&lt;/key&gt;&lt;/foreign-keys&gt;&lt;ref-type name="Web Page"&gt;12&lt;/ref-type&gt;&lt;contributors&gt;&lt;authors&gt;&lt;author&gt;Centers for Medicare &amp;amp; Medicaid Services,&lt;/author&gt;&lt;/authors&gt;&lt;/contributors&gt;&lt;titles&gt;&lt;title&gt;ASP Drug Pricing Files&lt;/title&gt;&lt;/titles&gt;&lt;number&gt;10 May 2018&lt;/number&gt;&lt;dates&gt;&lt;year&gt;2018&lt;/year&gt;&lt;/dates&gt;&lt;urls&gt;&lt;related-urls&gt;&lt;url&gt;https://www.cms.gov/Medicare/Medicare-Fee-for-Service-Part-B-Drugs/McrPartBDrugAvgSalesPrice/2018ASPFiles.html&lt;/url&gt;&lt;/related-urls&gt;&lt;/urls&gt;&lt;/record&gt;&lt;/Cite&gt;&lt;/EndNote&gt;</w:instrText>
            </w:r>
            <w:r>
              <w:rPr>
                <w:lang w:val="en-US"/>
              </w:rPr>
              <w:fldChar w:fldCharType="separate"/>
            </w:r>
            <w:r>
              <w:rPr>
                <w:noProof/>
                <w:lang w:val="en-US"/>
              </w:rPr>
              <w:t>[4]</w:t>
            </w:r>
            <w:r>
              <w:rPr>
                <w:lang w:val="en-US"/>
              </w:rPr>
              <w:fldChar w:fldCharType="end"/>
            </w:r>
          </w:p>
        </w:tc>
      </w:tr>
      <w:tr w:rsidR="00D259BD" w:rsidRPr="002F1CBE" w14:paraId="28B068E0" w14:textId="792ECE99" w:rsidTr="00E74CCA">
        <w:trPr>
          <w:trHeight w:val="285"/>
        </w:trPr>
        <w:tc>
          <w:tcPr>
            <w:tcW w:w="1615" w:type="pct"/>
            <w:shd w:val="clear" w:color="auto" w:fill="auto"/>
            <w:noWrap/>
            <w:vAlign w:val="center"/>
          </w:tcPr>
          <w:p w14:paraId="16F22804" w14:textId="55A83D91" w:rsidR="00D259BD" w:rsidRPr="002F1CBE" w:rsidRDefault="00D259BD">
            <w:pPr>
              <w:pStyle w:val="Tabletext0"/>
              <w:rPr>
                <w:szCs w:val="22"/>
                <w:lang w:val="en-US"/>
              </w:rPr>
            </w:pPr>
            <w:r>
              <w:rPr>
                <w:szCs w:val="22"/>
                <w:lang w:val="en-US"/>
              </w:rPr>
              <w:t>Chemotherapy</w:t>
            </w:r>
          </w:p>
        </w:tc>
        <w:tc>
          <w:tcPr>
            <w:tcW w:w="736" w:type="pct"/>
            <w:shd w:val="clear" w:color="auto" w:fill="auto"/>
            <w:noWrap/>
            <w:vAlign w:val="center"/>
          </w:tcPr>
          <w:p w14:paraId="62F5D1DB" w14:textId="324ED040" w:rsidR="00D259BD" w:rsidRPr="002F1CBE" w:rsidRDefault="00D259BD" w:rsidP="00233F4B">
            <w:pPr>
              <w:pStyle w:val="Tabletext0"/>
              <w:rPr>
                <w:szCs w:val="22"/>
                <w:lang w:val="en-US"/>
              </w:rPr>
            </w:pPr>
            <w:r w:rsidRPr="002F1CBE">
              <w:rPr>
                <w:szCs w:val="22"/>
                <w:lang w:val="en-US"/>
              </w:rPr>
              <w:t>$1,</w:t>
            </w:r>
            <w:r>
              <w:rPr>
                <w:szCs w:val="22"/>
                <w:lang w:val="en-US"/>
              </w:rPr>
              <w:t>832.37</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B80A570" w14:textId="1497EFEF" w:rsidR="00D259BD" w:rsidRPr="002F1CBE" w:rsidRDefault="00D259BD" w:rsidP="00233F4B">
            <w:pPr>
              <w:pStyle w:val="Tabletext0"/>
              <w:rPr>
                <w:szCs w:val="22"/>
                <w:lang w:val="en-US"/>
              </w:rPr>
            </w:pPr>
            <w:r>
              <w:rPr>
                <w:szCs w:val="22"/>
              </w:rPr>
              <w:t>$1,473.23</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61577C39" w14:textId="23DC5EA5" w:rsidR="00D259BD" w:rsidRPr="002F1CBE" w:rsidRDefault="00D259BD" w:rsidP="00233F4B">
            <w:pPr>
              <w:pStyle w:val="Tabletext0"/>
              <w:rPr>
                <w:szCs w:val="22"/>
                <w:lang w:val="en-US"/>
              </w:rPr>
            </w:pPr>
            <w:r>
              <w:rPr>
                <w:szCs w:val="22"/>
              </w:rPr>
              <w:t>$2,191.51</w:t>
            </w:r>
          </w:p>
        </w:tc>
        <w:tc>
          <w:tcPr>
            <w:tcW w:w="589" w:type="pct"/>
            <w:shd w:val="clear" w:color="auto" w:fill="auto"/>
            <w:noWrap/>
            <w:vAlign w:val="center"/>
          </w:tcPr>
          <w:p w14:paraId="74457BEF" w14:textId="77777777" w:rsidR="00D259BD" w:rsidRPr="002F1CBE" w:rsidRDefault="00D259BD">
            <w:pPr>
              <w:pStyle w:val="Tabletext0"/>
              <w:rPr>
                <w:szCs w:val="22"/>
                <w:lang w:val="en-US"/>
              </w:rPr>
            </w:pPr>
            <w:r w:rsidRPr="002F1CBE">
              <w:rPr>
                <w:szCs w:val="22"/>
                <w:lang w:val="en-US"/>
              </w:rPr>
              <w:t>Normal</w:t>
            </w:r>
          </w:p>
        </w:tc>
        <w:tc>
          <w:tcPr>
            <w:tcW w:w="588" w:type="pct"/>
            <w:vMerge/>
            <w:vAlign w:val="center"/>
          </w:tcPr>
          <w:p w14:paraId="13B8CEF4" w14:textId="77777777" w:rsidR="00D259BD" w:rsidRPr="002F1CBE" w:rsidRDefault="00D259BD">
            <w:pPr>
              <w:pStyle w:val="Tabletext0"/>
              <w:rPr>
                <w:szCs w:val="22"/>
                <w:lang w:val="en-US"/>
              </w:rPr>
            </w:pPr>
          </w:p>
        </w:tc>
      </w:tr>
      <w:tr w:rsidR="00D259BD" w:rsidRPr="002F1CBE" w14:paraId="098DF9E8" w14:textId="77777777" w:rsidTr="00E74CCA">
        <w:trPr>
          <w:trHeight w:val="285"/>
        </w:trPr>
        <w:tc>
          <w:tcPr>
            <w:tcW w:w="1615" w:type="pct"/>
            <w:shd w:val="clear" w:color="auto" w:fill="auto"/>
            <w:noWrap/>
            <w:vAlign w:val="center"/>
          </w:tcPr>
          <w:p w14:paraId="31ECE9D9" w14:textId="387B2C63" w:rsidR="00D259BD" w:rsidRDefault="00D259BD" w:rsidP="00D259BD">
            <w:pPr>
              <w:pStyle w:val="Tabletext0"/>
              <w:rPr>
                <w:szCs w:val="22"/>
                <w:lang w:val="en-US"/>
              </w:rPr>
            </w:pPr>
            <w:r>
              <w:rPr>
                <w:szCs w:val="22"/>
                <w:lang w:val="en-US"/>
              </w:rPr>
              <w:t>Atezolizumab</w:t>
            </w:r>
          </w:p>
        </w:tc>
        <w:tc>
          <w:tcPr>
            <w:tcW w:w="736" w:type="pct"/>
            <w:shd w:val="clear" w:color="auto" w:fill="auto"/>
            <w:noWrap/>
            <w:vAlign w:val="center"/>
          </w:tcPr>
          <w:p w14:paraId="68D3ED27" w14:textId="46B52BC3" w:rsidR="00D259BD" w:rsidRPr="002F1CBE" w:rsidRDefault="00D259BD" w:rsidP="00D259BD">
            <w:pPr>
              <w:pStyle w:val="Tabletext0"/>
              <w:rPr>
                <w:szCs w:val="22"/>
                <w:lang w:val="en-US"/>
              </w:rPr>
            </w:pPr>
            <w:r w:rsidRPr="002F1CBE">
              <w:rPr>
                <w:szCs w:val="22"/>
                <w:lang w:val="en-US"/>
              </w:rPr>
              <w:t>$</w:t>
            </w:r>
            <w:r>
              <w:rPr>
                <w:szCs w:val="22"/>
                <w:lang w:val="en-US"/>
              </w:rPr>
              <w:t>1,919.92</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253DE605" w14:textId="2F5CBBDF" w:rsidR="00D259BD" w:rsidRDefault="00D259BD" w:rsidP="00D259BD">
            <w:pPr>
              <w:pStyle w:val="Tabletext0"/>
              <w:rPr>
                <w:szCs w:val="22"/>
              </w:rPr>
            </w:pPr>
            <w:r>
              <w:rPr>
                <w:szCs w:val="22"/>
              </w:rPr>
              <w:t>$1,543.63</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52AE1EBD" w14:textId="13A0204C" w:rsidR="00D259BD" w:rsidRDefault="00D259BD" w:rsidP="00D259BD">
            <w:pPr>
              <w:pStyle w:val="Tabletext0"/>
              <w:rPr>
                <w:szCs w:val="22"/>
              </w:rPr>
            </w:pPr>
            <w:r>
              <w:rPr>
                <w:szCs w:val="22"/>
              </w:rPr>
              <w:t>$2,296.22</w:t>
            </w:r>
          </w:p>
        </w:tc>
        <w:tc>
          <w:tcPr>
            <w:tcW w:w="589" w:type="pct"/>
            <w:shd w:val="clear" w:color="auto" w:fill="auto"/>
            <w:noWrap/>
            <w:vAlign w:val="center"/>
          </w:tcPr>
          <w:p w14:paraId="7CDE1917" w14:textId="0103C5A0" w:rsidR="00D259BD" w:rsidRPr="002F1CBE" w:rsidRDefault="00D259BD" w:rsidP="00D259BD">
            <w:pPr>
              <w:pStyle w:val="Tabletext0"/>
              <w:rPr>
                <w:szCs w:val="22"/>
                <w:lang w:val="en-US"/>
              </w:rPr>
            </w:pPr>
            <w:r w:rsidRPr="002F1CBE">
              <w:rPr>
                <w:lang w:val="en-US"/>
              </w:rPr>
              <w:t>Normal</w:t>
            </w:r>
          </w:p>
        </w:tc>
        <w:tc>
          <w:tcPr>
            <w:tcW w:w="588" w:type="pct"/>
            <w:vMerge/>
            <w:vAlign w:val="center"/>
          </w:tcPr>
          <w:p w14:paraId="6F757ECA" w14:textId="77777777" w:rsidR="00D259BD" w:rsidRPr="002F1CBE" w:rsidRDefault="00D259BD" w:rsidP="00D259BD">
            <w:pPr>
              <w:pStyle w:val="Tabletext0"/>
              <w:rPr>
                <w:szCs w:val="22"/>
                <w:lang w:val="en-US"/>
              </w:rPr>
            </w:pPr>
          </w:p>
        </w:tc>
      </w:tr>
      <w:tr w:rsidR="00D259BD" w:rsidRPr="002F1CBE" w14:paraId="242F2CE6" w14:textId="33E8146C" w:rsidTr="00A00B39">
        <w:trPr>
          <w:trHeight w:val="285"/>
        </w:trPr>
        <w:tc>
          <w:tcPr>
            <w:tcW w:w="5000" w:type="pct"/>
            <w:gridSpan w:val="6"/>
            <w:shd w:val="clear" w:color="auto" w:fill="auto"/>
            <w:noWrap/>
            <w:vAlign w:val="center"/>
          </w:tcPr>
          <w:p w14:paraId="69644C66" w14:textId="6C5FA4F8" w:rsidR="00D259BD" w:rsidRPr="002F1CBE" w:rsidRDefault="00D259BD" w:rsidP="00D259BD">
            <w:pPr>
              <w:pStyle w:val="Tabletext0"/>
              <w:rPr>
                <w:b/>
                <w:i/>
                <w:szCs w:val="22"/>
                <w:lang w:val="en-US"/>
              </w:rPr>
            </w:pPr>
            <w:r w:rsidRPr="002F1CBE">
              <w:rPr>
                <w:b/>
                <w:i/>
                <w:szCs w:val="22"/>
                <w:lang w:val="en-US"/>
              </w:rPr>
              <w:t>Disease management costs by progression</w:t>
            </w:r>
          </w:p>
        </w:tc>
      </w:tr>
      <w:tr w:rsidR="00D259BD" w:rsidRPr="002F1CBE" w14:paraId="1DA86042" w14:textId="47D3C4BD" w:rsidTr="00E74CCA">
        <w:trPr>
          <w:trHeight w:val="285"/>
        </w:trPr>
        <w:tc>
          <w:tcPr>
            <w:tcW w:w="1615" w:type="pct"/>
            <w:shd w:val="clear" w:color="auto" w:fill="auto"/>
            <w:noWrap/>
            <w:vAlign w:val="center"/>
          </w:tcPr>
          <w:p w14:paraId="5549FCC9" w14:textId="015CCBFB" w:rsidR="00D259BD" w:rsidRPr="002F1CBE" w:rsidRDefault="00D259BD" w:rsidP="00D259BD">
            <w:pPr>
              <w:pStyle w:val="Tabletext0"/>
              <w:rPr>
                <w:szCs w:val="22"/>
                <w:lang w:val="en-US"/>
              </w:rPr>
            </w:pPr>
            <w:r w:rsidRPr="002F1CBE">
              <w:rPr>
                <w:lang w:val="en-US"/>
              </w:rPr>
              <w:t>PF: Month</w:t>
            </w:r>
            <w:r>
              <w:rPr>
                <w:lang w:val="en-US"/>
              </w:rPr>
              <w:t>s 0-12</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2739CD7" w14:textId="600A01B9" w:rsidR="00D259BD" w:rsidRPr="002F1CBE" w:rsidRDefault="00D259BD" w:rsidP="00D259BD">
            <w:pPr>
              <w:pStyle w:val="Tabletext0"/>
              <w:rPr>
                <w:szCs w:val="22"/>
                <w:lang w:val="en-US"/>
              </w:rPr>
            </w:pPr>
            <w:r>
              <w:rPr>
                <w:color w:val="000000"/>
                <w:szCs w:val="22"/>
              </w:rPr>
              <w:t>$2,129.78</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78549435" w14:textId="7AF0F01E" w:rsidR="00D259BD" w:rsidRPr="002F1CBE" w:rsidRDefault="00D259BD" w:rsidP="00D259BD">
            <w:pPr>
              <w:pStyle w:val="Tabletext0"/>
              <w:rPr>
                <w:lang w:val="en-US"/>
              </w:rPr>
            </w:pPr>
            <w:r>
              <w:rPr>
                <w:szCs w:val="22"/>
              </w:rPr>
              <w:t>$1,781.51</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5FC6A69E" w14:textId="0838B95F" w:rsidR="00D259BD" w:rsidRPr="002F1CBE" w:rsidRDefault="00D259BD" w:rsidP="00D259BD">
            <w:pPr>
              <w:pStyle w:val="Tabletext0"/>
              <w:rPr>
                <w:lang w:val="en-US"/>
              </w:rPr>
            </w:pPr>
            <w:r>
              <w:rPr>
                <w:szCs w:val="22"/>
              </w:rPr>
              <w:t>$2,478.04</w:t>
            </w:r>
          </w:p>
        </w:tc>
        <w:tc>
          <w:tcPr>
            <w:tcW w:w="589" w:type="pct"/>
            <w:shd w:val="clear" w:color="auto" w:fill="auto"/>
            <w:noWrap/>
            <w:vAlign w:val="center"/>
          </w:tcPr>
          <w:p w14:paraId="62F2F4DB" w14:textId="77777777" w:rsidR="00D259BD" w:rsidRPr="002F1CBE" w:rsidRDefault="00D259BD" w:rsidP="00D259BD">
            <w:pPr>
              <w:pStyle w:val="Tabletext0"/>
              <w:rPr>
                <w:szCs w:val="22"/>
                <w:lang w:val="en-US"/>
              </w:rPr>
            </w:pPr>
            <w:r w:rsidRPr="002F1CBE">
              <w:rPr>
                <w:lang w:val="en-US"/>
              </w:rPr>
              <w:t>Normal</w:t>
            </w:r>
          </w:p>
        </w:tc>
        <w:tc>
          <w:tcPr>
            <w:tcW w:w="588" w:type="pct"/>
            <w:vMerge w:val="restart"/>
            <w:vAlign w:val="center"/>
          </w:tcPr>
          <w:p w14:paraId="222F5EC7" w14:textId="3B13D3CA" w:rsidR="00D259BD" w:rsidRPr="002F1CBE" w:rsidRDefault="00D259BD" w:rsidP="00D259BD">
            <w:pPr>
              <w:pStyle w:val="Tabletext0"/>
              <w:rPr>
                <w:lang w:val="en-US"/>
              </w:rPr>
            </w:pPr>
            <w:r>
              <w:rPr>
                <w:lang w:val="en-US"/>
              </w:rPr>
              <w:t>SEER study</w:t>
            </w:r>
            <w:r>
              <w:rPr>
                <w:lang w:val="en-US"/>
              </w:rPr>
              <w:fldChar w:fldCharType="begin"/>
            </w:r>
            <w:r>
              <w:rPr>
                <w:lang w:val="en-US"/>
              </w:rPr>
              <w:instrText xml:space="preserve"> ADDIN EN.CITE &lt;EndNote&gt;&lt;Cite&gt;&lt;Author&gt;Zhong&lt;/Author&gt;&lt;Year&gt;2019&lt;/Year&gt;&lt;RecNum&gt;64&lt;/RecNum&gt;&lt;DisplayText&gt;[5]&lt;/DisplayText&gt;&lt;record&gt;&lt;rec-number&gt;64&lt;/rec-number&gt;&lt;foreign-keys&gt;&lt;key app="EN" db-id="sv0re5vpexw0fmexwr6x0t91xt9zt5dxfxvz" timestamp="1554805735"&gt;64&lt;/key&gt;&lt;/foreign-keys&gt;&lt;ref-type name="Conference Proceedings"&gt;40&lt;/ref-type&gt;&lt;contributors&gt;&lt;authors&gt;&lt;author&gt;Zhong, Y.&lt;/author&gt;&lt;author&gt;Li, H.&lt;/author&gt;&lt;author&gt;He, J.&lt;/author&gt;&lt;author&gt;Lai, Y.&lt;/author&gt;&lt;author&gt;Pellissier, JM.&lt;/author&gt;&lt;/authors&gt;&lt;/contributors&gt;&lt;titles&gt;&lt;title&gt;C17 Pattern of Disease Management Costs for Advanced Bladder Cancer Patients Receiving Chemotherapy&lt;/title&gt;&lt;secondary-title&gt;AMCP Managed Care &amp;amp; Speciality Pharamacy Annual Meeting&lt;/secondary-title&gt;&lt;/titles&gt;&lt;dates&gt;&lt;year&gt;2019&lt;/year&gt;&lt;pub-dates&gt;&lt;date&gt;25-28 March&lt;/date&gt;&lt;/pub-dates&gt;&lt;/dates&gt;&lt;pub-location&gt;San Diego, California &lt;/pub-location&gt;&lt;publisher&gt;US&lt;/publisher&gt;&lt;urls&gt;&lt;related-urls&gt;&lt;url&gt;https://www.jmcp.org/doi/pdf/10.18553/jmcp.2019.25.3-a.s1&lt;/url&gt;&lt;/related-urls&gt;&lt;/urls&gt;&lt;/record&gt;&lt;/Cite&gt;&lt;/EndNote&gt;</w:instrText>
            </w:r>
            <w:r>
              <w:rPr>
                <w:lang w:val="en-US"/>
              </w:rPr>
              <w:fldChar w:fldCharType="separate"/>
            </w:r>
            <w:r>
              <w:rPr>
                <w:noProof/>
                <w:lang w:val="en-US"/>
              </w:rPr>
              <w:t>[5]</w:t>
            </w:r>
            <w:r>
              <w:rPr>
                <w:lang w:val="en-US"/>
              </w:rPr>
              <w:fldChar w:fldCharType="end"/>
            </w:r>
          </w:p>
        </w:tc>
      </w:tr>
      <w:tr w:rsidR="00D259BD" w:rsidRPr="002F1CBE" w14:paraId="07008BF7" w14:textId="0E53C326" w:rsidTr="00E74CCA">
        <w:trPr>
          <w:trHeight w:val="285"/>
        </w:trPr>
        <w:tc>
          <w:tcPr>
            <w:tcW w:w="1615" w:type="pct"/>
            <w:shd w:val="clear" w:color="auto" w:fill="auto"/>
            <w:noWrap/>
            <w:vAlign w:val="center"/>
          </w:tcPr>
          <w:p w14:paraId="5F8190A0" w14:textId="032C1867" w:rsidR="00D259BD" w:rsidRPr="002F1CBE" w:rsidRDefault="00D259BD" w:rsidP="00D259BD">
            <w:pPr>
              <w:pStyle w:val="Tabletext0"/>
              <w:rPr>
                <w:szCs w:val="22"/>
                <w:lang w:val="en-US"/>
              </w:rPr>
            </w:pPr>
            <w:r w:rsidRPr="002F1CBE">
              <w:rPr>
                <w:lang w:val="en-US"/>
              </w:rPr>
              <w:t>PF: Month</w:t>
            </w:r>
            <w:r>
              <w:rPr>
                <w:lang w:val="en-US"/>
              </w:rPr>
              <w:t>s 12-24</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896435D" w14:textId="4DB0E54F" w:rsidR="00D259BD" w:rsidRPr="002F1CBE" w:rsidRDefault="00D259BD" w:rsidP="00D259BD">
            <w:pPr>
              <w:pStyle w:val="Tabletext0"/>
              <w:rPr>
                <w:szCs w:val="22"/>
                <w:lang w:val="en-US"/>
              </w:rPr>
            </w:pPr>
            <w:r>
              <w:rPr>
                <w:color w:val="000000"/>
                <w:szCs w:val="22"/>
              </w:rPr>
              <w:t>$1,082.76</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7A2F638" w14:textId="1659E2E4" w:rsidR="00D259BD" w:rsidRPr="002F1CBE" w:rsidRDefault="00D259BD" w:rsidP="00D259BD">
            <w:pPr>
              <w:pStyle w:val="Tabletext0"/>
              <w:rPr>
                <w:lang w:val="en-US"/>
              </w:rPr>
            </w:pPr>
            <w:r>
              <w:rPr>
                <w:szCs w:val="22"/>
              </w:rPr>
              <w:t>$325.48</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11CC7500" w14:textId="1162117C" w:rsidR="00D259BD" w:rsidRPr="002F1CBE" w:rsidRDefault="00D259BD" w:rsidP="00D259BD">
            <w:pPr>
              <w:pStyle w:val="Tabletext0"/>
              <w:rPr>
                <w:lang w:val="en-US"/>
              </w:rPr>
            </w:pPr>
            <w:r>
              <w:rPr>
                <w:szCs w:val="22"/>
              </w:rPr>
              <w:t>$1,840.04</w:t>
            </w:r>
          </w:p>
        </w:tc>
        <w:tc>
          <w:tcPr>
            <w:tcW w:w="589" w:type="pct"/>
            <w:shd w:val="clear" w:color="auto" w:fill="auto"/>
            <w:noWrap/>
            <w:vAlign w:val="center"/>
          </w:tcPr>
          <w:p w14:paraId="6BB12C62" w14:textId="77777777" w:rsidR="00D259BD" w:rsidRPr="002F1CBE" w:rsidRDefault="00D259BD" w:rsidP="00D259BD">
            <w:pPr>
              <w:pStyle w:val="Tabletext0"/>
              <w:rPr>
                <w:szCs w:val="22"/>
                <w:lang w:val="en-US"/>
              </w:rPr>
            </w:pPr>
            <w:r w:rsidRPr="002F1CBE">
              <w:rPr>
                <w:lang w:val="en-US"/>
              </w:rPr>
              <w:t>Normal</w:t>
            </w:r>
          </w:p>
        </w:tc>
        <w:tc>
          <w:tcPr>
            <w:tcW w:w="588" w:type="pct"/>
            <w:vMerge/>
            <w:vAlign w:val="center"/>
          </w:tcPr>
          <w:p w14:paraId="3E724DE4" w14:textId="77777777" w:rsidR="00D259BD" w:rsidRPr="002F1CBE" w:rsidRDefault="00D259BD" w:rsidP="00D259BD">
            <w:pPr>
              <w:pStyle w:val="Tabletext0"/>
              <w:rPr>
                <w:lang w:val="en-US"/>
              </w:rPr>
            </w:pPr>
          </w:p>
        </w:tc>
      </w:tr>
      <w:tr w:rsidR="00D259BD" w:rsidRPr="002F1CBE" w14:paraId="7A211D6B" w14:textId="4222E970" w:rsidTr="00E74CCA">
        <w:trPr>
          <w:trHeight w:val="285"/>
        </w:trPr>
        <w:tc>
          <w:tcPr>
            <w:tcW w:w="1615" w:type="pct"/>
            <w:shd w:val="clear" w:color="auto" w:fill="auto"/>
            <w:noWrap/>
            <w:vAlign w:val="center"/>
          </w:tcPr>
          <w:p w14:paraId="3B06269F" w14:textId="54AF1361" w:rsidR="00D259BD" w:rsidRPr="002F1CBE" w:rsidRDefault="00D259BD" w:rsidP="00D259BD">
            <w:pPr>
              <w:pStyle w:val="Tabletext0"/>
              <w:rPr>
                <w:szCs w:val="22"/>
                <w:lang w:val="en-US"/>
              </w:rPr>
            </w:pPr>
            <w:r w:rsidRPr="002F1CBE">
              <w:rPr>
                <w:lang w:val="en-US"/>
              </w:rPr>
              <w:t xml:space="preserve">PF: 24+ months </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76047BD3" w14:textId="5B874954" w:rsidR="00D259BD" w:rsidRPr="002F1CBE" w:rsidRDefault="00D259BD" w:rsidP="00D259BD">
            <w:pPr>
              <w:pStyle w:val="Tabletext0"/>
              <w:rPr>
                <w:szCs w:val="22"/>
                <w:lang w:val="en-US"/>
              </w:rPr>
            </w:pPr>
            <w:r>
              <w:rPr>
                <w:color w:val="000000"/>
                <w:szCs w:val="22"/>
              </w:rPr>
              <w:t>$5,54.80</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250F343B" w14:textId="7014F43A" w:rsidR="00D259BD" w:rsidRPr="002F1CBE" w:rsidRDefault="00D259BD" w:rsidP="00D259BD">
            <w:pPr>
              <w:pStyle w:val="Tabletext0"/>
              <w:rPr>
                <w:lang w:val="en-US"/>
              </w:rPr>
            </w:pPr>
            <w:r>
              <w:rPr>
                <w:szCs w:val="22"/>
              </w:rPr>
              <w:t>$84.13</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53538889" w14:textId="6EEA57AB" w:rsidR="00D259BD" w:rsidRPr="002F1CBE" w:rsidRDefault="00D259BD" w:rsidP="00D259BD">
            <w:pPr>
              <w:pStyle w:val="Tabletext0"/>
              <w:rPr>
                <w:lang w:val="en-US"/>
              </w:rPr>
            </w:pPr>
            <w:r>
              <w:rPr>
                <w:szCs w:val="22"/>
              </w:rPr>
              <w:t>$1,025.48</w:t>
            </w:r>
          </w:p>
        </w:tc>
        <w:tc>
          <w:tcPr>
            <w:tcW w:w="589" w:type="pct"/>
            <w:shd w:val="clear" w:color="auto" w:fill="auto"/>
            <w:noWrap/>
            <w:vAlign w:val="center"/>
          </w:tcPr>
          <w:p w14:paraId="46A9C616" w14:textId="77777777" w:rsidR="00D259BD" w:rsidRPr="002F1CBE" w:rsidRDefault="00D259BD" w:rsidP="00D259BD">
            <w:pPr>
              <w:pStyle w:val="Tabletext0"/>
              <w:rPr>
                <w:szCs w:val="22"/>
                <w:lang w:val="en-US"/>
              </w:rPr>
            </w:pPr>
            <w:r w:rsidRPr="002F1CBE">
              <w:rPr>
                <w:lang w:val="en-US"/>
              </w:rPr>
              <w:t>Normal</w:t>
            </w:r>
          </w:p>
        </w:tc>
        <w:tc>
          <w:tcPr>
            <w:tcW w:w="588" w:type="pct"/>
            <w:vMerge/>
            <w:vAlign w:val="center"/>
          </w:tcPr>
          <w:p w14:paraId="50623DB6" w14:textId="77777777" w:rsidR="00D259BD" w:rsidRPr="002F1CBE" w:rsidRDefault="00D259BD" w:rsidP="00D259BD">
            <w:pPr>
              <w:pStyle w:val="Tabletext0"/>
              <w:rPr>
                <w:lang w:val="en-US"/>
              </w:rPr>
            </w:pPr>
          </w:p>
        </w:tc>
      </w:tr>
      <w:tr w:rsidR="00D259BD" w:rsidRPr="002F1CBE" w14:paraId="6DF75475" w14:textId="63E648A8" w:rsidTr="00E74CCA">
        <w:trPr>
          <w:trHeight w:val="285"/>
        </w:trPr>
        <w:tc>
          <w:tcPr>
            <w:tcW w:w="1615" w:type="pct"/>
            <w:shd w:val="clear" w:color="auto" w:fill="auto"/>
            <w:noWrap/>
            <w:vAlign w:val="center"/>
          </w:tcPr>
          <w:p w14:paraId="33E884DA" w14:textId="2F322C0A" w:rsidR="00D259BD" w:rsidRPr="002F1CBE" w:rsidRDefault="00D259BD" w:rsidP="00D259BD">
            <w:pPr>
              <w:pStyle w:val="Tabletext0"/>
              <w:rPr>
                <w:szCs w:val="22"/>
                <w:lang w:val="en-US"/>
              </w:rPr>
            </w:pPr>
            <w:r w:rsidRPr="002F1CBE">
              <w:rPr>
                <w:lang w:val="en-US"/>
              </w:rPr>
              <w:t>PP: Month</w:t>
            </w:r>
            <w:r>
              <w:rPr>
                <w:lang w:val="en-US"/>
              </w:rPr>
              <w:t>s 0-12</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7A3D72D0" w14:textId="32D04B48" w:rsidR="00D259BD" w:rsidRPr="002F1CBE" w:rsidRDefault="00D259BD" w:rsidP="00D259BD">
            <w:pPr>
              <w:pStyle w:val="Tabletext0"/>
              <w:rPr>
                <w:szCs w:val="22"/>
                <w:lang w:val="en-US"/>
              </w:rPr>
            </w:pPr>
            <w:r>
              <w:rPr>
                <w:color w:val="000000"/>
                <w:szCs w:val="22"/>
              </w:rPr>
              <w:t>$2,674.55</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226A8AAD" w14:textId="7BE4E637" w:rsidR="00D259BD" w:rsidRPr="002F1CBE" w:rsidRDefault="00D259BD" w:rsidP="00D259BD">
            <w:pPr>
              <w:pStyle w:val="Tabletext0"/>
              <w:rPr>
                <w:lang w:val="en-US"/>
              </w:rPr>
            </w:pPr>
            <w:r>
              <w:rPr>
                <w:szCs w:val="22"/>
              </w:rPr>
              <w:t>$1,714.96</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6C56E516" w14:textId="1760BCC0" w:rsidR="00D259BD" w:rsidRPr="002F1CBE" w:rsidRDefault="00D259BD" w:rsidP="00D259BD">
            <w:pPr>
              <w:pStyle w:val="Tabletext0"/>
              <w:rPr>
                <w:lang w:val="en-US"/>
              </w:rPr>
            </w:pPr>
            <w:r>
              <w:rPr>
                <w:szCs w:val="22"/>
              </w:rPr>
              <w:t>$3,634.15</w:t>
            </w:r>
          </w:p>
        </w:tc>
        <w:tc>
          <w:tcPr>
            <w:tcW w:w="589" w:type="pct"/>
            <w:shd w:val="clear" w:color="auto" w:fill="auto"/>
            <w:noWrap/>
            <w:vAlign w:val="center"/>
          </w:tcPr>
          <w:p w14:paraId="5C9F7FD1" w14:textId="77777777" w:rsidR="00D259BD" w:rsidRPr="002F1CBE" w:rsidRDefault="00D259BD" w:rsidP="00D259BD">
            <w:pPr>
              <w:pStyle w:val="Tabletext0"/>
              <w:rPr>
                <w:szCs w:val="22"/>
                <w:lang w:val="en-US"/>
              </w:rPr>
            </w:pPr>
            <w:r w:rsidRPr="002F1CBE">
              <w:rPr>
                <w:lang w:val="en-US"/>
              </w:rPr>
              <w:t>Normal</w:t>
            </w:r>
          </w:p>
        </w:tc>
        <w:tc>
          <w:tcPr>
            <w:tcW w:w="588" w:type="pct"/>
            <w:vMerge/>
            <w:vAlign w:val="center"/>
          </w:tcPr>
          <w:p w14:paraId="147E3132" w14:textId="77777777" w:rsidR="00D259BD" w:rsidRPr="002F1CBE" w:rsidRDefault="00D259BD" w:rsidP="00D259BD">
            <w:pPr>
              <w:pStyle w:val="Tabletext0"/>
              <w:rPr>
                <w:lang w:val="en-US"/>
              </w:rPr>
            </w:pPr>
          </w:p>
        </w:tc>
      </w:tr>
      <w:tr w:rsidR="00D259BD" w:rsidRPr="002F1CBE" w14:paraId="0C37B3DE" w14:textId="48320EAD" w:rsidTr="00E74CCA">
        <w:trPr>
          <w:trHeight w:val="285"/>
        </w:trPr>
        <w:tc>
          <w:tcPr>
            <w:tcW w:w="1615" w:type="pct"/>
            <w:shd w:val="clear" w:color="auto" w:fill="auto"/>
            <w:noWrap/>
            <w:vAlign w:val="center"/>
          </w:tcPr>
          <w:p w14:paraId="446FFD0C" w14:textId="2CFE3B2C" w:rsidR="00D259BD" w:rsidRPr="002F1CBE" w:rsidRDefault="00D259BD" w:rsidP="00D259BD">
            <w:pPr>
              <w:pStyle w:val="Tabletext0"/>
              <w:rPr>
                <w:szCs w:val="22"/>
                <w:lang w:val="en-US"/>
              </w:rPr>
            </w:pPr>
            <w:r w:rsidRPr="002F1CBE">
              <w:rPr>
                <w:lang w:val="en-US"/>
              </w:rPr>
              <w:t>PP: Month</w:t>
            </w:r>
            <w:r>
              <w:rPr>
                <w:lang w:val="en-US"/>
              </w:rPr>
              <w:t>s 12-24</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74B889C" w14:textId="3030D0A4" w:rsidR="00D259BD" w:rsidRPr="002F1CBE" w:rsidRDefault="00D259BD" w:rsidP="00D259BD">
            <w:pPr>
              <w:pStyle w:val="Tabletext0"/>
              <w:rPr>
                <w:szCs w:val="22"/>
                <w:lang w:val="en-US"/>
              </w:rPr>
            </w:pPr>
            <w:r>
              <w:rPr>
                <w:color w:val="000000"/>
                <w:szCs w:val="22"/>
              </w:rPr>
              <w:t>$1,971.38</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47C47494" w14:textId="5BC0EC42" w:rsidR="00D259BD" w:rsidRPr="002F1CBE" w:rsidRDefault="00D259BD" w:rsidP="00D259BD">
            <w:pPr>
              <w:pStyle w:val="Tabletext0"/>
              <w:rPr>
                <w:lang w:val="en-US"/>
              </w:rPr>
            </w:pPr>
            <w:r>
              <w:rPr>
                <w:szCs w:val="22"/>
              </w:rPr>
              <w:t>$1,337.20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56B93C8A" w14:textId="13348129" w:rsidR="00D259BD" w:rsidRPr="002F1CBE" w:rsidRDefault="00D259BD" w:rsidP="00D259BD">
            <w:pPr>
              <w:pStyle w:val="Tabletext0"/>
              <w:rPr>
                <w:lang w:val="en-US"/>
              </w:rPr>
            </w:pPr>
            <w:r>
              <w:rPr>
                <w:szCs w:val="22"/>
              </w:rPr>
              <w:t>$2,605.56</w:t>
            </w:r>
          </w:p>
        </w:tc>
        <w:tc>
          <w:tcPr>
            <w:tcW w:w="589" w:type="pct"/>
            <w:shd w:val="clear" w:color="auto" w:fill="auto"/>
            <w:noWrap/>
            <w:vAlign w:val="center"/>
          </w:tcPr>
          <w:p w14:paraId="1B544DC1" w14:textId="77777777" w:rsidR="00D259BD" w:rsidRPr="002F1CBE" w:rsidRDefault="00D259BD" w:rsidP="00D259BD">
            <w:pPr>
              <w:pStyle w:val="Tabletext0"/>
              <w:rPr>
                <w:szCs w:val="22"/>
                <w:lang w:val="en-US"/>
              </w:rPr>
            </w:pPr>
            <w:r w:rsidRPr="002F1CBE">
              <w:rPr>
                <w:lang w:val="en-US"/>
              </w:rPr>
              <w:t>Normal</w:t>
            </w:r>
          </w:p>
        </w:tc>
        <w:tc>
          <w:tcPr>
            <w:tcW w:w="588" w:type="pct"/>
            <w:vMerge/>
            <w:vAlign w:val="center"/>
          </w:tcPr>
          <w:p w14:paraId="4369CF93" w14:textId="77777777" w:rsidR="00D259BD" w:rsidRPr="002F1CBE" w:rsidRDefault="00D259BD" w:rsidP="00D259BD">
            <w:pPr>
              <w:pStyle w:val="Tabletext0"/>
              <w:rPr>
                <w:lang w:val="en-US"/>
              </w:rPr>
            </w:pPr>
          </w:p>
        </w:tc>
      </w:tr>
      <w:tr w:rsidR="00D259BD" w:rsidRPr="002F1CBE" w14:paraId="252FD75E" w14:textId="4D4D143E" w:rsidTr="00E74CCA">
        <w:trPr>
          <w:trHeight w:val="285"/>
        </w:trPr>
        <w:tc>
          <w:tcPr>
            <w:tcW w:w="1615" w:type="pct"/>
            <w:shd w:val="clear" w:color="auto" w:fill="auto"/>
            <w:noWrap/>
            <w:vAlign w:val="center"/>
          </w:tcPr>
          <w:p w14:paraId="4FFBFB74" w14:textId="56DB0841" w:rsidR="00D259BD" w:rsidRPr="002F1CBE" w:rsidRDefault="00D259BD" w:rsidP="00D259BD">
            <w:pPr>
              <w:pStyle w:val="Tabletext0"/>
              <w:rPr>
                <w:szCs w:val="22"/>
                <w:lang w:val="en-US"/>
              </w:rPr>
            </w:pPr>
            <w:r w:rsidRPr="002F1CBE">
              <w:rPr>
                <w:lang w:val="en-US"/>
              </w:rPr>
              <w:t>PP: 24+ months</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0EA66A3" w14:textId="2BD8988E" w:rsidR="00D259BD" w:rsidRPr="002F1CBE" w:rsidRDefault="00D259BD" w:rsidP="00D259BD">
            <w:pPr>
              <w:pStyle w:val="Tabletext0"/>
              <w:rPr>
                <w:szCs w:val="22"/>
                <w:lang w:val="en-US"/>
              </w:rPr>
            </w:pPr>
            <w:r>
              <w:rPr>
                <w:color w:val="000000"/>
                <w:szCs w:val="22"/>
              </w:rPr>
              <w:t>$1,327.66</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B70385C" w14:textId="2F614B7D" w:rsidR="00D259BD" w:rsidRPr="002F1CBE" w:rsidRDefault="00D259BD" w:rsidP="00D259BD">
            <w:pPr>
              <w:pStyle w:val="Tabletext0"/>
              <w:rPr>
                <w:lang w:val="en-US"/>
              </w:rPr>
            </w:pPr>
            <w:r>
              <w:rPr>
                <w:szCs w:val="22"/>
              </w:rPr>
              <w:t>$709.22</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6B2EDD4A" w14:textId="4299D453" w:rsidR="00D259BD" w:rsidRPr="002F1CBE" w:rsidRDefault="00D259BD" w:rsidP="00D259BD">
            <w:pPr>
              <w:pStyle w:val="Tabletext0"/>
              <w:rPr>
                <w:lang w:val="en-US"/>
              </w:rPr>
            </w:pPr>
            <w:r>
              <w:rPr>
                <w:szCs w:val="22"/>
              </w:rPr>
              <w:t>$1,946.11</w:t>
            </w:r>
          </w:p>
        </w:tc>
        <w:tc>
          <w:tcPr>
            <w:tcW w:w="589" w:type="pct"/>
            <w:shd w:val="clear" w:color="auto" w:fill="auto"/>
            <w:noWrap/>
            <w:vAlign w:val="center"/>
          </w:tcPr>
          <w:p w14:paraId="7FEC3EBD" w14:textId="77777777" w:rsidR="00D259BD" w:rsidRPr="002F1CBE" w:rsidRDefault="00D259BD" w:rsidP="00D259BD">
            <w:pPr>
              <w:pStyle w:val="Tabletext0"/>
              <w:rPr>
                <w:szCs w:val="22"/>
                <w:lang w:val="en-US"/>
              </w:rPr>
            </w:pPr>
            <w:r w:rsidRPr="002F1CBE">
              <w:rPr>
                <w:lang w:val="en-US"/>
              </w:rPr>
              <w:t>Normal</w:t>
            </w:r>
          </w:p>
        </w:tc>
        <w:tc>
          <w:tcPr>
            <w:tcW w:w="588" w:type="pct"/>
            <w:vMerge/>
            <w:vAlign w:val="center"/>
          </w:tcPr>
          <w:p w14:paraId="210E6033" w14:textId="77777777" w:rsidR="00D259BD" w:rsidRPr="002F1CBE" w:rsidRDefault="00D259BD" w:rsidP="00D259BD">
            <w:pPr>
              <w:pStyle w:val="Tabletext0"/>
              <w:rPr>
                <w:lang w:val="en-US"/>
              </w:rPr>
            </w:pPr>
          </w:p>
        </w:tc>
      </w:tr>
      <w:tr w:rsidR="00D259BD" w:rsidRPr="002F1CBE" w14:paraId="1F4B05B9" w14:textId="3F8D378E" w:rsidTr="00E74CCA">
        <w:trPr>
          <w:trHeight w:val="285"/>
        </w:trPr>
        <w:tc>
          <w:tcPr>
            <w:tcW w:w="1615" w:type="pct"/>
            <w:shd w:val="clear" w:color="auto" w:fill="auto"/>
            <w:noWrap/>
            <w:vAlign w:val="center"/>
          </w:tcPr>
          <w:p w14:paraId="3765EA9F" w14:textId="77777777" w:rsidR="00D259BD" w:rsidRPr="002F1CBE" w:rsidRDefault="00D259BD" w:rsidP="00D259BD">
            <w:pPr>
              <w:pStyle w:val="Tabletext0"/>
              <w:rPr>
                <w:szCs w:val="22"/>
                <w:lang w:val="en-US"/>
              </w:rPr>
            </w:pPr>
            <w:r w:rsidRPr="002F1CBE">
              <w:rPr>
                <w:lang w:val="en-US"/>
              </w:rPr>
              <w:t>Cost of end of life (last 30 days)</w:t>
            </w:r>
          </w:p>
        </w:tc>
        <w:tc>
          <w:tcPr>
            <w:tcW w:w="736" w:type="pct"/>
            <w:tcBorders>
              <w:top w:val="single" w:sz="4" w:space="0" w:color="auto"/>
            </w:tcBorders>
            <w:shd w:val="clear" w:color="auto" w:fill="auto"/>
            <w:noWrap/>
            <w:vAlign w:val="center"/>
          </w:tcPr>
          <w:p w14:paraId="5BE69573" w14:textId="22734CCB" w:rsidR="00D259BD" w:rsidRPr="002F1CBE" w:rsidRDefault="00D259BD" w:rsidP="00D259BD">
            <w:pPr>
              <w:pStyle w:val="Tabletext0"/>
              <w:rPr>
                <w:szCs w:val="22"/>
                <w:lang w:val="en-US"/>
              </w:rPr>
            </w:pPr>
            <w:r w:rsidRPr="002F1CBE">
              <w:rPr>
                <w:szCs w:val="22"/>
                <w:lang w:val="en-US"/>
              </w:rPr>
              <w:t>$9,</w:t>
            </w:r>
            <w:r>
              <w:rPr>
                <w:szCs w:val="22"/>
                <w:lang w:val="en-US"/>
              </w:rPr>
              <w:t>551.62</w:t>
            </w:r>
          </w:p>
        </w:tc>
        <w:tc>
          <w:tcPr>
            <w:tcW w:w="736" w:type="pct"/>
            <w:tcBorders>
              <w:top w:val="single" w:sz="4" w:space="0" w:color="auto"/>
            </w:tcBorders>
            <w:shd w:val="clear" w:color="auto" w:fill="auto"/>
            <w:noWrap/>
            <w:vAlign w:val="center"/>
          </w:tcPr>
          <w:p w14:paraId="380045C1" w14:textId="3C55DD04" w:rsidR="00D259BD" w:rsidRPr="002F1CBE" w:rsidRDefault="00D259BD" w:rsidP="00D259BD">
            <w:pPr>
              <w:pStyle w:val="Tabletext0"/>
              <w:rPr>
                <w:lang w:val="en-US"/>
              </w:rPr>
            </w:pPr>
            <w:r w:rsidRPr="002F1CBE">
              <w:rPr>
                <w:szCs w:val="22"/>
                <w:lang w:val="en-US"/>
              </w:rPr>
              <w:t>$7,</w:t>
            </w:r>
            <w:r>
              <w:rPr>
                <w:szCs w:val="22"/>
                <w:lang w:val="en-US"/>
              </w:rPr>
              <w:t>994.40</w:t>
            </w:r>
          </w:p>
        </w:tc>
        <w:tc>
          <w:tcPr>
            <w:tcW w:w="736" w:type="pct"/>
            <w:tcBorders>
              <w:top w:val="single" w:sz="4" w:space="0" w:color="auto"/>
            </w:tcBorders>
            <w:shd w:val="clear" w:color="auto" w:fill="auto"/>
            <w:noWrap/>
            <w:vAlign w:val="center"/>
          </w:tcPr>
          <w:p w14:paraId="7D80C2F1" w14:textId="450CB10E" w:rsidR="00D259BD" w:rsidRPr="002F1CBE" w:rsidRDefault="00D259BD" w:rsidP="00D259BD">
            <w:pPr>
              <w:pStyle w:val="Tabletext0"/>
              <w:rPr>
                <w:lang w:val="en-US"/>
              </w:rPr>
            </w:pPr>
            <w:r w:rsidRPr="002F1CBE">
              <w:rPr>
                <w:szCs w:val="22"/>
                <w:lang w:val="en-US"/>
              </w:rPr>
              <w:t>$</w:t>
            </w:r>
            <w:r>
              <w:rPr>
                <w:szCs w:val="22"/>
                <w:lang w:val="en-US"/>
              </w:rPr>
              <w:t>11,108.83</w:t>
            </w:r>
          </w:p>
        </w:tc>
        <w:tc>
          <w:tcPr>
            <w:tcW w:w="589" w:type="pct"/>
            <w:shd w:val="clear" w:color="auto" w:fill="auto"/>
            <w:noWrap/>
            <w:vAlign w:val="center"/>
          </w:tcPr>
          <w:p w14:paraId="4FC3A2D8" w14:textId="77777777" w:rsidR="00D259BD" w:rsidRPr="002F1CBE" w:rsidRDefault="00D259BD" w:rsidP="00D259BD">
            <w:pPr>
              <w:pStyle w:val="Tabletext0"/>
              <w:rPr>
                <w:szCs w:val="22"/>
                <w:lang w:val="en-US"/>
              </w:rPr>
            </w:pPr>
            <w:r w:rsidRPr="002F1CBE">
              <w:rPr>
                <w:lang w:val="en-US"/>
              </w:rPr>
              <w:t>Normal</w:t>
            </w:r>
          </w:p>
        </w:tc>
        <w:tc>
          <w:tcPr>
            <w:tcW w:w="588" w:type="pct"/>
            <w:vMerge/>
            <w:vAlign w:val="center"/>
          </w:tcPr>
          <w:p w14:paraId="279910D0" w14:textId="77777777" w:rsidR="00D259BD" w:rsidRPr="002F1CBE" w:rsidRDefault="00D259BD" w:rsidP="00D259BD">
            <w:pPr>
              <w:pStyle w:val="Tabletext0"/>
              <w:rPr>
                <w:lang w:val="en-US"/>
              </w:rPr>
            </w:pPr>
          </w:p>
        </w:tc>
      </w:tr>
      <w:tr w:rsidR="00E74CCA" w:rsidRPr="002F1CBE" w14:paraId="0FEEBEC8" w14:textId="77777777" w:rsidTr="00E74CCA">
        <w:trPr>
          <w:trHeight w:val="285"/>
        </w:trPr>
        <w:tc>
          <w:tcPr>
            <w:tcW w:w="5000" w:type="pct"/>
            <w:gridSpan w:val="6"/>
            <w:shd w:val="clear" w:color="auto" w:fill="auto"/>
            <w:noWrap/>
            <w:vAlign w:val="center"/>
          </w:tcPr>
          <w:p w14:paraId="30282A62" w14:textId="0E0EC39E" w:rsidR="00E74CCA" w:rsidRPr="00F7339B" w:rsidRDefault="00E74CCA" w:rsidP="00D259BD">
            <w:pPr>
              <w:pStyle w:val="Tabletext0"/>
              <w:rPr>
                <w:b/>
                <w:bCs w:val="0"/>
                <w:i/>
                <w:iCs/>
                <w:lang w:val="en-US"/>
              </w:rPr>
            </w:pPr>
            <w:r w:rsidRPr="00F7339B">
              <w:rPr>
                <w:b/>
                <w:bCs w:val="0"/>
                <w:i/>
                <w:iCs/>
                <w:lang w:val="en-US"/>
              </w:rPr>
              <w:t>Disease management costs by time to death</w:t>
            </w:r>
          </w:p>
        </w:tc>
      </w:tr>
      <w:tr w:rsidR="00E74CCA" w:rsidRPr="002F1CBE" w14:paraId="1F2ED0D2" w14:textId="77777777" w:rsidTr="00E74CCA">
        <w:trPr>
          <w:trHeight w:val="285"/>
        </w:trPr>
        <w:tc>
          <w:tcPr>
            <w:tcW w:w="1615" w:type="pct"/>
            <w:shd w:val="clear" w:color="auto" w:fill="auto"/>
            <w:noWrap/>
            <w:vAlign w:val="bottom"/>
          </w:tcPr>
          <w:p w14:paraId="5519B594" w14:textId="4E6A3ED1" w:rsidR="00E74CCA" w:rsidRPr="002F1CBE" w:rsidRDefault="00E74CCA" w:rsidP="00E74CCA">
            <w:pPr>
              <w:pStyle w:val="Tabletext0"/>
              <w:rPr>
                <w:lang w:val="en-US"/>
              </w:rPr>
            </w:pPr>
            <w:r>
              <w:rPr>
                <w:color w:val="000000"/>
                <w:szCs w:val="22"/>
              </w:rPr>
              <w:t xml:space="preserve">&gt;= 360 days </w:t>
            </w:r>
          </w:p>
        </w:tc>
        <w:tc>
          <w:tcPr>
            <w:tcW w:w="736" w:type="pct"/>
            <w:tcBorders>
              <w:top w:val="single" w:sz="4" w:space="0" w:color="auto"/>
            </w:tcBorders>
            <w:shd w:val="clear" w:color="auto" w:fill="auto"/>
            <w:noWrap/>
            <w:vAlign w:val="bottom"/>
          </w:tcPr>
          <w:p w14:paraId="5657CE13" w14:textId="5CF8C193" w:rsidR="00E74CCA" w:rsidRPr="002F1CBE" w:rsidRDefault="00E74CCA" w:rsidP="00E74CCA">
            <w:pPr>
              <w:pStyle w:val="Tabletext0"/>
              <w:rPr>
                <w:szCs w:val="22"/>
                <w:lang w:val="en-US"/>
              </w:rPr>
            </w:pPr>
            <w:r>
              <w:rPr>
                <w:color w:val="000000"/>
                <w:szCs w:val="22"/>
              </w:rPr>
              <w:t>$1,801.28</w:t>
            </w:r>
          </w:p>
        </w:tc>
        <w:tc>
          <w:tcPr>
            <w:tcW w:w="736" w:type="pct"/>
            <w:tcBorders>
              <w:top w:val="single" w:sz="4" w:space="0" w:color="auto"/>
            </w:tcBorders>
            <w:shd w:val="clear" w:color="auto" w:fill="auto"/>
            <w:noWrap/>
            <w:vAlign w:val="bottom"/>
          </w:tcPr>
          <w:p w14:paraId="01898A8B" w14:textId="4E270296" w:rsidR="00E74CCA" w:rsidRPr="002F1CBE" w:rsidRDefault="00E74CCA" w:rsidP="00E74CCA">
            <w:pPr>
              <w:pStyle w:val="Tabletext0"/>
              <w:rPr>
                <w:szCs w:val="22"/>
                <w:lang w:val="en-US"/>
              </w:rPr>
            </w:pPr>
            <w:r>
              <w:rPr>
                <w:color w:val="000000"/>
                <w:szCs w:val="22"/>
              </w:rPr>
              <w:t>$1,339.79</w:t>
            </w:r>
          </w:p>
        </w:tc>
        <w:tc>
          <w:tcPr>
            <w:tcW w:w="736" w:type="pct"/>
            <w:tcBorders>
              <w:top w:val="single" w:sz="4" w:space="0" w:color="auto"/>
            </w:tcBorders>
            <w:shd w:val="clear" w:color="auto" w:fill="auto"/>
            <w:noWrap/>
            <w:vAlign w:val="bottom"/>
          </w:tcPr>
          <w:p w14:paraId="1494AF98" w14:textId="499B1AB2" w:rsidR="00E74CCA" w:rsidRPr="002F1CBE" w:rsidRDefault="00E74CCA" w:rsidP="00E74CCA">
            <w:pPr>
              <w:pStyle w:val="Tabletext0"/>
              <w:rPr>
                <w:szCs w:val="22"/>
                <w:lang w:val="en-US"/>
              </w:rPr>
            </w:pPr>
            <w:r>
              <w:rPr>
                <w:color w:val="000000"/>
                <w:szCs w:val="22"/>
              </w:rPr>
              <w:t>$2,262.78</w:t>
            </w:r>
          </w:p>
        </w:tc>
        <w:tc>
          <w:tcPr>
            <w:tcW w:w="589" w:type="pct"/>
            <w:shd w:val="clear" w:color="auto" w:fill="auto"/>
            <w:noWrap/>
            <w:vAlign w:val="center"/>
          </w:tcPr>
          <w:p w14:paraId="27211D6F" w14:textId="5E5BEF36" w:rsidR="00E74CCA" w:rsidRPr="002F1CBE" w:rsidRDefault="00E74CCA" w:rsidP="00E74CCA">
            <w:pPr>
              <w:pStyle w:val="Tabletext0"/>
              <w:rPr>
                <w:lang w:val="en-US"/>
              </w:rPr>
            </w:pPr>
            <w:r w:rsidRPr="002F1CBE">
              <w:rPr>
                <w:lang w:val="en-US"/>
              </w:rPr>
              <w:t>Normal</w:t>
            </w:r>
          </w:p>
        </w:tc>
        <w:tc>
          <w:tcPr>
            <w:tcW w:w="588" w:type="pct"/>
            <w:vMerge w:val="restart"/>
            <w:vAlign w:val="center"/>
          </w:tcPr>
          <w:p w14:paraId="3C72E7AE" w14:textId="7CBEE0C5" w:rsidR="00E74CCA" w:rsidRPr="002F1CBE" w:rsidRDefault="00E74CCA" w:rsidP="00E74CCA">
            <w:pPr>
              <w:pStyle w:val="Tabletext0"/>
              <w:rPr>
                <w:lang w:val="en-US"/>
              </w:rPr>
            </w:pPr>
            <w:r>
              <w:rPr>
                <w:lang w:val="en-US"/>
              </w:rPr>
              <w:t>SEER study</w:t>
            </w:r>
            <w:r>
              <w:rPr>
                <w:lang w:val="en-US"/>
              </w:rPr>
              <w:fldChar w:fldCharType="begin"/>
            </w:r>
            <w:r>
              <w:rPr>
                <w:lang w:val="en-US"/>
              </w:rPr>
              <w:instrText xml:space="preserve"> ADDIN EN.CITE &lt;EndNote&gt;&lt;Cite&gt;&lt;Author&gt;Zhong&lt;/Author&gt;&lt;Year&gt;2019&lt;/Year&gt;&lt;RecNum&gt;64&lt;/RecNum&gt;&lt;DisplayText&gt;[5]&lt;/DisplayText&gt;&lt;record&gt;&lt;rec-number&gt;64&lt;/rec-number&gt;&lt;foreign-keys&gt;&lt;key app="EN" db-id="sv0re5vpexw0fmexwr6x0t91xt9zt5dxfxvz" timestamp="1554805735"&gt;64&lt;/key&gt;&lt;/foreign-keys&gt;&lt;ref-type name="Conference Proceedings"&gt;40&lt;/ref-type&gt;&lt;contributors&gt;&lt;authors&gt;&lt;author&gt;Zhong, Y.&lt;/author&gt;&lt;author&gt;Li, H.&lt;/author&gt;&lt;author&gt;He, J.&lt;/author&gt;&lt;author&gt;Lai, Y.&lt;/author&gt;&lt;author&gt;Pellissier, JM.&lt;/author&gt;&lt;/authors&gt;&lt;/contributors&gt;&lt;titles&gt;&lt;title&gt;C17 Pattern of Disease Management Costs for Advanced Bladder Cancer Patients Receiving Chemotherapy&lt;/title&gt;&lt;secondary-title&gt;AMCP Managed Care &amp;amp; Speciality Pharamacy Annual Meeting&lt;/secondary-title&gt;&lt;/titles&gt;&lt;dates&gt;&lt;year&gt;2019&lt;/year&gt;&lt;pub-dates&gt;&lt;date&gt;25-28 March&lt;/date&gt;&lt;/pub-dates&gt;&lt;/dates&gt;&lt;pub-location&gt;San Diego, California &lt;/pub-location&gt;&lt;publisher&gt;US&lt;/publisher&gt;&lt;urls&gt;&lt;related-urls&gt;&lt;url&gt;https://www.jmcp.org/doi/pdf/10.18553/jmcp.2019.25.3-a.s1&lt;/url&gt;&lt;/related-urls&gt;&lt;/urls&gt;&lt;/record&gt;&lt;/Cite&gt;&lt;/EndNote&gt;</w:instrText>
            </w:r>
            <w:r>
              <w:rPr>
                <w:lang w:val="en-US"/>
              </w:rPr>
              <w:fldChar w:fldCharType="separate"/>
            </w:r>
            <w:r>
              <w:rPr>
                <w:noProof/>
                <w:lang w:val="en-US"/>
              </w:rPr>
              <w:t>[5]</w:t>
            </w:r>
            <w:r>
              <w:rPr>
                <w:lang w:val="en-US"/>
              </w:rPr>
              <w:fldChar w:fldCharType="end"/>
            </w:r>
          </w:p>
        </w:tc>
      </w:tr>
      <w:tr w:rsidR="00E74CCA" w:rsidRPr="002F1CBE" w14:paraId="195EE43C" w14:textId="77777777" w:rsidTr="00E74CCA">
        <w:trPr>
          <w:trHeight w:val="285"/>
        </w:trPr>
        <w:tc>
          <w:tcPr>
            <w:tcW w:w="1615" w:type="pct"/>
            <w:shd w:val="clear" w:color="auto" w:fill="auto"/>
            <w:noWrap/>
            <w:vAlign w:val="bottom"/>
          </w:tcPr>
          <w:p w14:paraId="620DD8E9" w14:textId="07F4CE93" w:rsidR="00E74CCA" w:rsidRPr="002F1CBE" w:rsidRDefault="00E74CCA" w:rsidP="00E74CCA">
            <w:pPr>
              <w:pStyle w:val="Tabletext0"/>
              <w:rPr>
                <w:lang w:val="en-US"/>
              </w:rPr>
            </w:pPr>
            <w:r>
              <w:rPr>
                <w:color w:val="000000"/>
                <w:szCs w:val="22"/>
              </w:rPr>
              <w:t xml:space="preserve">[180,360) days </w:t>
            </w:r>
          </w:p>
        </w:tc>
        <w:tc>
          <w:tcPr>
            <w:tcW w:w="736" w:type="pct"/>
            <w:tcBorders>
              <w:top w:val="single" w:sz="4" w:space="0" w:color="auto"/>
            </w:tcBorders>
            <w:shd w:val="clear" w:color="auto" w:fill="auto"/>
            <w:noWrap/>
            <w:vAlign w:val="bottom"/>
          </w:tcPr>
          <w:p w14:paraId="48474D91" w14:textId="55A59CB7" w:rsidR="00E74CCA" w:rsidRPr="002F1CBE" w:rsidRDefault="00E74CCA" w:rsidP="00E74CCA">
            <w:pPr>
              <w:pStyle w:val="Tabletext0"/>
              <w:rPr>
                <w:szCs w:val="22"/>
                <w:lang w:val="en-US"/>
              </w:rPr>
            </w:pPr>
            <w:r>
              <w:rPr>
                <w:color w:val="000000"/>
                <w:szCs w:val="22"/>
              </w:rPr>
              <w:t>$2,384.51</w:t>
            </w:r>
          </w:p>
        </w:tc>
        <w:tc>
          <w:tcPr>
            <w:tcW w:w="736" w:type="pct"/>
            <w:tcBorders>
              <w:top w:val="single" w:sz="4" w:space="0" w:color="auto"/>
            </w:tcBorders>
            <w:shd w:val="clear" w:color="auto" w:fill="auto"/>
            <w:noWrap/>
            <w:vAlign w:val="bottom"/>
          </w:tcPr>
          <w:p w14:paraId="7277953B" w14:textId="4D7A04FA" w:rsidR="00E74CCA" w:rsidRPr="002F1CBE" w:rsidRDefault="00E74CCA" w:rsidP="00E74CCA">
            <w:pPr>
              <w:pStyle w:val="Tabletext0"/>
              <w:rPr>
                <w:szCs w:val="22"/>
                <w:lang w:val="en-US"/>
              </w:rPr>
            </w:pPr>
            <w:r>
              <w:rPr>
                <w:color w:val="000000"/>
                <w:szCs w:val="22"/>
              </w:rPr>
              <w:t>$1,731.46</w:t>
            </w:r>
          </w:p>
        </w:tc>
        <w:tc>
          <w:tcPr>
            <w:tcW w:w="736" w:type="pct"/>
            <w:tcBorders>
              <w:top w:val="single" w:sz="4" w:space="0" w:color="auto"/>
            </w:tcBorders>
            <w:shd w:val="clear" w:color="auto" w:fill="auto"/>
            <w:noWrap/>
            <w:vAlign w:val="bottom"/>
          </w:tcPr>
          <w:p w14:paraId="70A4E54D" w14:textId="5D1DC542" w:rsidR="00E74CCA" w:rsidRPr="002F1CBE" w:rsidRDefault="00E74CCA" w:rsidP="00E74CCA">
            <w:pPr>
              <w:pStyle w:val="Tabletext0"/>
              <w:rPr>
                <w:szCs w:val="22"/>
                <w:lang w:val="en-US"/>
              </w:rPr>
            </w:pPr>
            <w:r>
              <w:rPr>
                <w:color w:val="000000"/>
                <w:szCs w:val="22"/>
              </w:rPr>
              <w:t>$3,037.55</w:t>
            </w:r>
          </w:p>
        </w:tc>
        <w:tc>
          <w:tcPr>
            <w:tcW w:w="589" w:type="pct"/>
            <w:shd w:val="clear" w:color="auto" w:fill="auto"/>
            <w:noWrap/>
            <w:vAlign w:val="center"/>
          </w:tcPr>
          <w:p w14:paraId="00FDB855" w14:textId="5A255808" w:rsidR="00E74CCA" w:rsidRPr="002F1CBE" w:rsidRDefault="00E74CCA" w:rsidP="00E74CCA">
            <w:pPr>
              <w:pStyle w:val="Tabletext0"/>
              <w:rPr>
                <w:lang w:val="en-US"/>
              </w:rPr>
            </w:pPr>
            <w:r w:rsidRPr="002F1CBE">
              <w:rPr>
                <w:lang w:val="en-US"/>
              </w:rPr>
              <w:t>Normal</w:t>
            </w:r>
          </w:p>
        </w:tc>
        <w:tc>
          <w:tcPr>
            <w:tcW w:w="588" w:type="pct"/>
            <w:vMerge/>
            <w:vAlign w:val="center"/>
          </w:tcPr>
          <w:p w14:paraId="20954403" w14:textId="77777777" w:rsidR="00E74CCA" w:rsidRPr="002F1CBE" w:rsidRDefault="00E74CCA" w:rsidP="00E74CCA">
            <w:pPr>
              <w:pStyle w:val="Tabletext0"/>
              <w:rPr>
                <w:lang w:val="en-US"/>
              </w:rPr>
            </w:pPr>
          </w:p>
        </w:tc>
      </w:tr>
      <w:tr w:rsidR="00E74CCA" w:rsidRPr="002F1CBE" w14:paraId="5231C968" w14:textId="77777777" w:rsidTr="00E74CCA">
        <w:trPr>
          <w:trHeight w:val="285"/>
        </w:trPr>
        <w:tc>
          <w:tcPr>
            <w:tcW w:w="1615" w:type="pct"/>
            <w:shd w:val="clear" w:color="auto" w:fill="auto"/>
            <w:noWrap/>
            <w:vAlign w:val="bottom"/>
          </w:tcPr>
          <w:p w14:paraId="6866992A" w14:textId="65AF09B0" w:rsidR="00E74CCA" w:rsidRPr="002F1CBE" w:rsidRDefault="00E74CCA" w:rsidP="00E74CCA">
            <w:pPr>
              <w:pStyle w:val="Tabletext0"/>
              <w:rPr>
                <w:lang w:val="en-US"/>
              </w:rPr>
            </w:pPr>
            <w:r>
              <w:rPr>
                <w:color w:val="000000"/>
                <w:szCs w:val="22"/>
              </w:rPr>
              <w:t xml:space="preserve">[90, 180) days </w:t>
            </w:r>
          </w:p>
        </w:tc>
        <w:tc>
          <w:tcPr>
            <w:tcW w:w="736" w:type="pct"/>
            <w:tcBorders>
              <w:top w:val="single" w:sz="4" w:space="0" w:color="auto"/>
            </w:tcBorders>
            <w:shd w:val="clear" w:color="auto" w:fill="auto"/>
            <w:noWrap/>
            <w:vAlign w:val="bottom"/>
          </w:tcPr>
          <w:p w14:paraId="430ECDC4" w14:textId="07139C87" w:rsidR="00E74CCA" w:rsidRPr="002F1CBE" w:rsidRDefault="00E74CCA" w:rsidP="00E74CCA">
            <w:pPr>
              <w:pStyle w:val="Tabletext0"/>
              <w:rPr>
                <w:szCs w:val="22"/>
                <w:lang w:val="en-US"/>
              </w:rPr>
            </w:pPr>
            <w:r>
              <w:rPr>
                <w:color w:val="000000"/>
                <w:szCs w:val="22"/>
              </w:rPr>
              <w:t>$2,066.67</w:t>
            </w:r>
          </w:p>
        </w:tc>
        <w:tc>
          <w:tcPr>
            <w:tcW w:w="736" w:type="pct"/>
            <w:tcBorders>
              <w:top w:val="single" w:sz="4" w:space="0" w:color="auto"/>
            </w:tcBorders>
            <w:shd w:val="clear" w:color="auto" w:fill="auto"/>
            <w:noWrap/>
            <w:vAlign w:val="bottom"/>
          </w:tcPr>
          <w:p w14:paraId="29F8B0C5" w14:textId="166896A0" w:rsidR="00E74CCA" w:rsidRPr="002F1CBE" w:rsidRDefault="00E74CCA" w:rsidP="00E74CCA">
            <w:pPr>
              <w:pStyle w:val="Tabletext0"/>
              <w:rPr>
                <w:szCs w:val="22"/>
                <w:lang w:val="en-US"/>
              </w:rPr>
            </w:pPr>
            <w:r>
              <w:rPr>
                <w:color w:val="000000"/>
                <w:szCs w:val="22"/>
              </w:rPr>
              <w:t>$1,706.04</w:t>
            </w:r>
          </w:p>
        </w:tc>
        <w:tc>
          <w:tcPr>
            <w:tcW w:w="736" w:type="pct"/>
            <w:tcBorders>
              <w:top w:val="single" w:sz="4" w:space="0" w:color="auto"/>
            </w:tcBorders>
            <w:shd w:val="clear" w:color="auto" w:fill="auto"/>
            <w:noWrap/>
            <w:vAlign w:val="bottom"/>
          </w:tcPr>
          <w:p w14:paraId="44A243DE" w14:textId="456738B7" w:rsidR="00E74CCA" w:rsidRPr="002F1CBE" w:rsidRDefault="00E74CCA" w:rsidP="00E74CCA">
            <w:pPr>
              <w:pStyle w:val="Tabletext0"/>
              <w:rPr>
                <w:szCs w:val="22"/>
                <w:lang w:val="en-US"/>
              </w:rPr>
            </w:pPr>
            <w:r>
              <w:rPr>
                <w:color w:val="000000"/>
                <w:szCs w:val="22"/>
              </w:rPr>
              <w:t>$2,427.31</w:t>
            </w:r>
          </w:p>
        </w:tc>
        <w:tc>
          <w:tcPr>
            <w:tcW w:w="589" w:type="pct"/>
            <w:shd w:val="clear" w:color="auto" w:fill="auto"/>
            <w:noWrap/>
            <w:vAlign w:val="center"/>
          </w:tcPr>
          <w:p w14:paraId="20126E5F" w14:textId="23F78DFD" w:rsidR="00E74CCA" w:rsidRPr="002F1CBE" w:rsidRDefault="00E74CCA" w:rsidP="00E74CCA">
            <w:pPr>
              <w:pStyle w:val="Tabletext0"/>
              <w:rPr>
                <w:lang w:val="en-US"/>
              </w:rPr>
            </w:pPr>
            <w:r w:rsidRPr="002F1CBE">
              <w:rPr>
                <w:lang w:val="en-US"/>
              </w:rPr>
              <w:t>Normal</w:t>
            </w:r>
          </w:p>
        </w:tc>
        <w:tc>
          <w:tcPr>
            <w:tcW w:w="588" w:type="pct"/>
            <w:vMerge/>
            <w:vAlign w:val="center"/>
          </w:tcPr>
          <w:p w14:paraId="7E20FA5D" w14:textId="77777777" w:rsidR="00E74CCA" w:rsidRPr="002F1CBE" w:rsidRDefault="00E74CCA" w:rsidP="00E74CCA">
            <w:pPr>
              <w:pStyle w:val="Tabletext0"/>
              <w:rPr>
                <w:lang w:val="en-US"/>
              </w:rPr>
            </w:pPr>
          </w:p>
        </w:tc>
      </w:tr>
      <w:tr w:rsidR="00E74CCA" w:rsidRPr="002F1CBE" w14:paraId="76E7DA0E" w14:textId="77777777" w:rsidTr="00E74CCA">
        <w:trPr>
          <w:trHeight w:val="285"/>
        </w:trPr>
        <w:tc>
          <w:tcPr>
            <w:tcW w:w="1615" w:type="pct"/>
            <w:shd w:val="clear" w:color="auto" w:fill="auto"/>
            <w:noWrap/>
            <w:vAlign w:val="bottom"/>
          </w:tcPr>
          <w:p w14:paraId="5B086BED" w14:textId="6B0EDDA7" w:rsidR="00E74CCA" w:rsidRPr="002F1CBE" w:rsidRDefault="00E74CCA" w:rsidP="00E74CCA">
            <w:pPr>
              <w:pStyle w:val="Tabletext0"/>
              <w:rPr>
                <w:lang w:val="en-US"/>
              </w:rPr>
            </w:pPr>
            <w:r>
              <w:rPr>
                <w:color w:val="000000"/>
                <w:szCs w:val="22"/>
              </w:rPr>
              <w:t xml:space="preserve">[30, 90) days </w:t>
            </w:r>
          </w:p>
        </w:tc>
        <w:tc>
          <w:tcPr>
            <w:tcW w:w="736" w:type="pct"/>
            <w:tcBorders>
              <w:top w:val="single" w:sz="4" w:space="0" w:color="auto"/>
            </w:tcBorders>
            <w:shd w:val="clear" w:color="auto" w:fill="auto"/>
            <w:noWrap/>
            <w:vAlign w:val="bottom"/>
          </w:tcPr>
          <w:p w14:paraId="6D21586F" w14:textId="345A3918" w:rsidR="00E74CCA" w:rsidRPr="002F1CBE" w:rsidRDefault="00E74CCA" w:rsidP="00E74CCA">
            <w:pPr>
              <w:pStyle w:val="Tabletext0"/>
              <w:rPr>
                <w:szCs w:val="22"/>
                <w:lang w:val="en-US"/>
              </w:rPr>
            </w:pPr>
            <w:r>
              <w:rPr>
                <w:color w:val="000000"/>
                <w:szCs w:val="22"/>
              </w:rPr>
              <w:t>$3,440.62</w:t>
            </w:r>
          </w:p>
        </w:tc>
        <w:tc>
          <w:tcPr>
            <w:tcW w:w="736" w:type="pct"/>
            <w:tcBorders>
              <w:top w:val="single" w:sz="4" w:space="0" w:color="auto"/>
            </w:tcBorders>
            <w:shd w:val="clear" w:color="auto" w:fill="auto"/>
            <w:noWrap/>
            <w:vAlign w:val="bottom"/>
          </w:tcPr>
          <w:p w14:paraId="334A8566" w14:textId="044D1714" w:rsidR="00E74CCA" w:rsidRPr="002F1CBE" w:rsidRDefault="00E74CCA" w:rsidP="00E74CCA">
            <w:pPr>
              <w:pStyle w:val="Tabletext0"/>
              <w:rPr>
                <w:szCs w:val="22"/>
                <w:lang w:val="en-US"/>
              </w:rPr>
            </w:pPr>
            <w:r>
              <w:rPr>
                <w:color w:val="000000"/>
                <w:szCs w:val="22"/>
              </w:rPr>
              <w:t>$2,697.50</w:t>
            </w:r>
          </w:p>
        </w:tc>
        <w:tc>
          <w:tcPr>
            <w:tcW w:w="736" w:type="pct"/>
            <w:tcBorders>
              <w:top w:val="single" w:sz="4" w:space="0" w:color="auto"/>
            </w:tcBorders>
            <w:shd w:val="clear" w:color="auto" w:fill="auto"/>
            <w:noWrap/>
            <w:vAlign w:val="bottom"/>
          </w:tcPr>
          <w:p w14:paraId="4CEC6342" w14:textId="1C7B0713" w:rsidR="00E74CCA" w:rsidRPr="002F1CBE" w:rsidRDefault="00E74CCA" w:rsidP="00E74CCA">
            <w:pPr>
              <w:pStyle w:val="Tabletext0"/>
              <w:rPr>
                <w:szCs w:val="22"/>
                <w:lang w:val="en-US"/>
              </w:rPr>
            </w:pPr>
            <w:r>
              <w:rPr>
                <w:color w:val="000000"/>
                <w:szCs w:val="22"/>
              </w:rPr>
              <w:t>$4,183.74</w:t>
            </w:r>
          </w:p>
        </w:tc>
        <w:tc>
          <w:tcPr>
            <w:tcW w:w="589" w:type="pct"/>
            <w:shd w:val="clear" w:color="auto" w:fill="auto"/>
            <w:noWrap/>
            <w:vAlign w:val="center"/>
          </w:tcPr>
          <w:p w14:paraId="23A8C693" w14:textId="36CB2F35" w:rsidR="00E74CCA" w:rsidRPr="002F1CBE" w:rsidRDefault="00E74CCA" w:rsidP="00E74CCA">
            <w:pPr>
              <w:pStyle w:val="Tabletext0"/>
              <w:rPr>
                <w:lang w:val="en-US"/>
              </w:rPr>
            </w:pPr>
            <w:r w:rsidRPr="002F1CBE">
              <w:rPr>
                <w:lang w:val="en-US"/>
              </w:rPr>
              <w:t>Normal</w:t>
            </w:r>
          </w:p>
        </w:tc>
        <w:tc>
          <w:tcPr>
            <w:tcW w:w="588" w:type="pct"/>
            <w:vMerge/>
            <w:vAlign w:val="center"/>
          </w:tcPr>
          <w:p w14:paraId="1CD6C8F3" w14:textId="77777777" w:rsidR="00E74CCA" w:rsidRPr="002F1CBE" w:rsidRDefault="00E74CCA" w:rsidP="00E74CCA">
            <w:pPr>
              <w:pStyle w:val="Tabletext0"/>
              <w:rPr>
                <w:lang w:val="en-US"/>
              </w:rPr>
            </w:pPr>
          </w:p>
        </w:tc>
      </w:tr>
      <w:tr w:rsidR="00E74CCA" w:rsidRPr="002F1CBE" w14:paraId="2878464F" w14:textId="77777777" w:rsidTr="00E74CCA">
        <w:trPr>
          <w:trHeight w:val="285"/>
        </w:trPr>
        <w:tc>
          <w:tcPr>
            <w:tcW w:w="1615" w:type="pct"/>
            <w:shd w:val="clear" w:color="auto" w:fill="auto"/>
            <w:noWrap/>
            <w:vAlign w:val="center"/>
          </w:tcPr>
          <w:p w14:paraId="37A54BBD" w14:textId="2BDECCC9" w:rsidR="00E74CCA" w:rsidRPr="002F1CBE" w:rsidRDefault="00E74CCA" w:rsidP="00E74CCA">
            <w:pPr>
              <w:pStyle w:val="Tabletext0"/>
              <w:rPr>
                <w:lang w:val="en-US"/>
              </w:rPr>
            </w:pPr>
            <w:r w:rsidRPr="002F1CBE">
              <w:rPr>
                <w:lang w:val="en-US"/>
              </w:rPr>
              <w:t>Cost of end of life (last 30 days)</w:t>
            </w:r>
          </w:p>
        </w:tc>
        <w:tc>
          <w:tcPr>
            <w:tcW w:w="736" w:type="pct"/>
            <w:tcBorders>
              <w:top w:val="single" w:sz="4" w:space="0" w:color="auto"/>
            </w:tcBorders>
            <w:shd w:val="clear" w:color="auto" w:fill="auto"/>
            <w:noWrap/>
            <w:vAlign w:val="center"/>
          </w:tcPr>
          <w:p w14:paraId="5B5766DA" w14:textId="1D630E44" w:rsidR="00E74CCA" w:rsidRPr="002F1CBE" w:rsidRDefault="00E74CCA" w:rsidP="00E74CCA">
            <w:pPr>
              <w:pStyle w:val="Tabletext0"/>
              <w:rPr>
                <w:szCs w:val="22"/>
                <w:lang w:val="en-US"/>
              </w:rPr>
            </w:pPr>
            <w:r w:rsidRPr="002F1CBE">
              <w:rPr>
                <w:szCs w:val="22"/>
                <w:lang w:val="en-US"/>
              </w:rPr>
              <w:t>$9,</w:t>
            </w:r>
            <w:r>
              <w:rPr>
                <w:szCs w:val="22"/>
                <w:lang w:val="en-US"/>
              </w:rPr>
              <w:t>551.62</w:t>
            </w:r>
          </w:p>
        </w:tc>
        <w:tc>
          <w:tcPr>
            <w:tcW w:w="736" w:type="pct"/>
            <w:tcBorders>
              <w:top w:val="single" w:sz="4" w:space="0" w:color="auto"/>
            </w:tcBorders>
            <w:shd w:val="clear" w:color="auto" w:fill="auto"/>
            <w:noWrap/>
            <w:vAlign w:val="center"/>
          </w:tcPr>
          <w:p w14:paraId="4311A731" w14:textId="7C2718F9" w:rsidR="00E74CCA" w:rsidRPr="002F1CBE" w:rsidRDefault="00E74CCA" w:rsidP="00E74CCA">
            <w:pPr>
              <w:pStyle w:val="Tabletext0"/>
              <w:rPr>
                <w:szCs w:val="22"/>
                <w:lang w:val="en-US"/>
              </w:rPr>
            </w:pPr>
            <w:r w:rsidRPr="002F1CBE">
              <w:rPr>
                <w:szCs w:val="22"/>
                <w:lang w:val="en-US"/>
              </w:rPr>
              <w:t>$7,</w:t>
            </w:r>
            <w:r>
              <w:rPr>
                <w:szCs w:val="22"/>
                <w:lang w:val="en-US"/>
              </w:rPr>
              <w:t>994.40</w:t>
            </w:r>
          </w:p>
        </w:tc>
        <w:tc>
          <w:tcPr>
            <w:tcW w:w="736" w:type="pct"/>
            <w:tcBorders>
              <w:top w:val="single" w:sz="4" w:space="0" w:color="auto"/>
            </w:tcBorders>
            <w:shd w:val="clear" w:color="auto" w:fill="auto"/>
            <w:noWrap/>
            <w:vAlign w:val="center"/>
          </w:tcPr>
          <w:p w14:paraId="1747CF28" w14:textId="02F5F33C" w:rsidR="00E74CCA" w:rsidRPr="002F1CBE" w:rsidRDefault="00E74CCA" w:rsidP="00E74CCA">
            <w:pPr>
              <w:pStyle w:val="Tabletext0"/>
              <w:rPr>
                <w:szCs w:val="22"/>
                <w:lang w:val="en-US"/>
              </w:rPr>
            </w:pPr>
            <w:r w:rsidRPr="002F1CBE">
              <w:rPr>
                <w:szCs w:val="22"/>
                <w:lang w:val="en-US"/>
              </w:rPr>
              <w:t>$</w:t>
            </w:r>
            <w:r>
              <w:rPr>
                <w:szCs w:val="22"/>
                <w:lang w:val="en-US"/>
              </w:rPr>
              <w:t>11,108.83</w:t>
            </w:r>
          </w:p>
        </w:tc>
        <w:tc>
          <w:tcPr>
            <w:tcW w:w="589" w:type="pct"/>
            <w:shd w:val="clear" w:color="auto" w:fill="auto"/>
            <w:noWrap/>
            <w:vAlign w:val="center"/>
          </w:tcPr>
          <w:p w14:paraId="38E2E888" w14:textId="3080F221" w:rsidR="00E74CCA" w:rsidRPr="002F1CBE" w:rsidRDefault="00E74CCA" w:rsidP="00E74CCA">
            <w:pPr>
              <w:pStyle w:val="Tabletext0"/>
              <w:rPr>
                <w:lang w:val="en-US"/>
              </w:rPr>
            </w:pPr>
            <w:r w:rsidRPr="002F1CBE">
              <w:rPr>
                <w:lang w:val="en-US"/>
              </w:rPr>
              <w:t>Normal</w:t>
            </w:r>
          </w:p>
        </w:tc>
        <w:tc>
          <w:tcPr>
            <w:tcW w:w="588" w:type="pct"/>
            <w:vMerge/>
            <w:vAlign w:val="center"/>
          </w:tcPr>
          <w:p w14:paraId="73FF6951" w14:textId="77777777" w:rsidR="00E74CCA" w:rsidRPr="002F1CBE" w:rsidRDefault="00E74CCA" w:rsidP="00E74CCA">
            <w:pPr>
              <w:pStyle w:val="Tabletext0"/>
              <w:rPr>
                <w:lang w:val="en-US"/>
              </w:rPr>
            </w:pPr>
          </w:p>
        </w:tc>
      </w:tr>
      <w:tr w:rsidR="00E74CCA" w:rsidRPr="002F1CBE" w14:paraId="7FB0362D" w14:textId="3626C751" w:rsidTr="00A00B39">
        <w:trPr>
          <w:trHeight w:val="315"/>
        </w:trPr>
        <w:tc>
          <w:tcPr>
            <w:tcW w:w="5000" w:type="pct"/>
            <w:gridSpan w:val="6"/>
            <w:shd w:val="clear" w:color="auto" w:fill="auto"/>
            <w:noWrap/>
            <w:vAlign w:val="center"/>
          </w:tcPr>
          <w:p w14:paraId="08B93A68" w14:textId="5C8EE007" w:rsidR="00E74CCA" w:rsidRPr="002F1CBE" w:rsidRDefault="00E74CCA" w:rsidP="00E74CCA">
            <w:pPr>
              <w:pStyle w:val="Tabletext0"/>
              <w:rPr>
                <w:b/>
                <w:i/>
                <w:szCs w:val="22"/>
                <w:lang w:val="en-US"/>
              </w:rPr>
            </w:pPr>
            <w:r w:rsidRPr="002F1CBE">
              <w:rPr>
                <w:b/>
                <w:i/>
                <w:szCs w:val="22"/>
                <w:lang w:val="en-US"/>
              </w:rPr>
              <w:lastRenderedPageBreak/>
              <w:t>Adverse events</w:t>
            </w:r>
          </w:p>
        </w:tc>
      </w:tr>
      <w:tr w:rsidR="00E74CCA" w:rsidRPr="002F1CBE" w14:paraId="029AC052" w14:textId="4502624D" w:rsidTr="00A00B39">
        <w:trPr>
          <w:trHeight w:val="315"/>
        </w:trPr>
        <w:tc>
          <w:tcPr>
            <w:tcW w:w="5000" w:type="pct"/>
            <w:gridSpan w:val="6"/>
            <w:shd w:val="clear" w:color="auto" w:fill="auto"/>
            <w:noWrap/>
            <w:vAlign w:val="center"/>
            <w:hideMark/>
          </w:tcPr>
          <w:p w14:paraId="0781F87F" w14:textId="2C4CC7BF" w:rsidR="00E74CCA" w:rsidRPr="002F1CBE" w:rsidRDefault="00E74CCA" w:rsidP="00E74CCA">
            <w:pPr>
              <w:pStyle w:val="Tabletext0"/>
              <w:rPr>
                <w:b/>
                <w:i/>
                <w:szCs w:val="22"/>
                <w:lang w:val="en-US"/>
              </w:rPr>
            </w:pPr>
            <w:r w:rsidRPr="002F1CBE">
              <w:rPr>
                <w:b/>
                <w:i/>
                <w:szCs w:val="22"/>
                <w:lang w:val="en-US"/>
              </w:rPr>
              <w:t>% AE pembrolizumab</w:t>
            </w:r>
          </w:p>
        </w:tc>
      </w:tr>
      <w:tr w:rsidR="00E74CCA" w:rsidRPr="002F1CBE" w14:paraId="3F754B3E" w14:textId="2026CF6B" w:rsidTr="00E74CCA">
        <w:trPr>
          <w:trHeight w:val="285"/>
        </w:trPr>
        <w:tc>
          <w:tcPr>
            <w:tcW w:w="1615" w:type="pct"/>
            <w:shd w:val="clear" w:color="auto" w:fill="auto"/>
            <w:noWrap/>
            <w:vAlign w:val="center"/>
          </w:tcPr>
          <w:p w14:paraId="05D0C3CA" w14:textId="498AB729" w:rsidR="00E74CCA" w:rsidRPr="002F1CBE" w:rsidRDefault="00E74CCA" w:rsidP="00E74CCA">
            <w:pPr>
              <w:pStyle w:val="Tabletext0"/>
              <w:rPr>
                <w:szCs w:val="22"/>
                <w:lang w:val="en-US"/>
              </w:rPr>
            </w:pPr>
            <w:r w:rsidRPr="002F1CBE">
              <w:rPr>
                <w:lang w:val="en-US"/>
              </w:rPr>
              <w:t>Anemia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34F3C021" w14:textId="77E14A9E" w:rsidR="00E74CCA" w:rsidRPr="002F1CBE" w:rsidRDefault="00E74CCA" w:rsidP="00E74CCA">
            <w:pPr>
              <w:pStyle w:val="Tabletext0"/>
              <w:rPr>
                <w:szCs w:val="22"/>
                <w:lang w:val="en-US"/>
              </w:rPr>
            </w:pPr>
            <w:r>
              <w:rPr>
                <w:color w:val="000000"/>
                <w:szCs w:val="22"/>
              </w:rPr>
              <w:t>0.75%</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1E6EC0" w14:textId="18F87FB8" w:rsidR="00E74CCA" w:rsidRPr="002F1CBE" w:rsidRDefault="00E74CCA" w:rsidP="00E74CCA">
            <w:pPr>
              <w:pStyle w:val="Tabletext0"/>
              <w:rPr>
                <w:szCs w:val="22"/>
                <w:lang w:val="en-US"/>
              </w:rPr>
            </w:pPr>
            <w:r>
              <w:rPr>
                <w:color w:val="000000"/>
                <w:szCs w:val="22"/>
              </w:rPr>
              <w:t>0.16%</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588B6BE4" w14:textId="1048741D" w:rsidR="00E74CCA" w:rsidRPr="002F1CBE" w:rsidRDefault="00E74CCA" w:rsidP="00E74CCA">
            <w:pPr>
              <w:pStyle w:val="Tabletext0"/>
              <w:rPr>
                <w:szCs w:val="22"/>
                <w:lang w:val="en-US"/>
              </w:rPr>
            </w:pPr>
            <w:r>
              <w:rPr>
                <w:color w:val="000000"/>
                <w:szCs w:val="22"/>
              </w:rPr>
              <w:t>2.39%</w:t>
            </w:r>
          </w:p>
        </w:tc>
        <w:tc>
          <w:tcPr>
            <w:tcW w:w="589" w:type="pct"/>
            <w:shd w:val="clear" w:color="auto" w:fill="auto"/>
            <w:noWrap/>
            <w:vAlign w:val="center"/>
          </w:tcPr>
          <w:p w14:paraId="77B6EB7E" w14:textId="77777777" w:rsidR="00E74CCA" w:rsidRPr="002F1CBE" w:rsidRDefault="00E74CCA" w:rsidP="00E74CCA">
            <w:pPr>
              <w:pStyle w:val="Tabletext0"/>
              <w:rPr>
                <w:szCs w:val="22"/>
                <w:lang w:val="en-US"/>
              </w:rPr>
            </w:pPr>
            <w:r w:rsidRPr="002F1CBE">
              <w:rPr>
                <w:szCs w:val="22"/>
                <w:lang w:val="en-US"/>
              </w:rPr>
              <w:t>Beta</w:t>
            </w:r>
          </w:p>
        </w:tc>
        <w:tc>
          <w:tcPr>
            <w:tcW w:w="588" w:type="pct"/>
            <w:vMerge w:val="restart"/>
            <w:vAlign w:val="center"/>
          </w:tcPr>
          <w:p w14:paraId="0BF006F4" w14:textId="7CC6FA49" w:rsidR="00E74CCA" w:rsidRPr="002F1CBE" w:rsidRDefault="00E74CCA" w:rsidP="00E74CCA">
            <w:pPr>
              <w:pStyle w:val="Tabletext0"/>
              <w:rPr>
                <w:szCs w:val="22"/>
                <w:lang w:val="en-US"/>
              </w:rPr>
            </w:pPr>
            <w:r>
              <w:rPr>
                <w:szCs w:val="22"/>
                <w:lang w:val="en-US"/>
              </w:rPr>
              <w:t>KN-045</w:t>
            </w:r>
          </w:p>
        </w:tc>
      </w:tr>
      <w:tr w:rsidR="00E74CCA" w:rsidRPr="002F1CBE" w14:paraId="7B0E55D1" w14:textId="12477245" w:rsidTr="00E74CCA">
        <w:trPr>
          <w:trHeight w:val="285"/>
        </w:trPr>
        <w:tc>
          <w:tcPr>
            <w:tcW w:w="1615" w:type="pct"/>
            <w:shd w:val="clear" w:color="auto" w:fill="auto"/>
            <w:noWrap/>
            <w:vAlign w:val="center"/>
          </w:tcPr>
          <w:p w14:paraId="11D456C7" w14:textId="741E0393" w:rsidR="00E74CCA" w:rsidRPr="002F1CBE" w:rsidRDefault="00E74CCA" w:rsidP="00E74CCA">
            <w:pPr>
              <w:pStyle w:val="Tabletext0"/>
              <w:rPr>
                <w:szCs w:val="22"/>
                <w:lang w:val="en-US"/>
              </w:rPr>
            </w:pPr>
            <w:r w:rsidRPr="002F1CBE">
              <w:rPr>
                <w:lang w:val="en-US"/>
              </w:rPr>
              <w:t>Fatigue</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A11CE30" w14:textId="469B2DD7" w:rsidR="00E74CCA" w:rsidRPr="002F1CBE" w:rsidRDefault="00E74CCA" w:rsidP="00E74CCA">
            <w:pPr>
              <w:pStyle w:val="Tabletext0"/>
              <w:rPr>
                <w:szCs w:val="22"/>
                <w:lang w:val="en-US"/>
              </w:rPr>
            </w:pPr>
            <w:r>
              <w:rPr>
                <w:color w:val="000000"/>
                <w:szCs w:val="22"/>
              </w:rPr>
              <w:t>1.13%</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1FBC43" w14:textId="4A3A5883" w:rsidR="00E74CCA" w:rsidRPr="002F1CBE" w:rsidRDefault="00E74CCA" w:rsidP="00E74CCA">
            <w:pPr>
              <w:pStyle w:val="Tabletext0"/>
              <w:rPr>
                <w:szCs w:val="22"/>
                <w:lang w:val="en-US"/>
              </w:rPr>
            </w:pPr>
            <w:r>
              <w:rPr>
                <w:color w:val="000000"/>
                <w:szCs w:val="22"/>
              </w:rPr>
              <w:t>0.32%</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3486325A" w14:textId="3B627767" w:rsidR="00E74CCA" w:rsidRPr="002F1CBE" w:rsidRDefault="00E74CCA" w:rsidP="00E74CCA">
            <w:pPr>
              <w:pStyle w:val="Tabletext0"/>
              <w:rPr>
                <w:szCs w:val="22"/>
                <w:lang w:val="en-US"/>
              </w:rPr>
            </w:pPr>
            <w:r>
              <w:rPr>
                <w:color w:val="000000"/>
                <w:szCs w:val="22"/>
              </w:rPr>
              <w:t>2.98%</w:t>
            </w:r>
          </w:p>
        </w:tc>
        <w:tc>
          <w:tcPr>
            <w:tcW w:w="589" w:type="pct"/>
            <w:shd w:val="clear" w:color="auto" w:fill="auto"/>
            <w:noWrap/>
            <w:vAlign w:val="center"/>
          </w:tcPr>
          <w:p w14:paraId="1B4682A3" w14:textId="77777777" w:rsidR="00E74CCA" w:rsidRPr="002F1CBE" w:rsidRDefault="00E74CCA" w:rsidP="00E74CCA">
            <w:pPr>
              <w:pStyle w:val="Tabletext0"/>
              <w:rPr>
                <w:szCs w:val="22"/>
                <w:lang w:val="en-US"/>
              </w:rPr>
            </w:pPr>
            <w:r w:rsidRPr="002F1CBE">
              <w:rPr>
                <w:szCs w:val="22"/>
                <w:lang w:val="en-US"/>
              </w:rPr>
              <w:t>Beta</w:t>
            </w:r>
          </w:p>
        </w:tc>
        <w:tc>
          <w:tcPr>
            <w:tcW w:w="588" w:type="pct"/>
            <w:vMerge/>
            <w:vAlign w:val="center"/>
          </w:tcPr>
          <w:p w14:paraId="59F77A4F" w14:textId="77777777" w:rsidR="00E74CCA" w:rsidRPr="002F1CBE" w:rsidRDefault="00E74CCA" w:rsidP="00E74CCA">
            <w:pPr>
              <w:pStyle w:val="Tabletext0"/>
              <w:rPr>
                <w:szCs w:val="22"/>
                <w:lang w:val="en-US"/>
              </w:rPr>
            </w:pPr>
          </w:p>
        </w:tc>
      </w:tr>
      <w:tr w:rsidR="00E74CCA" w:rsidRPr="002F1CBE" w14:paraId="4D871110" w14:textId="061C2037" w:rsidTr="00E74CCA">
        <w:trPr>
          <w:trHeight w:val="285"/>
        </w:trPr>
        <w:tc>
          <w:tcPr>
            <w:tcW w:w="1615" w:type="pct"/>
            <w:shd w:val="clear" w:color="auto" w:fill="auto"/>
            <w:noWrap/>
            <w:vAlign w:val="center"/>
          </w:tcPr>
          <w:p w14:paraId="6FFF3260" w14:textId="3BDCC467" w:rsidR="00E74CCA" w:rsidRPr="002F1CBE" w:rsidRDefault="00E74CCA" w:rsidP="00E74CCA">
            <w:pPr>
              <w:pStyle w:val="Tabletext0"/>
              <w:rPr>
                <w:szCs w:val="22"/>
                <w:lang w:val="en-US"/>
              </w:rPr>
            </w:pPr>
            <w:r w:rsidRPr="002F1CBE">
              <w:rPr>
                <w:lang w:val="en-US"/>
              </w:rPr>
              <w:t>Febrile neutropenia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2C3C8C08" w14:textId="4B8B6DC7" w:rsidR="00E74CCA" w:rsidRPr="002F1CBE" w:rsidRDefault="00E74CCA" w:rsidP="00E74CCA">
            <w:pPr>
              <w:pStyle w:val="Tabletext0"/>
              <w:rPr>
                <w:szCs w:val="22"/>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D4CBD3" w14:textId="3EFF5072" w:rsidR="00E74CCA" w:rsidRPr="002F1CBE" w:rsidRDefault="00E74CCA" w:rsidP="00E74CCA">
            <w:pPr>
              <w:pStyle w:val="Tabletext0"/>
              <w:rPr>
                <w:szCs w:val="22"/>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639C2AFA" w14:textId="63BE077E" w:rsidR="00E74CCA" w:rsidRPr="002F1CBE" w:rsidRDefault="00E74CCA" w:rsidP="00E74CCA">
            <w:pPr>
              <w:pStyle w:val="Tabletext0"/>
              <w:rPr>
                <w:szCs w:val="22"/>
                <w:lang w:val="en-US"/>
              </w:rPr>
            </w:pPr>
            <w:r>
              <w:rPr>
                <w:color w:val="000000"/>
                <w:szCs w:val="22"/>
              </w:rPr>
              <w:t>0.00%</w:t>
            </w:r>
          </w:p>
        </w:tc>
        <w:tc>
          <w:tcPr>
            <w:tcW w:w="589" w:type="pct"/>
            <w:shd w:val="clear" w:color="auto" w:fill="auto"/>
            <w:noWrap/>
            <w:vAlign w:val="center"/>
          </w:tcPr>
          <w:p w14:paraId="7929A40A" w14:textId="77777777" w:rsidR="00E74CCA" w:rsidRPr="002F1CBE" w:rsidRDefault="00E74CCA" w:rsidP="00E74CCA">
            <w:pPr>
              <w:pStyle w:val="Tabletext0"/>
              <w:rPr>
                <w:szCs w:val="22"/>
                <w:lang w:val="en-US"/>
              </w:rPr>
            </w:pPr>
            <w:r w:rsidRPr="002F1CBE">
              <w:rPr>
                <w:szCs w:val="22"/>
                <w:lang w:val="en-US"/>
              </w:rPr>
              <w:t>Beta</w:t>
            </w:r>
          </w:p>
        </w:tc>
        <w:tc>
          <w:tcPr>
            <w:tcW w:w="588" w:type="pct"/>
            <w:vMerge/>
            <w:vAlign w:val="center"/>
          </w:tcPr>
          <w:p w14:paraId="000C8699" w14:textId="77777777" w:rsidR="00E74CCA" w:rsidRPr="002F1CBE" w:rsidRDefault="00E74CCA" w:rsidP="00E74CCA">
            <w:pPr>
              <w:pStyle w:val="Tabletext0"/>
              <w:rPr>
                <w:szCs w:val="22"/>
                <w:lang w:val="en-US"/>
              </w:rPr>
            </w:pPr>
          </w:p>
        </w:tc>
      </w:tr>
      <w:tr w:rsidR="00E74CCA" w:rsidRPr="002F1CBE" w14:paraId="09630223" w14:textId="7B9439ED" w:rsidTr="00E74CCA">
        <w:trPr>
          <w:trHeight w:val="285"/>
        </w:trPr>
        <w:tc>
          <w:tcPr>
            <w:tcW w:w="1615" w:type="pct"/>
            <w:shd w:val="clear" w:color="auto" w:fill="auto"/>
            <w:noWrap/>
            <w:vAlign w:val="center"/>
          </w:tcPr>
          <w:p w14:paraId="51A66F59" w14:textId="5E90D1EB" w:rsidR="00E74CCA" w:rsidRPr="002F1CBE" w:rsidRDefault="00E74CCA" w:rsidP="00E74CCA">
            <w:pPr>
              <w:pStyle w:val="Tabletext0"/>
              <w:rPr>
                <w:szCs w:val="22"/>
                <w:lang w:val="en-US"/>
              </w:rPr>
            </w:pPr>
            <w:r w:rsidRPr="002F1CBE">
              <w:rPr>
                <w:lang w:val="en-US"/>
              </w:rPr>
              <w:t>Lymphocyte count decreased</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790A8FAE" w14:textId="0C326410" w:rsidR="00E74CCA" w:rsidRPr="002F1CBE" w:rsidRDefault="00E74CCA" w:rsidP="00E74CCA">
            <w:pPr>
              <w:pStyle w:val="Tabletext0"/>
              <w:rPr>
                <w:szCs w:val="22"/>
                <w:lang w:val="en-US"/>
              </w:rPr>
            </w:pPr>
            <w:r>
              <w:rPr>
                <w:color w:val="000000"/>
                <w:szCs w:val="22"/>
              </w:rPr>
              <w:t>0.38%</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370B10" w14:textId="043573E3" w:rsidR="00E74CCA" w:rsidRPr="002F1CBE" w:rsidRDefault="00E74CCA" w:rsidP="00E74CCA">
            <w:pPr>
              <w:pStyle w:val="Tabletext0"/>
              <w:rPr>
                <w:szCs w:val="22"/>
                <w:lang w:val="en-US"/>
              </w:rPr>
            </w:pPr>
            <w:r>
              <w:rPr>
                <w:color w:val="000000"/>
                <w:szCs w:val="22"/>
              </w:rPr>
              <w:t>0.04%</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4BB01A3C" w14:textId="11AB762D" w:rsidR="00E74CCA" w:rsidRPr="002F1CBE" w:rsidRDefault="00E74CCA" w:rsidP="00E74CCA">
            <w:pPr>
              <w:pStyle w:val="Tabletext0"/>
              <w:rPr>
                <w:szCs w:val="22"/>
                <w:lang w:val="en-US"/>
              </w:rPr>
            </w:pPr>
            <w:r>
              <w:rPr>
                <w:color w:val="000000"/>
                <w:szCs w:val="22"/>
              </w:rPr>
              <w:t>1.74%</w:t>
            </w:r>
          </w:p>
        </w:tc>
        <w:tc>
          <w:tcPr>
            <w:tcW w:w="589" w:type="pct"/>
            <w:shd w:val="clear" w:color="auto" w:fill="auto"/>
            <w:noWrap/>
            <w:vAlign w:val="center"/>
          </w:tcPr>
          <w:p w14:paraId="3DEB5D31" w14:textId="77777777" w:rsidR="00E74CCA" w:rsidRPr="002F1CBE" w:rsidRDefault="00E74CCA" w:rsidP="00E74CCA">
            <w:pPr>
              <w:pStyle w:val="Tabletext0"/>
              <w:rPr>
                <w:szCs w:val="22"/>
                <w:lang w:val="en-US"/>
              </w:rPr>
            </w:pPr>
            <w:r w:rsidRPr="002F1CBE">
              <w:rPr>
                <w:szCs w:val="22"/>
                <w:lang w:val="en-US"/>
              </w:rPr>
              <w:t>Beta</w:t>
            </w:r>
          </w:p>
        </w:tc>
        <w:tc>
          <w:tcPr>
            <w:tcW w:w="588" w:type="pct"/>
            <w:vMerge/>
            <w:vAlign w:val="center"/>
          </w:tcPr>
          <w:p w14:paraId="007F2899" w14:textId="77777777" w:rsidR="00E74CCA" w:rsidRPr="002F1CBE" w:rsidRDefault="00E74CCA" w:rsidP="00E74CCA">
            <w:pPr>
              <w:pStyle w:val="Tabletext0"/>
              <w:rPr>
                <w:szCs w:val="22"/>
                <w:lang w:val="en-US"/>
              </w:rPr>
            </w:pPr>
          </w:p>
        </w:tc>
      </w:tr>
      <w:tr w:rsidR="00E74CCA" w:rsidRPr="002F1CBE" w14:paraId="7D71D1B4" w14:textId="29451B46" w:rsidTr="00E74CCA">
        <w:trPr>
          <w:trHeight w:val="285"/>
        </w:trPr>
        <w:tc>
          <w:tcPr>
            <w:tcW w:w="1615" w:type="pct"/>
            <w:shd w:val="clear" w:color="auto" w:fill="auto"/>
            <w:noWrap/>
            <w:vAlign w:val="center"/>
          </w:tcPr>
          <w:p w14:paraId="3655AA51" w14:textId="37098FAE" w:rsidR="00E74CCA" w:rsidRPr="002F1CBE" w:rsidRDefault="00E74CCA" w:rsidP="00E74CCA">
            <w:pPr>
              <w:pStyle w:val="Tabletext0"/>
              <w:rPr>
                <w:szCs w:val="22"/>
                <w:lang w:val="en-US"/>
              </w:rPr>
            </w:pPr>
            <w:r w:rsidRPr="002F1CBE">
              <w:rPr>
                <w:lang w:val="en-US"/>
              </w:rPr>
              <w:t>Neutropenia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F73C8B6" w14:textId="79E1645A" w:rsidR="00E74CCA" w:rsidRPr="002F1CBE" w:rsidRDefault="00E74CCA" w:rsidP="00E74CCA">
            <w:pPr>
              <w:pStyle w:val="Tabletext0"/>
              <w:rPr>
                <w:szCs w:val="22"/>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79514" w14:textId="56D3BFE3" w:rsidR="00E74CCA" w:rsidRPr="002F1CBE" w:rsidRDefault="00E74CCA" w:rsidP="00E74CCA">
            <w:pPr>
              <w:pStyle w:val="Tabletext0"/>
              <w:rPr>
                <w:szCs w:val="22"/>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3A4F0B7D" w14:textId="14755696" w:rsidR="00E74CCA" w:rsidRPr="002F1CBE" w:rsidRDefault="00E74CCA" w:rsidP="00E74CCA">
            <w:pPr>
              <w:pStyle w:val="Tabletext0"/>
              <w:rPr>
                <w:szCs w:val="22"/>
                <w:lang w:val="en-US"/>
              </w:rPr>
            </w:pPr>
            <w:r>
              <w:rPr>
                <w:color w:val="000000"/>
                <w:szCs w:val="22"/>
              </w:rPr>
              <w:t>0.00%</w:t>
            </w:r>
          </w:p>
        </w:tc>
        <w:tc>
          <w:tcPr>
            <w:tcW w:w="589" w:type="pct"/>
            <w:shd w:val="clear" w:color="auto" w:fill="auto"/>
            <w:noWrap/>
            <w:vAlign w:val="center"/>
          </w:tcPr>
          <w:p w14:paraId="0578917B" w14:textId="77777777" w:rsidR="00E74CCA" w:rsidRPr="002F1CBE" w:rsidRDefault="00E74CCA" w:rsidP="00E74CCA">
            <w:pPr>
              <w:pStyle w:val="Tabletext0"/>
              <w:rPr>
                <w:szCs w:val="22"/>
                <w:lang w:val="en-US"/>
              </w:rPr>
            </w:pPr>
            <w:r w:rsidRPr="002F1CBE">
              <w:rPr>
                <w:szCs w:val="22"/>
                <w:lang w:val="en-US"/>
              </w:rPr>
              <w:t>Beta</w:t>
            </w:r>
          </w:p>
        </w:tc>
        <w:tc>
          <w:tcPr>
            <w:tcW w:w="588" w:type="pct"/>
            <w:vMerge/>
            <w:vAlign w:val="center"/>
          </w:tcPr>
          <w:p w14:paraId="5B340DEB" w14:textId="77777777" w:rsidR="00E74CCA" w:rsidRPr="002F1CBE" w:rsidRDefault="00E74CCA" w:rsidP="00E74CCA">
            <w:pPr>
              <w:pStyle w:val="Tabletext0"/>
              <w:rPr>
                <w:szCs w:val="22"/>
                <w:lang w:val="en-US"/>
              </w:rPr>
            </w:pPr>
          </w:p>
        </w:tc>
      </w:tr>
      <w:tr w:rsidR="00E74CCA" w:rsidRPr="002F1CBE" w14:paraId="09501881" w14:textId="7706CC45" w:rsidTr="00E74CCA">
        <w:trPr>
          <w:trHeight w:val="285"/>
        </w:trPr>
        <w:tc>
          <w:tcPr>
            <w:tcW w:w="1615" w:type="pct"/>
            <w:shd w:val="clear" w:color="auto" w:fill="auto"/>
            <w:noWrap/>
            <w:vAlign w:val="center"/>
          </w:tcPr>
          <w:p w14:paraId="1286E52C" w14:textId="318151EB" w:rsidR="00E74CCA" w:rsidRPr="002F1CBE" w:rsidRDefault="00E74CCA" w:rsidP="00E74CCA">
            <w:pPr>
              <w:pStyle w:val="Tabletext0"/>
              <w:rPr>
                <w:szCs w:val="22"/>
                <w:lang w:val="en-US"/>
              </w:rPr>
            </w:pPr>
            <w:r w:rsidRPr="002F1CBE">
              <w:rPr>
                <w:lang w:val="en-US"/>
              </w:rPr>
              <w:t>Neutrophil count decreased</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5C128959" w14:textId="74877A47" w:rsidR="00E74CCA" w:rsidRPr="002F1CBE" w:rsidRDefault="00E74CCA" w:rsidP="00E74CCA">
            <w:pPr>
              <w:pStyle w:val="Tabletext0"/>
              <w:rPr>
                <w:szCs w:val="22"/>
                <w:lang w:val="en-US"/>
              </w:rPr>
            </w:pPr>
            <w:r>
              <w:rPr>
                <w:color w:val="000000"/>
                <w:szCs w:val="22"/>
              </w:rPr>
              <w:t>0.38%</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2BF64B" w14:textId="0C6AE211" w:rsidR="00E74CCA" w:rsidRPr="002F1CBE" w:rsidRDefault="00E74CCA" w:rsidP="00E74CCA">
            <w:pPr>
              <w:pStyle w:val="Tabletext0"/>
              <w:rPr>
                <w:szCs w:val="22"/>
                <w:lang w:val="en-US"/>
              </w:rPr>
            </w:pPr>
            <w:r>
              <w:rPr>
                <w:color w:val="000000"/>
                <w:szCs w:val="22"/>
              </w:rPr>
              <w:t>0.04%</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079488B8" w14:textId="7B6F6BC8" w:rsidR="00E74CCA" w:rsidRPr="002F1CBE" w:rsidRDefault="00E74CCA" w:rsidP="00E74CCA">
            <w:pPr>
              <w:pStyle w:val="Tabletext0"/>
              <w:rPr>
                <w:szCs w:val="22"/>
                <w:lang w:val="en-US"/>
              </w:rPr>
            </w:pPr>
            <w:r>
              <w:rPr>
                <w:color w:val="000000"/>
                <w:szCs w:val="22"/>
              </w:rPr>
              <w:t>1.74%</w:t>
            </w:r>
          </w:p>
        </w:tc>
        <w:tc>
          <w:tcPr>
            <w:tcW w:w="589" w:type="pct"/>
            <w:shd w:val="clear" w:color="auto" w:fill="auto"/>
            <w:noWrap/>
            <w:vAlign w:val="center"/>
          </w:tcPr>
          <w:p w14:paraId="684DBCC7" w14:textId="77777777" w:rsidR="00E74CCA" w:rsidRPr="002F1CBE" w:rsidRDefault="00E74CCA" w:rsidP="00E74CCA">
            <w:pPr>
              <w:pStyle w:val="Tabletext0"/>
              <w:rPr>
                <w:szCs w:val="22"/>
                <w:lang w:val="en-US"/>
              </w:rPr>
            </w:pPr>
            <w:r w:rsidRPr="002F1CBE">
              <w:rPr>
                <w:szCs w:val="22"/>
                <w:lang w:val="en-US"/>
              </w:rPr>
              <w:t>Beta</w:t>
            </w:r>
          </w:p>
        </w:tc>
        <w:tc>
          <w:tcPr>
            <w:tcW w:w="588" w:type="pct"/>
            <w:vMerge/>
            <w:vAlign w:val="center"/>
          </w:tcPr>
          <w:p w14:paraId="5AD757C5" w14:textId="77777777" w:rsidR="00E74CCA" w:rsidRPr="002F1CBE" w:rsidRDefault="00E74CCA" w:rsidP="00E74CCA">
            <w:pPr>
              <w:pStyle w:val="Tabletext0"/>
              <w:rPr>
                <w:szCs w:val="22"/>
                <w:lang w:val="en-US"/>
              </w:rPr>
            </w:pPr>
          </w:p>
        </w:tc>
      </w:tr>
      <w:tr w:rsidR="00E74CCA" w:rsidRPr="002F1CBE" w14:paraId="42EC264B" w14:textId="124EFF34" w:rsidTr="00E74CCA">
        <w:trPr>
          <w:trHeight w:val="285"/>
        </w:trPr>
        <w:tc>
          <w:tcPr>
            <w:tcW w:w="1615" w:type="pct"/>
            <w:shd w:val="clear" w:color="auto" w:fill="auto"/>
            <w:noWrap/>
            <w:vAlign w:val="center"/>
          </w:tcPr>
          <w:p w14:paraId="60C8CA27" w14:textId="63417C7A" w:rsidR="00E74CCA" w:rsidRPr="002F1CBE" w:rsidRDefault="00E74CCA" w:rsidP="00E74CCA">
            <w:pPr>
              <w:pStyle w:val="Tabletext0"/>
              <w:rPr>
                <w:szCs w:val="22"/>
                <w:lang w:val="en-US"/>
              </w:rPr>
            </w:pPr>
            <w:r w:rsidRPr="002F1CBE">
              <w:rPr>
                <w:lang w:val="en-US"/>
              </w:rPr>
              <w:t xml:space="preserve">White blood cell count decreased </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2002A57" w14:textId="7C86CE0A" w:rsidR="00E74CCA" w:rsidRPr="002F1CBE" w:rsidRDefault="00E74CCA" w:rsidP="00E74CCA">
            <w:pPr>
              <w:pStyle w:val="Tabletext0"/>
              <w:rPr>
                <w:szCs w:val="22"/>
                <w:lang w:val="en-US"/>
              </w:rPr>
            </w:pPr>
            <w:r>
              <w:rPr>
                <w:color w:val="000000"/>
                <w:szCs w:val="22"/>
              </w:rPr>
              <w:t>0.38%</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64FBDC" w14:textId="5A9B5589" w:rsidR="00E74CCA" w:rsidRPr="002F1CBE" w:rsidRDefault="00E74CCA" w:rsidP="00E74CCA">
            <w:pPr>
              <w:pStyle w:val="Tabletext0"/>
              <w:rPr>
                <w:szCs w:val="22"/>
                <w:lang w:val="en-US"/>
              </w:rPr>
            </w:pPr>
            <w:r>
              <w:rPr>
                <w:color w:val="000000"/>
                <w:szCs w:val="22"/>
              </w:rPr>
              <w:t>0.04%</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5C1EFFDC" w14:textId="142D4502" w:rsidR="00E74CCA" w:rsidRPr="002F1CBE" w:rsidRDefault="00E74CCA" w:rsidP="00E74CCA">
            <w:pPr>
              <w:pStyle w:val="Tabletext0"/>
              <w:rPr>
                <w:szCs w:val="22"/>
                <w:lang w:val="en-US"/>
              </w:rPr>
            </w:pPr>
            <w:r>
              <w:rPr>
                <w:color w:val="000000"/>
                <w:szCs w:val="22"/>
              </w:rPr>
              <w:t>1.74%</w:t>
            </w:r>
          </w:p>
        </w:tc>
        <w:tc>
          <w:tcPr>
            <w:tcW w:w="589" w:type="pct"/>
            <w:shd w:val="clear" w:color="auto" w:fill="auto"/>
            <w:noWrap/>
            <w:vAlign w:val="center"/>
          </w:tcPr>
          <w:p w14:paraId="2C4A8C11" w14:textId="77777777" w:rsidR="00E74CCA" w:rsidRPr="002F1CBE" w:rsidRDefault="00E74CCA" w:rsidP="00E74CCA">
            <w:pPr>
              <w:pStyle w:val="Tabletext0"/>
              <w:rPr>
                <w:szCs w:val="22"/>
                <w:lang w:val="en-US"/>
              </w:rPr>
            </w:pPr>
            <w:r w:rsidRPr="002F1CBE">
              <w:rPr>
                <w:szCs w:val="22"/>
                <w:lang w:val="en-US"/>
              </w:rPr>
              <w:t>Beta</w:t>
            </w:r>
          </w:p>
        </w:tc>
        <w:tc>
          <w:tcPr>
            <w:tcW w:w="588" w:type="pct"/>
            <w:vMerge/>
            <w:vAlign w:val="center"/>
          </w:tcPr>
          <w:p w14:paraId="7BA1312C" w14:textId="77777777" w:rsidR="00E74CCA" w:rsidRPr="002F1CBE" w:rsidRDefault="00E74CCA" w:rsidP="00E74CCA">
            <w:pPr>
              <w:pStyle w:val="Tabletext0"/>
              <w:rPr>
                <w:szCs w:val="22"/>
                <w:lang w:val="en-US"/>
              </w:rPr>
            </w:pPr>
          </w:p>
        </w:tc>
      </w:tr>
      <w:tr w:rsidR="00E74CCA" w:rsidRPr="002F1CBE" w14:paraId="6C34B8D1" w14:textId="77777777" w:rsidTr="00E74CCA">
        <w:trPr>
          <w:trHeight w:val="285"/>
        </w:trPr>
        <w:tc>
          <w:tcPr>
            <w:tcW w:w="1615" w:type="pct"/>
            <w:shd w:val="clear" w:color="auto" w:fill="auto"/>
            <w:noWrap/>
            <w:vAlign w:val="center"/>
          </w:tcPr>
          <w:p w14:paraId="7B7CF7FC" w14:textId="179395BB" w:rsidR="00E74CCA" w:rsidRPr="002F1CBE" w:rsidRDefault="00E74CCA" w:rsidP="00E74CCA">
            <w:pPr>
              <w:pStyle w:val="Tabletext0"/>
              <w:rPr>
                <w:lang w:val="en-US"/>
              </w:rPr>
            </w:pPr>
            <w:r>
              <w:rPr>
                <w:lang w:val="en-US"/>
              </w:rPr>
              <w:t>Asthenia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4427816" w14:textId="27BD2835" w:rsidR="00E74CCA" w:rsidRPr="002F1CBE" w:rsidRDefault="00E74CCA" w:rsidP="00E74CCA">
            <w:pPr>
              <w:pStyle w:val="Tabletext0"/>
              <w:rPr>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58916" w14:textId="1EBC41DD" w:rsidR="00E74CCA" w:rsidRPr="002F1CBE" w:rsidRDefault="00E74CCA" w:rsidP="00E74CCA">
            <w:pPr>
              <w:pStyle w:val="Tabletext0"/>
              <w:rPr>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4068C119" w14:textId="37376F23" w:rsidR="00E74CCA" w:rsidRPr="002F1CBE" w:rsidRDefault="00E74CCA" w:rsidP="00E74CCA">
            <w:pPr>
              <w:pStyle w:val="Tabletext0"/>
              <w:rPr>
                <w:lang w:val="en-US"/>
              </w:rPr>
            </w:pPr>
            <w:r>
              <w:rPr>
                <w:color w:val="000000"/>
                <w:szCs w:val="22"/>
              </w:rPr>
              <w:t>0.00%</w:t>
            </w:r>
          </w:p>
        </w:tc>
        <w:tc>
          <w:tcPr>
            <w:tcW w:w="589" w:type="pct"/>
            <w:shd w:val="clear" w:color="auto" w:fill="auto"/>
            <w:noWrap/>
            <w:vAlign w:val="center"/>
          </w:tcPr>
          <w:p w14:paraId="0DC4A717" w14:textId="3B4BA4C2" w:rsidR="00E74CCA" w:rsidRPr="002F1CBE" w:rsidRDefault="00E74CCA" w:rsidP="00E74CCA">
            <w:pPr>
              <w:pStyle w:val="Tabletext0"/>
              <w:rPr>
                <w:szCs w:val="22"/>
                <w:lang w:val="en-US"/>
              </w:rPr>
            </w:pPr>
            <w:r>
              <w:rPr>
                <w:szCs w:val="22"/>
                <w:lang w:val="en-US"/>
              </w:rPr>
              <w:t>Beta</w:t>
            </w:r>
          </w:p>
        </w:tc>
        <w:tc>
          <w:tcPr>
            <w:tcW w:w="588" w:type="pct"/>
            <w:vMerge/>
            <w:vAlign w:val="center"/>
          </w:tcPr>
          <w:p w14:paraId="4C4ACA03" w14:textId="77777777" w:rsidR="00E74CCA" w:rsidRPr="002F1CBE" w:rsidRDefault="00E74CCA" w:rsidP="00E74CCA">
            <w:pPr>
              <w:pStyle w:val="Tabletext0"/>
              <w:rPr>
                <w:szCs w:val="22"/>
                <w:lang w:val="en-US"/>
              </w:rPr>
            </w:pPr>
          </w:p>
        </w:tc>
      </w:tr>
      <w:tr w:rsidR="00E74CCA" w:rsidRPr="002F1CBE" w14:paraId="6F266C83" w14:textId="4FCBA040" w:rsidTr="00E74CCA">
        <w:trPr>
          <w:trHeight w:val="285"/>
        </w:trPr>
        <w:tc>
          <w:tcPr>
            <w:tcW w:w="1615" w:type="pct"/>
            <w:shd w:val="clear" w:color="auto" w:fill="auto"/>
            <w:noWrap/>
            <w:vAlign w:val="center"/>
          </w:tcPr>
          <w:p w14:paraId="5A2EDF5F" w14:textId="64D3EDF9" w:rsidR="00E74CCA" w:rsidRPr="002F1CBE" w:rsidRDefault="00E74CCA" w:rsidP="00E74CCA">
            <w:pPr>
              <w:pStyle w:val="Tabletext0"/>
              <w:rPr>
                <w:szCs w:val="22"/>
                <w:lang w:val="en-US"/>
              </w:rPr>
            </w:pPr>
            <w:r w:rsidRPr="002F1CBE">
              <w:rPr>
                <w:lang w:val="en-US"/>
              </w:rPr>
              <w:t>Peripheral sensory neuropathy</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533C232A" w14:textId="64AF5FDD" w:rsidR="00E74CCA" w:rsidRPr="002F1CBE" w:rsidRDefault="00E74CCA" w:rsidP="00E74CCA">
            <w:pPr>
              <w:pStyle w:val="Tabletext0"/>
              <w:rPr>
                <w:szCs w:val="22"/>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1DF26D" w14:textId="36FD8C6F" w:rsidR="00E74CCA" w:rsidRPr="002F1CBE" w:rsidRDefault="00E74CCA" w:rsidP="00E74CCA">
            <w:pPr>
              <w:pStyle w:val="Tabletext0"/>
              <w:rPr>
                <w:szCs w:val="22"/>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28EA1637" w14:textId="38014E6C" w:rsidR="00E74CCA" w:rsidRPr="002F1CBE" w:rsidRDefault="00E74CCA" w:rsidP="00E74CCA">
            <w:pPr>
              <w:pStyle w:val="Tabletext0"/>
              <w:rPr>
                <w:szCs w:val="22"/>
                <w:lang w:val="en-US"/>
              </w:rPr>
            </w:pPr>
            <w:r>
              <w:rPr>
                <w:color w:val="000000"/>
                <w:szCs w:val="22"/>
              </w:rPr>
              <w:t>0.00%</w:t>
            </w:r>
          </w:p>
        </w:tc>
        <w:tc>
          <w:tcPr>
            <w:tcW w:w="589" w:type="pct"/>
            <w:shd w:val="clear" w:color="auto" w:fill="auto"/>
            <w:noWrap/>
            <w:vAlign w:val="center"/>
          </w:tcPr>
          <w:p w14:paraId="376314EC" w14:textId="77777777" w:rsidR="00E74CCA" w:rsidRPr="002F1CBE" w:rsidRDefault="00E74CCA" w:rsidP="00E74CCA">
            <w:pPr>
              <w:pStyle w:val="Tabletext0"/>
              <w:rPr>
                <w:szCs w:val="22"/>
                <w:lang w:val="en-US"/>
              </w:rPr>
            </w:pPr>
            <w:r w:rsidRPr="002F1CBE">
              <w:rPr>
                <w:szCs w:val="22"/>
                <w:lang w:val="en-US"/>
              </w:rPr>
              <w:t>Beta</w:t>
            </w:r>
          </w:p>
        </w:tc>
        <w:tc>
          <w:tcPr>
            <w:tcW w:w="588" w:type="pct"/>
            <w:vMerge/>
            <w:vAlign w:val="center"/>
          </w:tcPr>
          <w:p w14:paraId="51CF9C7A" w14:textId="77777777" w:rsidR="00E74CCA" w:rsidRPr="002F1CBE" w:rsidRDefault="00E74CCA" w:rsidP="00E74CCA">
            <w:pPr>
              <w:pStyle w:val="Tabletext0"/>
              <w:rPr>
                <w:szCs w:val="22"/>
                <w:lang w:val="en-US"/>
              </w:rPr>
            </w:pPr>
          </w:p>
        </w:tc>
      </w:tr>
      <w:tr w:rsidR="00E74CCA" w:rsidRPr="002F1CBE" w14:paraId="07694E24" w14:textId="24B2DD5F" w:rsidTr="00E74CCA">
        <w:trPr>
          <w:trHeight w:val="285"/>
        </w:trPr>
        <w:tc>
          <w:tcPr>
            <w:tcW w:w="1615" w:type="pct"/>
            <w:shd w:val="clear" w:color="auto" w:fill="auto"/>
            <w:noWrap/>
            <w:vAlign w:val="center"/>
          </w:tcPr>
          <w:p w14:paraId="301DC212" w14:textId="61E5CC8A" w:rsidR="00E74CCA" w:rsidRPr="002F1CBE" w:rsidRDefault="00E74CCA" w:rsidP="00E74CCA">
            <w:pPr>
              <w:pStyle w:val="Tabletext0"/>
              <w:rPr>
                <w:szCs w:val="22"/>
                <w:lang w:val="en-US"/>
              </w:rPr>
            </w:pPr>
            <w:r w:rsidRPr="002F1CBE">
              <w:rPr>
                <w:lang w:val="en-US"/>
              </w:rPr>
              <w:t>Diarrhea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0AAF659" w14:textId="252A65BE" w:rsidR="00E74CCA" w:rsidRPr="002F1CBE" w:rsidRDefault="00E74CCA" w:rsidP="00E74CCA">
            <w:pPr>
              <w:pStyle w:val="Tabletext0"/>
              <w:rPr>
                <w:szCs w:val="22"/>
                <w:lang w:val="en-US"/>
              </w:rPr>
            </w:pPr>
            <w:r>
              <w:rPr>
                <w:color w:val="000000"/>
                <w:szCs w:val="22"/>
              </w:rPr>
              <w:t>2.63%</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B96496" w14:textId="668E0210" w:rsidR="00E74CCA" w:rsidRPr="002F1CBE" w:rsidRDefault="00E74CCA" w:rsidP="00E74CCA">
            <w:pPr>
              <w:pStyle w:val="Tabletext0"/>
              <w:rPr>
                <w:szCs w:val="22"/>
                <w:lang w:val="en-US"/>
              </w:rPr>
            </w:pPr>
            <w:r>
              <w:rPr>
                <w:color w:val="000000"/>
                <w:szCs w:val="22"/>
              </w:rPr>
              <w:t>1.07%</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1854A770" w14:textId="70F20A0F" w:rsidR="00E74CCA" w:rsidRPr="002F1CBE" w:rsidRDefault="00E74CCA" w:rsidP="00E74CCA">
            <w:pPr>
              <w:pStyle w:val="Tabletext0"/>
              <w:rPr>
                <w:szCs w:val="22"/>
                <w:lang w:val="en-US"/>
              </w:rPr>
            </w:pPr>
            <w:r>
              <w:rPr>
                <w:color w:val="000000"/>
                <w:szCs w:val="22"/>
              </w:rPr>
              <w:t>4.86%</w:t>
            </w:r>
          </w:p>
        </w:tc>
        <w:tc>
          <w:tcPr>
            <w:tcW w:w="589" w:type="pct"/>
            <w:shd w:val="clear" w:color="auto" w:fill="auto"/>
            <w:noWrap/>
            <w:vAlign w:val="center"/>
          </w:tcPr>
          <w:p w14:paraId="02A82392" w14:textId="77777777" w:rsidR="00E74CCA" w:rsidRPr="002F1CBE" w:rsidRDefault="00E74CCA" w:rsidP="00E74CCA">
            <w:pPr>
              <w:pStyle w:val="Tabletext0"/>
              <w:rPr>
                <w:szCs w:val="22"/>
                <w:lang w:val="en-US"/>
              </w:rPr>
            </w:pPr>
            <w:r w:rsidRPr="002F1CBE">
              <w:rPr>
                <w:szCs w:val="22"/>
                <w:lang w:val="en-US"/>
              </w:rPr>
              <w:t>Beta</w:t>
            </w:r>
          </w:p>
        </w:tc>
        <w:tc>
          <w:tcPr>
            <w:tcW w:w="588" w:type="pct"/>
            <w:vMerge/>
            <w:vAlign w:val="center"/>
          </w:tcPr>
          <w:p w14:paraId="7CE3524F" w14:textId="77777777" w:rsidR="00E74CCA" w:rsidRPr="002F1CBE" w:rsidRDefault="00E74CCA" w:rsidP="00E74CCA">
            <w:pPr>
              <w:pStyle w:val="Tabletext0"/>
              <w:rPr>
                <w:szCs w:val="22"/>
                <w:lang w:val="en-US"/>
              </w:rPr>
            </w:pPr>
          </w:p>
        </w:tc>
      </w:tr>
      <w:tr w:rsidR="00E74CCA" w:rsidRPr="002F1CBE" w14:paraId="55FECB07" w14:textId="37D9A7DF" w:rsidTr="00E74CCA">
        <w:trPr>
          <w:trHeight w:val="285"/>
        </w:trPr>
        <w:tc>
          <w:tcPr>
            <w:tcW w:w="1615" w:type="pct"/>
            <w:shd w:val="clear" w:color="auto" w:fill="auto"/>
            <w:noWrap/>
            <w:vAlign w:val="center"/>
          </w:tcPr>
          <w:p w14:paraId="6DE77419" w14:textId="2A9E4BAE" w:rsidR="00E74CCA" w:rsidRPr="002F1CBE" w:rsidRDefault="00E74CCA" w:rsidP="00E74CCA">
            <w:pPr>
              <w:pStyle w:val="Tabletext0"/>
              <w:rPr>
                <w:szCs w:val="22"/>
                <w:lang w:val="en-US"/>
              </w:rPr>
            </w:pPr>
            <w:r w:rsidRPr="002F1CBE">
              <w:rPr>
                <w:lang w:val="en-US"/>
              </w:rPr>
              <w:t>Leukopenia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635DDCAE" w14:textId="1078D105" w:rsidR="00E74CCA" w:rsidRPr="002F1CBE" w:rsidRDefault="00E74CCA" w:rsidP="00E74CCA">
            <w:pPr>
              <w:pStyle w:val="Tabletext0"/>
              <w:rPr>
                <w:szCs w:val="22"/>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E7E8A3" w14:textId="05F77221" w:rsidR="00E74CCA" w:rsidRPr="002F1CBE" w:rsidRDefault="00E74CCA" w:rsidP="00E74CCA">
            <w:pPr>
              <w:pStyle w:val="Tabletext0"/>
              <w:rPr>
                <w:szCs w:val="22"/>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35D47E7F" w14:textId="00E21024" w:rsidR="00E74CCA" w:rsidRPr="002F1CBE" w:rsidRDefault="00E74CCA" w:rsidP="00E74CCA">
            <w:pPr>
              <w:pStyle w:val="Tabletext0"/>
              <w:rPr>
                <w:szCs w:val="22"/>
                <w:lang w:val="en-US"/>
              </w:rPr>
            </w:pPr>
            <w:r>
              <w:rPr>
                <w:color w:val="000000"/>
                <w:szCs w:val="22"/>
              </w:rPr>
              <w:t>0.00%</w:t>
            </w:r>
          </w:p>
        </w:tc>
        <w:tc>
          <w:tcPr>
            <w:tcW w:w="589" w:type="pct"/>
            <w:shd w:val="clear" w:color="auto" w:fill="auto"/>
            <w:noWrap/>
            <w:vAlign w:val="center"/>
          </w:tcPr>
          <w:p w14:paraId="34059A57" w14:textId="77777777" w:rsidR="00E74CCA" w:rsidRPr="002F1CBE" w:rsidRDefault="00E74CCA" w:rsidP="00E74CCA">
            <w:pPr>
              <w:pStyle w:val="Tabletext0"/>
              <w:rPr>
                <w:szCs w:val="22"/>
                <w:lang w:val="en-US"/>
              </w:rPr>
            </w:pPr>
            <w:r w:rsidRPr="002F1CBE">
              <w:rPr>
                <w:szCs w:val="22"/>
                <w:lang w:val="en-US"/>
              </w:rPr>
              <w:t>Beta</w:t>
            </w:r>
          </w:p>
        </w:tc>
        <w:tc>
          <w:tcPr>
            <w:tcW w:w="588" w:type="pct"/>
            <w:vMerge/>
            <w:vAlign w:val="center"/>
          </w:tcPr>
          <w:p w14:paraId="3409E390" w14:textId="77777777" w:rsidR="00E74CCA" w:rsidRPr="002F1CBE" w:rsidRDefault="00E74CCA" w:rsidP="00E74CCA">
            <w:pPr>
              <w:pStyle w:val="Tabletext0"/>
              <w:rPr>
                <w:szCs w:val="22"/>
                <w:lang w:val="en-US"/>
              </w:rPr>
            </w:pPr>
          </w:p>
        </w:tc>
      </w:tr>
      <w:tr w:rsidR="00E74CCA" w:rsidRPr="002F1CBE" w14:paraId="1851CE95" w14:textId="7A6BE513" w:rsidTr="00A00B39">
        <w:trPr>
          <w:trHeight w:val="285"/>
        </w:trPr>
        <w:tc>
          <w:tcPr>
            <w:tcW w:w="5000" w:type="pct"/>
            <w:gridSpan w:val="6"/>
            <w:shd w:val="clear" w:color="auto" w:fill="auto"/>
            <w:noWrap/>
            <w:vAlign w:val="center"/>
          </w:tcPr>
          <w:p w14:paraId="183FFAF9" w14:textId="474499BB" w:rsidR="00E74CCA" w:rsidRPr="002F1CBE" w:rsidRDefault="00E74CCA" w:rsidP="00E74CCA">
            <w:pPr>
              <w:pStyle w:val="Tabletext0"/>
              <w:rPr>
                <w:b/>
                <w:i/>
                <w:szCs w:val="22"/>
                <w:lang w:val="en-US"/>
              </w:rPr>
            </w:pPr>
            <w:r w:rsidRPr="002F1CBE">
              <w:rPr>
                <w:b/>
                <w:i/>
                <w:szCs w:val="22"/>
                <w:lang w:val="en-US"/>
              </w:rPr>
              <w:t>%AE Control</w:t>
            </w:r>
          </w:p>
        </w:tc>
      </w:tr>
      <w:tr w:rsidR="00E74CCA" w:rsidRPr="002F1CBE" w14:paraId="4F986B39" w14:textId="698BD9AD" w:rsidTr="00E74CCA">
        <w:trPr>
          <w:trHeight w:val="285"/>
        </w:trPr>
        <w:tc>
          <w:tcPr>
            <w:tcW w:w="1615" w:type="pct"/>
            <w:shd w:val="clear" w:color="auto" w:fill="auto"/>
            <w:noWrap/>
            <w:vAlign w:val="center"/>
          </w:tcPr>
          <w:p w14:paraId="156EEAA5" w14:textId="15CA2502" w:rsidR="00E74CCA" w:rsidRPr="002F1CBE" w:rsidRDefault="00E74CCA" w:rsidP="00E74CCA">
            <w:pPr>
              <w:pStyle w:val="Tabletext0"/>
              <w:rPr>
                <w:szCs w:val="22"/>
                <w:lang w:val="en-US"/>
              </w:rPr>
            </w:pPr>
            <w:r w:rsidRPr="002F1CBE">
              <w:rPr>
                <w:lang w:val="en-US"/>
              </w:rPr>
              <w:t>Anemia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5B2C7E7A" w14:textId="7B91F8BC" w:rsidR="00E74CCA" w:rsidRPr="002F1CBE" w:rsidRDefault="00E74CCA" w:rsidP="00E74CCA">
            <w:pPr>
              <w:pStyle w:val="Tabletext0"/>
              <w:rPr>
                <w:szCs w:val="22"/>
                <w:lang w:val="en-US"/>
              </w:rPr>
            </w:pPr>
            <w:r>
              <w:rPr>
                <w:color w:val="000000"/>
                <w:szCs w:val="22"/>
              </w:rPr>
              <w:t>9.52%</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FCF38C" w14:textId="2A004554" w:rsidR="00E74CCA" w:rsidRPr="002F1CBE" w:rsidRDefault="00E74CCA" w:rsidP="00E74CCA">
            <w:pPr>
              <w:pStyle w:val="Tabletext0"/>
              <w:rPr>
                <w:szCs w:val="22"/>
                <w:lang w:val="en-US"/>
              </w:rPr>
            </w:pPr>
            <w:r>
              <w:rPr>
                <w:color w:val="000000"/>
                <w:szCs w:val="22"/>
              </w:rPr>
              <w:t>5.58%</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07182AEA" w14:textId="67705E49" w:rsidR="00E74CCA" w:rsidRPr="002F1CBE" w:rsidRDefault="00E74CCA" w:rsidP="00E74CCA">
            <w:pPr>
              <w:pStyle w:val="Tabletext0"/>
              <w:rPr>
                <w:szCs w:val="22"/>
                <w:lang w:val="en-US"/>
              </w:rPr>
            </w:pPr>
            <w:r>
              <w:rPr>
                <w:color w:val="000000"/>
                <w:szCs w:val="22"/>
              </w:rPr>
              <w:t>14.38%</w:t>
            </w:r>
          </w:p>
        </w:tc>
        <w:tc>
          <w:tcPr>
            <w:tcW w:w="589" w:type="pct"/>
            <w:shd w:val="clear" w:color="auto" w:fill="auto"/>
            <w:noWrap/>
            <w:vAlign w:val="center"/>
          </w:tcPr>
          <w:p w14:paraId="4532F972" w14:textId="77777777" w:rsidR="00E74CCA" w:rsidRPr="002F1CBE" w:rsidRDefault="00E74CCA" w:rsidP="00E74CCA">
            <w:pPr>
              <w:pStyle w:val="Tabletext0"/>
              <w:rPr>
                <w:szCs w:val="22"/>
                <w:lang w:val="en-US"/>
              </w:rPr>
            </w:pPr>
            <w:r w:rsidRPr="002F1CBE">
              <w:rPr>
                <w:lang w:val="en-US"/>
              </w:rPr>
              <w:t>Beta</w:t>
            </w:r>
          </w:p>
        </w:tc>
        <w:tc>
          <w:tcPr>
            <w:tcW w:w="588" w:type="pct"/>
            <w:vMerge w:val="restart"/>
            <w:vAlign w:val="center"/>
          </w:tcPr>
          <w:p w14:paraId="352ABD08" w14:textId="0DBA118C" w:rsidR="00E74CCA" w:rsidRPr="002F1CBE" w:rsidRDefault="00E74CCA" w:rsidP="00E74CCA">
            <w:pPr>
              <w:pStyle w:val="Tabletext0"/>
              <w:rPr>
                <w:lang w:val="en-US"/>
              </w:rPr>
            </w:pPr>
            <w:r>
              <w:rPr>
                <w:lang w:val="en-US"/>
              </w:rPr>
              <w:t>KN-045</w:t>
            </w:r>
          </w:p>
        </w:tc>
      </w:tr>
      <w:tr w:rsidR="00E74CCA" w:rsidRPr="002F1CBE" w14:paraId="49BEDAD9" w14:textId="43A2A70F" w:rsidTr="00E74CCA">
        <w:trPr>
          <w:trHeight w:val="285"/>
        </w:trPr>
        <w:tc>
          <w:tcPr>
            <w:tcW w:w="1615" w:type="pct"/>
            <w:shd w:val="clear" w:color="auto" w:fill="auto"/>
            <w:noWrap/>
            <w:vAlign w:val="center"/>
          </w:tcPr>
          <w:p w14:paraId="25563743" w14:textId="06FA8C8E" w:rsidR="00E74CCA" w:rsidRPr="002F1CBE" w:rsidRDefault="00E74CCA" w:rsidP="00E74CCA">
            <w:pPr>
              <w:pStyle w:val="Tabletext0"/>
              <w:rPr>
                <w:szCs w:val="22"/>
                <w:lang w:val="en-US"/>
              </w:rPr>
            </w:pPr>
            <w:r w:rsidRPr="002F1CBE">
              <w:rPr>
                <w:lang w:val="en-US"/>
              </w:rPr>
              <w:t>Fatigue</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7792B8BD" w14:textId="5CDE0E41" w:rsidR="00E74CCA" w:rsidRPr="002F1CBE" w:rsidRDefault="00E74CCA" w:rsidP="00E74CCA">
            <w:pPr>
              <w:pStyle w:val="Tabletext0"/>
              <w:rPr>
                <w:szCs w:val="22"/>
                <w:lang w:val="en-US"/>
              </w:rPr>
            </w:pPr>
            <w:r>
              <w:rPr>
                <w:color w:val="000000"/>
                <w:szCs w:val="22"/>
              </w:rPr>
              <w:t>5.95%</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C61BBA" w14:textId="4DD5B77E" w:rsidR="00E74CCA" w:rsidRPr="002F1CBE" w:rsidRDefault="00E74CCA" w:rsidP="00E74CCA">
            <w:pPr>
              <w:pStyle w:val="Tabletext0"/>
              <w:rPr>
                <w:szCs w:val="22"/>
                <w:lang w:val="en-US"/>
              </w:rPr>
            </w:pPr>
            <w:r>
              <w:rPr>
                <w:color w:val="000000"/>
                <w:szCs w:val="22"/>
              </w:rPr>
              <w:t>2.91%</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15228C29" w14:textId="1AED3B7C" w:rsidR="00E74CCA" w:rsidRPr="002F1CBE" w:rsidRDefault="00E74CCA" w:rsidP="00E74CCA">
            <w:pPr>
              <w:pStyle w:val="Tabletext0"/>
              <w:rPr>
                <w:szCs w:val="22"/>
                <w:lang w:val="en-US"/>
              </w:rPr>
            </w:pPr>
            <w:r>
              <w:rPr>
                <w:color w:val="000000"/>
                <w:szCs w:val="22"/>
              </w:rPr>
              <w:t>9.98%</w:t>
            </w:r>
          </w:p>
        </w:tc>
        <w:tc>
          <w:tcPr>
            <w:tcW w:w="589" w:type="pct"/>
            <w:shd w:val="clear" w:color="auto" w:fill="auto"/>
            <w:noWrap/>
            <w:vAlign w:val="center"/>
          </w:tcPr>
          <w:p w14:paraId="6967AF59" w14:textId="77777777" w:rsidR="00E74CCA" w:rsidRPr="002F1CBE" w:rsidRDefault="00E74CCA" w:rsidP="00E74CCA">
            <w:pPr>
              <w:pStyle w:val="Tabletext0"/>
              <w:rPr>
                <w:szCs w:val="22"/>
                <w:lang w:val="en-US"/>
              </w:rPr>
            </w:pPr>
            <w:r w:rsidRPr="002F1CBE">
              <w:rPr>
                <w:lang w:val="en-US"/>
              </w:rPr>
              <w:t>Beta</w:t>
            </w:r>
          </w:p>
        </w:tc>
        <w:tc>
          <w:tcPr>
            <w:tcW w:w="588" w:type="pct"/>
            <w:vMerge/>
            <w:vAlign w:val="center"/>
          </w:tcPr>
          <w:p w14:paraId="51EFCB68" w14:textId="77777777" w:rsidR="00E74CCA" w:rsidRPr="002F1CBE" w:rsidRDefault="00E74CCA" w:rsidP="00E74CCA">
            <w:pPr>
              <w:pStyle w:val="Tabletext0"/>
              <w:rPr>
                <w:lang w:val="en-US"/>
              </w:rPr>
            </w:pPr>
          </w:p>
        </w:tc>
      </w:tr>
      <w:tr w:rsidR="00E74CCA" w:rsidRPr="002F1CBE" w14:paraId="4181085A" w14:textId="775B3044" w:rsidTr="00E74CCA">
        <w:trPr>
          <w:trHeight w:val="285"/>
        </w:trPr>
        <w:tc>
          <w:tcPr>
            <w:tcW w:w="1615" w:type="pct"/>
            <w:shd w:val="clear" w:color="auto" w:fill="auto"/>
            <w:noWrap/>
            <w:vAlign w:val="center"/>
          </w:tcPr>
          <w:p w14:paraId="39DE97CA" w14:textId="54EEDA5C" w:rsidR="00E74CCA" w:rsidRPr="002F1CBE" w:rsidRDefault="00E74CCA" w:rsidP="00E74CCA">
            <w:pPr>
              <w:pStyle w:val="Tabletext0"/>
              <w:rPr>
                <w:szCs w:val="22"/>
                <w:lang w:val="en-US"/>
              </w:rPr>
            </w:pPr>
            <w:r w:rsidRPr="002F1CBE">
              <w:rPr>
                <w:lang w:val="en-US"/>
              </w:rPr>
              <w:t>Febrile neutropenia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2B71FBDF" w14:textId="1A0FCE4E" w:rsidR="00E74CCA" w:rsidRPr="002F1CBE" w:rsidRDefault="00E74CCA" w:rsidP="00E74CCA">
            <w:pPr>
              <w:pStyle w:val="Tabletext0"/>
              <w:rPr>
                <w:szCs w:val="22"/>
                <w:lang w:val="en-US"/>
              </w:rPr>
            </w:pPr>
            <w:r>
              <w:rPr>
                <w:color w:val="000000"/>
                <w:szCs w:val="22"/>
              </w:rPr>
              <w:t>4.76%</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D86B88" w14:textId="6B6A3A09" w:rsidR="00E74CCA" w:rsidRPr="002F1CBE" w:rsidRDefault="00E74CCA" w:rsidP="00E74CCA">
            <w:pPr>
              <w:pStyle w:val="Tabletext0"/>
              <w:rPr>
                <w:szCs w:val="22"/>
                <w:lang w:val="en-US"/>
              </w:rPr>
            </w:pPr>
            <w:r>
              <w:rPr>
                <w:color w:val="000000"/>
                <w:szCs w:val="22"/>
              </w:rPr>
              <w:t>2.09%</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5FA23239" w14:textId="654151D8" w:rsidR="00E74CCA" w:rsidRPr="002F1CBE" w:rsidRDefault="00E74CCA" w:rsidP="00E74CCA">
            <w:pPr>
              <w:pStyle w:val="Tabletext0"/>
              <w:rPr>
                <w:szCs w:val="22"/>
                <w:lang w:val="en-US"/>
              </w:rPr>
            </w:pPr>
            <w:r>
              <w:rPr>
                <w:color w:val="000000"/>
                <w:szCs w:val="22"/>
              </w:rPr>
              <w:t>8.45%</w:t>
            </w:r>
          </w:p>
        </w:tc>
        <w:tc>
          <w:tcPr>
            <w:tcW w:w="589" w:type="pct"/>
            <w:shd w:val="clear" w:color="auto" w:fill="auto"/>
            <w:noWrap/>
            <w:vAlign w:val="center"/>
          </w:tcPr>
          <w:p w14:paraId="6C6D8B2C" w14:textId="77777777" w:rsidR="00E74CCA" w:rsidRPr="002F1CBE" w:rsidRDefault="00E74CCA" w:rsidP="00E74CCA">
            <w:pPr>
              <w:pStyle w:val="Tabletext0"/>
              <w:rPr>
                <w:szCs w:val="22"/>
                <w:lang w:val="en-US"/>
              </w:rPr>
            </w:pPr>
            <w:r w:rsidRPr="002F1CBE">
              <w:rPr>
                <w:lang w:val="en-US"/>
              </w:rPr>
              <w:t>Beta</w:t>
            </w:r>
          </w:p>
        </w:tc>
        <w:tc>
          <w:tcPr>
            <w:tcW w:w="588" w:type="pct"/>
            <w:vMerge/>
            <w:vAlign w:val="center"/>
          </w:tcPr>
          <w:p w14:paraId="00579898" w14:textId="77777777" w:rsidR="00E74CCA" w:rsidRPr="002F1CBE" w:rsidRDefault="00E74CCA" w:rsidP="00E74CCA">
            <w:pPr>
              <w:pStyle w:val="Tabletext0"/>
              <w:rPr>
                <w:lang w:val="en-US"/>
              </w:rPr>
            </w:pPr>
          </w:p>
        </w:tc>
      </w:tr>
      <w:tr w:rsidR="00E74CCA" w:rsidRPr="002F1CBE" w14:paraId="568EF055" w14:textId="3B85A44F" w:rsidTr="00E74CCA">
        <w:trPr>
          <w:trHeight w:val="285"/>
        </w:trPr>
        <w:tc>
          <w:tcPr>
            <w:tcW w:w="1615" w:type="pct"/>
            <w:shd w:val="clear" w:color="auto" w:fill="auto"/>
            <w:noWrap/>
            <w:vAlign w:val="center"/>
          </w:tcPr>
          <w:p w14:paraId="0E2A37CB" w14:textId="132C6BA1" w:rsidR="00E74CCA" w:rsidRPr="002F1CBE" w:rsidRDefault="00E74CCA" w:rsidP="00E74CCA">
            <w:pPr>
              <w:pStyle w:val="Tabletext0"/>
              <w:rPr>
                <w:szCs w:val="22"/>
                <w:lang w:val="en-US"/>
              </w:rPr>
            </w:pPr>
            <w:r w:rsidRPr="002F1CBE">
              <w:rPr>
                <w:lang w:val="en-US"/>
              </w:rPr>
              <w:t>Lymphocyte count decreased</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4AB2B16" w14:textId="15EDBEF0" w:rsidR="00E74CCA" w:rsidRPr="002F1CBE" w:rsidRDefault="00E74CCA" w:rsidP="00E74CCA">
            <w:pPr>
              <w:pStyle w:val="Tabletext0"/>
              <w:rPr>
                <w:szCs w:val="22"/>
                <w:lang w:val="en-US"/>
              </w:rPr>
            </w:pPr>
            <w:r>
              <w:rPr>
                <w:color w:val="000000"/>
                <w:szCs w:val="22"/>
              </w:rPr>
              <w:t>2.38%</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A09148" w14:textId="5CC2AD24" w:rsidR="00E74CCA" w:rsidRPr="002F1CBE" w:rsidRDefault="00E74CCA" w:rsidP="00E74CCA">
            <w:pPr>
              <w:pStyle w:val="Tabletext0"/>
              <w:rPr>
                <w:szCs w:val="22"/>
                <w:lang w:val="en-US"/>
              </w:rPr>
            </w:pPr>
            <w:r>
              <w:rPr>
                <w:color w:val="000000"/>
                <w:szCs w:val="22"/>
              </w:rPr>
              <w:t>0.81%</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6BF24A06" w14:textId="33792182" w:rsidR="00E74CCA" w:rsidRPr="002F1CBE" w:rsidRDefault="00E74CCA" w:rsidP="00E74CCA">
            <w:pPr>
              <w:pStyle w:val="Tabletext0"/>
              <w:rPr>
                <w:szCs w:val="22"/>
                <w:lang w:val="en-US"/>
              </w:rPr>
            </w:pPr>
            <w:r>
              <w:rPr>
                <w:color w:val="000000"/>
                <w:szCs w:val="22"/>
              </w:rPr>
              <w:t>5.56%</w:t>
            </w:r>
          </w:p>
        </w:tc>
        <w:tc>
          <w:tcPr>
            <w:tcW w:w="589" w:type="pct"/>
            <w:shd w:val="clear" w:color="auto" w:fill="auto"/>
            <w:noWrap/>
            <w:vAlign w:val="center"/>
          </w:tcPr>
          <w:p w14:paraId="490EC456" w14:textId="77777777" w:rsidR="00E74CCA" w:rsidRPr="002F1CBE" w:rsidRDefault="00E74CCA" w:rsidP="00E74CCA">
            <w:pPr>
              <w:pStyle w:val="Tabletext0"/>
              <w:rPr>
                <w:szCs w:val="22"/>
                <w:lang w:val="en-US"/>
              </w:rPr>
            </w:pPr>
            <w:r w:rsidRPr="002F1CBE">
              <w:rPr>
                <w:lang w:val="en-US"/>
              </w:rPr>
              <w:t>Beta</w:t>
            </w:r>
          </w:p>
        </w:tc>
        <w:tc>
          <w:tcPr>
            <w:tcW w:w="588" w:type="pct"/>
            <w:vMerge/>
            <w:vAlign w:val="center"/>
          </w:tcPr>
          <w:p w14:paraId="10FD412C" w14:textId="77777777" w:rsidR="00E74CCA" w:rsidRPr="002F1CBE" w:rsidRDefault="00E74CCA" w:rsidP="00E74CCA">
            <w:pPr>
              <w:pStyle w:val="Tabletext0"/>
              <w:rPr>
                <w:lang w:val="en-US"/>
              </w:rPr>
            </w:pPr>
          </w:p>
        </w:tc>
      </w:tr>
      <w:tr w:rsidR="00E74CCA" w:rsidRPr="002F1CBE" w14:paraId="70C321C0" w14:textId="5EB9E802" w:rsidTr="00E74CCA">
        <w:trPr>
          <w:trHeight w:val="285"/>
        </w:trPr>
        <w:tc>
          <w:tcPr>
            <w:tcW w:w="1615" w:type="pct"/>
            <w:shd w:val="clear" w:color="auto" w:fill="auto"/>
            <w:noWrap/>
            <w:vAlign w:val="center"/>
          </w:tcPr>
          <w:p w14:paraId="44A6C598" w14:textId="2A29B7D6" w:rsidR="00E74CCA" w:rsidRPr="002F1CBE" w:rsidRDefault="00E74CCA" w:rsidP="00E74CCA">
            <w:pPr>
              <w:pStyle w:val="Tabletext0"/>
              <w:rPr>
                <w:szCs w:val="22"/>
                <w:lang w:val="en-US"/>
              </w:rPr>
            </w:pPr>
            <w:r w:rsidRPr="002F1CBE">
              <w:rPr>
                <w:lang w:val="en-US"/>
              </w:rPr>
              <w:t>Neutropenia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4CF73474" w14:textId="4907537D" w:rsidR="00E74CCA" w:rsidRPr="002F1CBE" w:rsidRDefault="00E74CCA" w:rsidP="00E74CCA">
            <w:pPr>
              <w:pStyle w:val="Tabletext0"/>
              <w:rPr>
                <w:szCs w:val="22"/>
                <w:lang w:val="en-US"/>
              </w:rPr>
            </w:pPr>
            <w:r>
              <w:rPr>
                <w:color w:val="000000"/>
                <w:szCs w:val="22"/>
              </w:rPr>
              <w:t>10.71%</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A436FC" w14:textId="391AC564" w:rsidR="00E74CCA" w:rsidRPr="002F1CBE" w:rsidRDefault="00E74CCA" w:rsidP="00E74CCA">
            <w:pPr>
              <w:pStyle w:val="Tabletext0"/>
              <w:rPr>
                <w:szCs w:val="22"/>
                <w:lang w:val="en-US"/>
              </w:rPr>
            </w:pPr>
            <w:r>
              <w:rPr>
                <w:color w:val="000000"/>
                <w:szCs w:val="22"/>
              </w:rPr>
              <w:t>6.51%</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30DE2A27" w14:textId="53136525" w:rsidR="00E74CCA" w:rsidRPr="002F1CBE" w:rsidRDefault="00E74CCA" w:rsidP="00E74CCA">
            <w:pPr>
              <w:pStyle w:val="Tabletext0"/>
              <w:rPr>
                <w:szCs w:val="22"/>
                <w:lang w:val="en-US"/>
              </w:rPr>
            </w:pPr>
            <w:r>
              <w:rPr>
                <w:color w:val="000000"/>
                <w:szCs w:val="22"/>
              </w:rPr>
              <w:t>15.80%</w:t>
            </w:r>
          </w:p>
        </w:tc>
        <w:tc>
          <w:tcPr>
            <w:tcW w:w="589" w:type="pct"/>
            <w:shd w:val="clear" w:color="auto" w:fill="auto"/>
            <w:noWrap/>
            <w:vAlign w:val="center"/>
          </w:tcPr>
          <w:p w14:paraId="5603F461" w14:textId="77777777" w:rsidR="00E74CCA" w:rsidRPr="002F1CBE" w:rsidRDefault="00E74CCA" w:rsidP="00E74CCA">
            <w:pPr>
              <w:pStyle w:val="Tabletext0"/>
              <w:rPr>
                <w:szCs w:val="22"/>
                <w:lang w:val="en-US"/>
              </w:rPr>
            </w:pPr>
            <w:r w:rsidRPr="002F1CBE">
              <w:rPr>
                <w:lang w:val="en-US"/>
              </w:rPr>
              <w:t>Beta</w:t>
            </w:r>
          </w:p>
        </w:tc>
        <w:tc>
          <w:tcPr>
            <w:tcW w:w="588" w:type="pct"/>
            <w:vMerge/>
            <w:vAlign w:val="center"/>
          </w:tcPr>
          <w:p w14:paraId="1D068951" w14:textId="77777777" w:rsidR="00E74CCA" w:rsidRPr="002F1CBE" w:rsidRDefault="00E74CCA" w:rsidP="00E74CCA">
            <w:pPr>
              <w:pStyle w:val="Tabletext0"/>
              <w:rPr>
                <w:lang w:val="en-US"/>
              </w:rPr>
            </w:pPr>
          </w:p>
        </w:tc>
      </w:tr>
      <w:tr w:rsidR="00E74CCA" w:rsidRPr="002F1CBE" w14:paraId="781FDEEC" w14:textId="1ECEB42E" w:rsidTr="00E74CCA">
        <w:trPr>
          <w:trHeight w:val="285"/>
        </w:trPr>
        <w:tc>
          <w:tcPr>
            <w:tcW w:w="1615" w:type="pct"/>
            <w:shd w:val="clear" w:color="auto" w:fill="auto"/>
            <w:noWrap/>
            <w:vAlign w:val="center"/>
          </w:tcPr>
          <w:p w14:paraId="08F2ADE7" w14:textId="1D7E5700" w:rsidR="00E74CCA" w:rsidRPr="002F1CBE" w:rsidRDefault="00E74CCA" w:rsidP="00E74CCA">
            <w:pPr>
              <w:pStyle w:val="Tabletext0"/>
              <w:rPr>
                <w:szCs w:val="22"/>
                <w:lang w:val="en-US"/>
              </w:rPr>
            </w:pPr>
            <w:r w:rsidRPr="002F1CBE">
              <w:rPr>
                <w:lang w:val="en-US"/>
              </w:rPr>
              <w:t>Neutrophil count decreased</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610620CD" w14:textId="2A1C11C9" w:rsidR="00E74CCA" w:rsidRPr="002F1CBE" w:rsidRDefault="00E74CCA" w:rsidP="00E74CCA">
            <w:pPr>
              <w:pStyle w:val="Tabletext0"/>
              <w:rPr>
                <w:szCs w:val="22"/>
                <w:lang w:val="en-US"/>
              </w:rPr>
            </w:pPr>
            <w:r>
              <w:rPr>
                <w:color w:val="000000"/>
                <w:szCs w:val="22"/>
              </w:rPr>
              <w:t>14.29%</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2546EB" w14:textId="11E32197" w:rsidR="00E74CCA" w:rsidRPr="002F1CBE" w:rsidRDefault="00E74CCA" w:rsidP="00E74CCA">
            <w:pPr>
              <w:pStyle w:val="Tabletext0"/>
              <w:rPr>
                <w:szCs w:val="22"/>
                <w:lang w:val="en-US"/>
              </w:rPr>
            </w:pPr>
            <w:r>
              <w:rPr>
                <w:color w:val="000000"/>
                <w:szCs w:val="22"/>
              </w:rPr>
              <w:t>9.43%</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081E752C" w14:textId="518C61F7" w:rsidR="00E74CCA" w:rsidRPr="002F1CBE" w:rsidRDefault="00E74CCA" w:rsidP="00E74CCA">
            <w:pPr>
              <w:pStyle w:val="Tabletext0"/>
              <w:rPr>
                <w:szCs w:val="22"/>
                <w:lang w:val="en-US"/>
              </w:rPr>
            </w:pPr>
            <w:r>
              <w:rPr>
                <w:color w:val="000000"/>
                <w:szCs w:val="22"/>
              </w:rPr>
              <w:t>19.95%</w:t>
            </w:r>
          </w:p>
        </w:tc>
        <w:tc>
          <w:tcPr>
            <w:tcW w:w="589" w:type="pct"/>
            <w:shd w:val="clear" w:color="auto" w:fill="auto"/>
            <w:noWrap/>
            <w:vAlign w:val="center"/>
          </w:tcPr>
          <w:p w14:paraId="1381DD9F" w14:textId="77777777" w:rsidR="00E74CCA" w:rsidRPr="002F1CBE" w:rsidRDefault="00E74CCA" w:rsidP="00E74CCA">
            <w:pPr>
              <w:pStyle w:val="Tabletext0"/>
              <w:rPr>
                <w:szCs w:val="22"/>
                <w:lang w:val="en-US"/>
              </w:rPr>
            </w:pPr>
            <w:r w:rsidRPr="002F1CBE">
              <w:rPr>
                <w:lang w:val="en-US"/>
              </w:rPr>
              <w:t>Beta</w:t>
            </w:r>
          </w:p>
        </w:tc>
        <w:tc>
          <w:tcPr>
            <w:tcW w:w="588" w:type="pct"/>
            <w:vMerge/>
            <w:vAlign w:val="center"/>
          </w:tcPr>
          <w:p w14:paraId="7AE314AF" w14:textId="77777777" w:rsidR="00E74CCA" w:rsidRPr="002F1CBE" w:rsidRDefault="00E74CCA" w:rsidP="00E74CCA">
            <w:pPr>
              <w:pStyle w:val="Tabletext0"/>
              <w:rPr>
                <w:lang w:val="en-US"/>
              </w:rPr>
            </w:pPr>
          </w:p>
        </w:tc>
      </w:tr>
      <w:tr w:rsidR="00E74CCA" w:rsidRPr="002F1CBE" w14:paraId="58420B6A" w14:textId="749D84D1" w:rsidTr="00E74CCA">
        <w:trPr>
          <w:trHeight w:val="285"/>
        </w:trPr>
        <w:tc>
          <w:tcPr>
            <w:tcW w:w="1615" w:type="pct"/>
            <w:shd w:val="clear" w:color="auto" w:fill="auto"/>
            <w:noWrap/>
            <w:vAlign w:val="center"/>
          </w:tcPr>
          <w:p w14:paraId="79B7EC7B" w14:textId="12DC4EB4" w:rsidR="00E74CCA" w:rsidRPr="002F1CBE" w:rsidRDefault="00E74CCA" w:rsidP="00E74CCA">
            <w:pPr>
              <w:pStyle w:val="Tabletext0"/>
              <w:rPr>
                <w:szCs w:val="22"/>
                <w:lang w:val="en-US"/>
              </w:rPr>
            </w:pPr>
            <w:r w:rsidRPr="002F1CBE">
              <w:rPr>
                <w:lang w:val="en-US"/>
              </w:rPr>
              <w:t xml:space="preserve">White blood cell count decreased </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FF8287E" w14:textId="11971ED8" w:rsidR="00E74CCA" w:rsidRPr="002F1CBE" w:rsidRDefault="00E74CCA" w:rsidP="00E74CCA">
            <w:pPr>
              <w:pStyle w:val="Tabletext0"/>
              <w:rPr>
                <w:szCs w:val="22"/>
                <w:lang w:val="en-US"/>
              </w:rPr>
            </w:pPr>
            <w:r>
              <w:rPr>
                <w:color w:val="000000"/>
                <w:szCs w:val="22"/>
              </w:rPr>
              <w:t>5.95%</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61C5A" w14:textId="6D86FD56" w:rsidR="00E74CCA" w:rsidRPr="002F1CBE" w:rsidRDefault="00E74CCA" w:rsidP="00E74CCA">
            <w:pPr>
              <w:pStyle w:val="Tabletext0"/>
              <w:rPr>
                <w:szCs w:val="22"/>
                <w:lang w:val="en-US"/>
              </w:rPr>
            </w:pPr>
            <w:r>
              <w:rPr>
                <w:color w:val="000000"/>
                <w:szCs w:val="22"/>
              </w:rPr>
              <w:t>2.91%</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4CEA7379" w14:textId="6EB1C746" w:rsidR="00E74CCA" w:rsidRPr="002F1CBE" w:rsidRDefault="00E74CCA" w:rsidP="00E74CCA">
            <w:pPr>
              <w:pStyle w:val="Tabletext0"/>
              <w:rPr>
                <w:szCs w:val="22"/>
                <w:lang w:val="en-US"/>
              </w:rPr>
            </w:pPr>
            <w:r>
              <w:rPr>
                <w:color w:val="000000"/>
                <w:szCs w:val="22"/>
              </w:rPr>
              <w:t>9.98%</w:t>
            </w:r>
          </w:p>
        </w:tc>
        <w:tc>
          <w:tcPr>
            <w:tcW w:w="589" w:type="pct"/>
            <w:shd w:val="clear" w:color="auto" w:fill="auto"/>
            <w:noWrap/>
            <w:vAlign w:val="center"/>
          </w:tcPr>
          <w:p w14:paraId="595CCD6F" w14:textId="77777777" w:rsidR="00E74CCA" w:rsidRPr="002F1CBE" w:rsidRDefault="00E74CCA" w:rsidP="00E74CCA">
            <w:pPr>
              <w:pStyle w:val="Tabletext0"/>
              <w:rPr>
                <w:szCs w:val="22"/>
                <w:lang w:val="en-US"/>
              </w:rPr>
            </w:pPr>
            <w:r w:rsidRPr="002F1CBE">
              <w:rPr>
                <w:lang w:val="en-US"/>
              </w:rPr>
              <w:t>Beta</w:t>
            </w:r>
          </w:p>
        </w:tc>
        <w:tc>
          <w:tcPr>
            <w:tcW w:w="588" w:type="pct"/>
            <w:vMerge/>
            <w:vAlign w:val="center"/>
          </w:tcPr>
          <w:p w14:paraId="59FD40E2" w14:textId="77777777" w:rsidR="00E74CCA" w:rsidRPr="002F1CBE" w:rsidRDefault="00E74CCA" w:rsidP="00E74CCA">
            <w:pPr>
              <w:pStyle w:val="Tabletext0"/>
              <w:rPr>
                <w:lang w:val="en-US"/>
              </w:rPr>
            </w:pPr>
          </w:p>
        </w:tc>
      </w:tr>
      <w:tr w:rsidR="00E74CCA" w:rsidRPr="002F1CBE" w14:paraId="0244AB02" w14:textId="77777777" w:rsidTr="00E74CCA">
        <w:trPr>
          <w:trHeight w:val="285"/>
        </w:trPr>
        <w:tc>
          <w:tcPr>
            <w:tcW w:w="1615" w:type="pct"/>
            <w:shd w:val="clear" w:color="auto" w:fill="auto"/>
            <w:noWrap/>
            <w:vAlign w:val="center"/>
          </w:tcPr>
          <w:p w14:paraId="40CE5358" w14:textId="27CCC4F3" w:rsidR="00E74CCA" w:rsidRPr="002F1CBE" w:rsidRDefault="00E74CCA" w:rsidP="00E74CCA">
            <w:pPr>
              <w:pStyle w:val="Tabletext0"/>
              <w:rPr>
                <w:lang w:val="en-US"/>
              </w:rPr>
            </w:pPr>
            <w:r>
              <w:rPr>
                <w:lang w:val="en-US"/>
              </w:rPr>
              <w:t>Asthenia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466036B1" w14:textId="3536AC29" w:rsidR="00E74CCA" w:rsidRPr="002F1CBE" w:rsidRDefault="00E74CCA" w:rsidP="00E74CCA">
            <w:pPr>
              <w:pStyle w:val="Tabletext0"/>
              <w:rPr>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EECAE" w14:textId="0D7771BF" w:rsidR="00E74CCA" w:rsidRPr="002F1CBE" w:rsidRDefault="00E74CCA" w:rsidP="00E74CCA">
            <w:pPr>
              <w:pStyle w:val="Tabletext0"/>
              <w:rPr>
                <w:lang w:val="en-US"/>
              </w:rPr>
            </w:pPr>
            <w:r>
              <w:rPr>
                <w:color w:val="000000"/>
                <w:szCs w:val="22"/>
              </w:rPr>
              <w:t>0.00%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616ABAE2" w14:textId="3A535F7D" w:rsidR="00E74CCA" w:rsidRPr="002F1CBE" w:rsidRDefault="00E74CCA" w:rsidP="00E74CCA">
            <w:pPr>
              <w:pStyle w:val="Tabletext0"/>
              <w:rPr>
                <w:lang w:val="en-US"/>
              </w:rPr>
            </w:pPr>
            <w:r>
              <w:rPr>
                <w:color w:val="000000"/>
                <w:szCs w:val="22"/>
              </w:rPr>
              <w:t>0.00%</w:t>
            </w:r>
          </w:p>
        </w:tc>
        <w:tc>
          <w:tcPr>
            <w:tcW w:w="589" w:type="pct"/>
            <w:shd w:val="clear" w:color="auto" w:fill="auto"/>
            <w:noWrap/>
            <w:vAlign w:val="center"/>
          </w:tcPr>
          <w:p w14:paraId="56904AB0" w14:textId="717D7109" w:rsidR="00E74CCA" w:rsidRPr="002F1CBE" w:rsidRDefault="00E74CCA" w:rsidP="00E74CCA">
            <w:pPr>
              <w:pStyle w:val="Tabletext0"/>
              <w:rPr>
                <w:lang w:val="en-US"/>
              </w:rPr>
            </w:pPr>
            <w:r>
              <w:rPr>
                <w:lang w:val="en-US"/>
              </w:rPr>
              <w:t>Beta</w:t>
            </w:r>
          </w:p>
        </w:tc>
        <w:tc>
          <w:tcPr>
            <w:tcW w:w="588" w:type="pct"/>
            <w:vMerge/>
            <w:vAlign w:val="center"/>
          </w:tcPr>
          <w:p w14:paraId="788E32ED" w14:textId="77777777" w:rsidR="00E74CCA" w:rsidRPr="002F1CBE" w:rsidRDefault="00E74CCA" w:rsidP="00E74CCA">
            <w:pPr>
              <w:pStyle w:val="Tabletext0"/>
              <w:rPr>
                <w:lang w:val="en-US"/>
              </w:rPr>
            </w:pPr>
          </w:p>
        </w:tc>
      </w:tr>
      <w:tr w:rsidR="00E74CCA" w:rsidRPr="002F1CBE" w14:paraId="46638AEB" w14:textId="726EA979" w:rsidTr="00E74CCA">
        <w:trPr>
          <w:trHeight w:val="285"/>
        </w:trPr>
        <w:tc>
          <w:tcPr>
            <w:tcW w:w="1615" w:type="pct"/>
            <w:shd w:val="clear" w:color="auto" w:fill="auto"/>
            <w:noWrap/>
            <w:vAlign w:val="center"/>
          </w:tcPr>
          <w:p w14:paraId="2F06300B" w14:textId="28C40F9B" w:rsidR="00E74CCA" w:rsidRPr="002F1CBE" w:rsidRDefault="00E74CCA" w:rsidP="00E74CCA">
            <w:pPr>
              <w:pStyle w:val="Tabletext0"/>
              <w:rPr>
                <w:szCs w:val="22"/>
                <w:lang w:val="en-US"/>
              </w:rPr>
            </w:pPr>
            <w:r w:rsidRPr="002F1CBE">
              <w:rPr>
                <w:lang w:val="en-US"/>
              </w:rPr>
              <w:t>Peripheral sensory neuropathy</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B6DE01A" w14:textId="2B83139B" w:rsidR="00E74CCA" w:rsidRPr="002F1CBE" w:rsidRDefault="00E74CCA" w:rsidP="00E74CCA">
            <w:pPr>
              <w:pStyle w:val="Tabletext0"/>
              <w:rPr>
                <w:szCs w:val="22"/>
                <w:lang w:val="en-US"/>
              </w:rPr>
            </w:pPr>
            <w:r>
              <w:rPr>
                <w:color w:val="000000"/>
                <w:szCs w:val="22"/>
              </w:rPr>
              <w:t>2.98%</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B1192" w14:textId="5E93E8F0" w:rsidR="00E74CCA" w:rsidRPr="002F1CBE" w:rsidRDefault="00E74CCA" w:rsidP="00E74CCA">
            <w:pPr>
              <w:pStyle w:val="Tabletext0"/>
              <w:rPr>
                <w:szCs w:val="22"/>
                <w:lang w:val="en-US"/>
              </w:rPr>
            </w:pPr>
            <w:r>
              <w:rPr>
                <w:color w:val="000000"/>
                <w:szCs w:val="22"/>
              </w:rPr>
              <w:t>1.14%</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321DFCDC" w14:textId="6B5C31E7" w:rsidR="00E74CCA" w:rsidRPr="002F1CBE" w:rsidRDefault="00E74CCA" w:rsidP="00E74CCA">
            <w:pPr>
              <w:pStyle w:val="Tabletext0"/>
              <w:rPr>
                <w:szCs w:val="22"/>
                <w:lang w:val="en-US"/>
              </w:rPr>
            </w:pPr>
            <w:r>
              <w:rPr>
                <w:color w:val="000000"/>
                <w:szCs w:val="22"/>
              </w:rPr>
              <w:t>6.40%</w:t>
            </w:r>
          </w:p>
        </w:tc>
        <w:tc>
          <w:tcPr>
            <w:tcW w:w="589" w:type="pct"/>
            <w:shd w:val="clear" w:color="auto" w:fill="auto"/>
            <w:noWrap/>
            <w:vAlign w:val="center"/>
          </w:tcPr>
          <w:p w14:paraId="437A5033" w14:textId="77777777" w:rsidR="00E74CCA" w:rsidRPr="002F1CBE" w:rsidRDefault="00E74CCA" w:rsidP="00E74CCA">
            <w:pPr>
              <w:pStyle w:val="Tabletext0"/>
              <w:rPr>
                <w:szCs w:val="22"/>
                <w:lang w:val="en-US"/>
              </w:rPr>
            </w:pPr>
            <w:r w:rsidRPr="002F1CBE">
              <w:rPr>
                <w:lang w:val="en-US"/>
              </w:rPr>
              <w:t>Beta</w:t>
            </w:r>
          </w:p>
        </w:tc>
        <w:tc>
          <w:tcPr>
            <w:tcW w:w="588" w:type="pct"/>
            <w:vMerge/>
            <w:vAlign w:val="center"/>
          </w:tcPr>
          <w:p w14:paraId="1A686991" w14:textId="77777777" w:rsidR="00E74CCA" w:rsidRPr="002F1CBE" w:rsidRDefault="00E74CCA" w:rsidP="00E74CCA">
            <w:pPr>
              <w:pStyle w:val="Tabletext0"/>
              <w:rPr>
                <w:lang w:val="en-US"/>
              </w:rPr>
            </w:pPr>
          </w:p>
        </w:tc>
      </w:tr>
      <w:tr w:rsidR="00E74CCA" w:rsidRPr="002F1CBE" w14:paraId="33A01886" w14:textId="32A694A7" w:rsidTr="00E74CCA">
        <w:trPr>
          <w:trHeight w:val="285"/>
        </w:trPr>
        <w:tc>
          <w:tcPr>
            <w:tcW w:w="1615" w:type="pct"/>
            <w:shd w:val="clear" w:color="auto" w:fill="auto"/>
            <w:noWrap/>
            <w:vAlign w:val="center"/>
          </w:tcPr>
          <w:p w14:paraId="73D543C4" w14:textId="04977A57" w:rsidR="00E74CCA" w:rsidRPr="002F1CBE" w:rsidRDefault="00E74CCA" w:rsidP="00E74CCA">
            <w:pPr>
              <w:pStyle w:val="Tabletext0"/>
              <w:rPr>
                <w:szCs w:val="22"/>
                <w:lang w:val="en-US"/>
              </w:rPr>
            </w:pPr>
            <w:r w:rsidRPr="002F1CBE">
              <w:rPr>
                <w:lang w:val="en-US"/>
              </w:rPr>
              <w:t>Diarrhea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5795B3B5" w14:textId="4AF34847" w:rsidR="00E74CCA" w:rsidRPr="002F1CBE" w:rsidRDefault="00E74CCA" w:rsidP="00E74CCA">
            <w:pPr>
              <w:pStyle w:val="Tabletext0"/>
              <w:rPr>
                <w:szCs w:val="22"/>
                <w:lang w:val="en-US"/>
              </w:rPr>
            </w:pPr>
            <w:r>
              <w:rPr>
                <w:color w:val="000000"/>
                <w:szCs w:val="22"/>
              </w:rPr>
              <w:t>3.57%</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1C0A30" w14:textId="7228B238" w:rsidR="00E74CCA" w:rsidRPr="002F1CBE" w:rsidRDefault="00E74CCA" w:rsidP="00E74CCA">
            <w:pPr>
              <w:pStyle w:val="Tabletext0"/>
              <w:rPr>
                <w:szCs w:val="22"/>
                <w:lang w:val="en-US"/>
              </w:rPr>
            </w:pPr>
            <w:r>
              <w:rPr>
                <w:color w:val="000000"/>
                <w:szCs w:val="22"/>
              </w:rPr>
              <w:t>1.33%</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3FBF8856" w14:textId="1E49F3CD" w:rsidR="00E74CCA" w:rsidRPr="002F1CBE" w:rsidRDefault="00E74CCA" w:rsidP="00E74CCA">
            <w:pPr>
              <w:pStyle w:val="Tabletext0"/>
              <w:rPr>
                <w:szCs w:val="22"/>
                <w:lang w:val="en-US"/>
              </w:rPr>
            </w:pPr>
            <w:r>
              <w:rPr>
                <w:color w:val="000000"/>
                <w:szCs w:val="22"/>
              </w:rPr>
              <w:t>6.85%</w:t>
            </w:r>
          </w:p>
        </w:tc>
        <w:tc>
          <w:tcPr>
            <w:tcW w:w="589" w:type="pct"/>
            <w:shd w:val="clear" w:color="auto" w:fill="auto"/>
            <w:noWrap/>
            <w:vAlign w:val="center"/>
          </w:tcPr>
          <w:p w14:paraId="31DE2E39" w14:textId="77777777" w:rsidR="00E74CCA" w:rsidRPr="002F1CBE" w:rsidRDefault="00E74CCA" w:rsidP="00E74CCA">
            <w:pPr>
              <w:pStyle w:val="Tabletext0"/>
              <w:rPr>
                <w:szCs w:val="22"/>
                <w:lang w:val="en-US"/>
              </w:rPr>
            </w:pPr>
            <w:r w:rsidRPr="002F1CBE">
              <w:rPr>
                <w:lang w:val="en-US"/>
              </w:rPr>
              <w:t>Beta</w:t>
            </w:r>
          </w:p>
        </w:tc>
        <w:tc>
          <w:tcPr>
            <w:tcW w:w="588" w:type="pct"/>
            <w:vMerge/>
            <w:vAlign w:val="center"/>
          </w:tcPr>
          <w:p w14:paraId="3BA18E41" w14:textId="77777777" w:rsidR="00E74CCA" w:rsidRPr="002F1CBE" w:rsidRDefault="00E74CCA" w:rsidP="00E74CCA">
            <w:pPr>
              <w:pStyle w:val="Tabletext0"/>
              <w:rPr>
                <w:lang w:val="en-US"/>
              </w:rPr>
            </w:pPr>
          </w:p>
        </w:tc>
      </w:tr>
      <w:tr w:rsidR="00E74CCA" w:rsidRPr="002F1CBE" w14:paraId="19D985A4" w14:textId="3FDB274F" w:rsidTr="00E74CCA">
        <w:trPr>
          <w:trHeight w:val="285"/>
        </w:trPr>
        <w:tc>
          <w:tcPr>
            <w:tcW w:w="1615" w:type="pct"/>
            <w:shd w:val="clear" w:color="auto" w:fill="auto"/>
            <w:noWrap/>
            <w:vAlign w:val="center"/>
          </w:tcPr>
          <w:p w14:paraId="1FD9A206" w14:textId="423D0497" w:rsidR="00E74CCA" w:rsidRPr="002F1CBE" w:rsidRDefault="00E74CCA" w:rsidP="00E74CCA">
            <w:pPr>
              <w:pStyle w:val="Tabletext0"/>
              <w:rPr>
                <w:szCs w:val="22"/>
                <w:lang w:val="en-US"/>
              </w:rPr>
            </w:pPr>
            <w:r w:rsidRPr="002F1CBE">
              <w:rPr>
                <w:lang w:val="en-US"/>
              </w:rPr>
              <w:t>Leukopenia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7B2995BF" w14:textId="161AB0DA" w:rsidR="00E74CCA" w:rsidRPr="002F1CBE" w:rsidRDefault="00E74CCA" w:rsidP="00E74CCA">
            <w:pPr>
              <w:pStyle w:val="Tabletext0"/>
              <w:rPr>
                <w:szCs w:val="22"/>
                <w:lang w:val="en-US"/>
              </w:rPr>
            </w:pPr>
            <w:r>
              <w:rPr>
                <w:color w:val="000000"/>
                <w:szCs w:val="22"/>
              </w:rPr>
              <w:t>2.98%</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62AADD" w14:textId="18FF6993" w:rsidR="00E74CCA" w:rsidRPr="002F1CBE" w:rsidRDefault="00E74CCA" w:rsidP="00E74CCA">
            <w:pPr>
              <w:pStyle w:val="Tabletext0"/>
              <w:rPr>
                <w:szCs w:val="22"/>
                <w:lang w:val="en-US"/>
              </w:rPr>
            </w:pPr>
            <w:r>
              <w:rPr>
                <w:color w:val="000000"/>
                <w:szCs w:val="22"/>
              </w:rPr>
              <w:t>1.14%</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3541981C" w14:textId="1981DFBB" w:rsidR="00E74CCA" w:rsidRPr="002F1CBE" w:rsidRDefault="00E74CCA" w:rsidP="00E74CCA">
            <w:pPr>
              <w:pStyle w:val="Tabletext0"/>
              <w:rPr>
                <w:szCs w:val="22"/>
                <w:lang w:val="en-US"/>
              </w:rPr>
            </w:pPr>
            <w:r>
              <w:rPr>
                <w:color w:val="000000"/>
                <w:szCs w:val="22"/>
              </w:rPr>
              <w:t>6.40%</w:t>
            </w:r>
          </w:p>
        </w:tc>
        <w:tc>
          <w:tcPr>
            <w:tcW w:w="589" w:type="pct"/>
            <w:shd w:val="clear" w:color="auto" w:fill="auto"/>
            <w:noWrap/>
            <w:vAlign w:val="center"/>
          </w:tcPr>
          <w:p w14:paraId="30752A03" w14:textId="77777777" w:rsidR="00E74CCA" w:rsidRPr="002F1CBE" w:rsidRDefault="00E74CCA" w:rsidP="00E74CCA">
            <w:pPr>
              <w:pStyle w:val="Tabletext0"/>
              <w:rPr>
                <w:szCs w:val="22"/>
                <w:lang w:val="en-US"/>
              </w:rPr>
            </w:pPr>
            <w:r w:rsidRPr="002F1CBE">
              <w:rPr>
                <w:lang w:val="en-US"/>
              </w:rPr>
              <w:t>Beta</w:t>
            </w:r>
          </w:p>
        </w:tc>
        <w:tc>
          <w:tcPr>
            <w:tcW w:w="588" w:type="pct"/>
            <w:vMerge/>
            <w:vAlign w:val="center"/>
          </w:tcPr>
          <w:p w14:paraId="557FD76B" w14:textId="77777777" w:rsidR="00E74CCA" w:rsidRPr="002F1CBE" w:rsidRDefault="00E74CCA" w:rsidP="00E74CCA">
            <w:pPr>
              <w:pStyle w:val="Tabletext0"/>
              <w:rPr>
                <w:lang w:val="en-US"/>
              </w:rPr>
            </w:pPr>
          </w:p>
        </w:tc>
      </w:tr>
      <w:tr w:rsidR="00E74CCA" w:rsidRPr="002F1CBE" w14:paraId="1528764C" w14:textId="77777777" w:rsidTr="00A00B39">
        <w:trPr>
          <w:trHeight w:val="285"/>
        </w:trPr>
        <w:tc>
          <w:tcPr>
            <w:tcW w:w="5000" w:type="pct"/>
            <w:gridSpan w:val="6"/>
            <w:shd w:val="clear" w:color="auto" w:fill="auto"/>
            <w:noWrap/>
            <w:vAlign w:val="center"/>
          </w:tcPr>
          <w:p w14:paraId="7D007228" w14:textId="481BD422" w:rsidR="00E74CCA" w:rsidRPr="002F1CBE" w:rsidRDefault="00E74CCA" w:rsidP="00E74CCA">
            <w:pPr>
              <w:pStyle w:val="Tabletext0"/>
              <w:rPr>
                <w:lang w:val="en-US"/>
              </w:rPr>
            </w:pPr>
            <w:r w:rsidRPr="002F1CBE">
              <w:rPr>
                <w:b/>
                <w:i/>
                <w:szCs w:val="22"/>
                <w:lang w:val="en-US"/>
              </w:rPr>
              <w:t xml:space="preserve">%AE </w:t>
            </w:r>
            <w:r>
              <w:rPr>
                <w:b/>
                <w:i/>
                <w:szCs w:val="22"/>
                <w:lang w:val="en-US"/>
              </w:rPr>
              <w:t>atezolizumab</w:t>
            </w:r>
          </w:p>
        </w:tc>
      </w:tr>
      <w:tr w:rsidR="00E74CCA" w:rsidRPr="002F1CBE" w14:paraId="1AAAEBC8" w14:textId="77777777" w:rsidTr="00E74CCA">
        <w:trPr>
          <w:trHeight w:val="285"/>
        </w:trPr>
        <w:tc>
          <w:tcPr>
            <w:tcW w:w="1615" w:type="pct"/>
            <w:shd w:val="clear" w:color="auto" w:fill="auto"/>
            <w:noWrap/>
            <w:vAlign w:val="center"/>
          </w:tcPr>
          <w:p w14:paraId="4C4F0E8F" w14:textId="0B1A5174" w:rsidR="00E74CCA" w:rsidRPr="002F1CBE" w:rsidRDefault="00E74CCA" w:rsidP="00E74CCA">
            <w:pPr>
              <w:pStyle w:val="Tabletext0"/>
              <w:rPr>
                <w:lang w:val="en-US"/>
              </w:rPr>
            </w:pPr>
            <w:r w:rsidRPr="002F1CBE">
              <w:rPr>
                <w:lang w:val="en-US"/>
              </w:rPr>
              <w:t>Anemia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FEE72B2" w14:textId="5595E6B5" w:rsidR="00E74CCA" w:rsidRDefault="00E74CCA" w:rsidP="00E74CCA">
            <w:pPr>
              <w:pStyle w:val="Tabletext0"/>
              <w:rPr>
                <w:color w:val="000000"/>
                <w:szCs w:val="22"/>
              </w:rPr>
            </w:pPr>
            <w:r>
              <w:rPr>
                <w:color w:val="000000"/>
                <w:szCs w:val="22"/>
              </w:rPr>
              <w:t>1.96%</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B2DBF9" w14:textId="51FAD25A" w:rsidR="00E74CCA" w:rsidRDefault="00E74CCA" w:rsidP="00E74CCA">
            <w:pPr>
              <w:pStyle w:val="Tabletext0"/>
              <w:rPr>
                <w:color w:val="000000"/>
                <w:szCs w:val="22"/>
              </w:rPr>
            </w:pPr>
            <w:r>
              <w:rPr>
                <w:color w:val="000000"/>
                <w:szCs w:val="22"/>
              </w:rPr>
              <w:t>0.90%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6DADB9F8" w14:textId="1E649C91" w:rsidR="00E74CCA" w:rsidRDefault="00E74CCA" w:rsidP="00E74CCA">
            <w:pPr>
              <w:pStyle w:val="Tabletext0"/>
              <w:rPr>
                <w:color w:val="000000"/>
                <w:szCs w:val="22"/>
              </w:rPr>
            </w:pPr>
            <w:r>
              <w:rPr>
                <w:color w:val="000000"/>
                <w:szCs w:val="22"/>
              </w:rPr>
              <w:t>3.41%</w:t>
            </w:r>
          </w:p>
        </w:tc>
        <w:tc>
          <w:tcPr>
            <w:tcW w:w="589" w:type="pct"/>
            <w:shd w:val="clear" w:color="auto" w:fill="auto"/>
            <w:noWrap/>
            <w:vAlign w:val="center"/>
          </w:tcPr>
          <w:p w14:paraId="3CC4491E" w14:textId="00C4A6A8" w:rsidR="00E74CCA" w:rsidRPr="002F1CBE" w:rsidRDefault="00E74CCA" w:rsidP="00E74CCA">
            <w:pPr>
              <w:pStyle w:val="Tabletext0"/>
              <w:rPr>
                <w:lang w:val="en-US"/>
              </w:rPr>
            </w:pPr>
            <w:r w:rsidRPr="002F1CBE">
              <w:rPr>
                <w:lang w:val="en-US"/>
              </w:rPr>
              <w:t>Beta</w:t>
            </w:r>
          </w:p>
        </w:tc>
        <w:tc>
          <w:tcPr>
            <w:tcW w:w="588" w:type="pct"/>
            <w:vMerge w:val="restart"/>
            <w:vAlign w:val="center"/>
          </w:tcPr>
          <w:p w14:paraId="5135DEA3" w14:textId="6586B006" w:rsidR="00E74CCA" w:rsidRPr="002F1CBE" w:rsidRDefault="00E74CCA" w:rsidP="00E74CCA">
            <w:pPr>
              <w:pStyle w:val="Tabletext0"/>
              <w:rPr>
                <w:lang w:val="en-US"/>
              </w:rPr>
            </w:pPr>
            <w:r>
              <w:rPr>
                <w:lang w:val="en-US"/>
              </w:rPr>
              <w:t>IMvigor211</w:t>
            </w:r>
            <w:r>
              <w:rPr>
                <w:lang w:val="en-US"/>
              </w:rPr>
              <w:fldChar w:fldCharType="begin">
                <w:fldData xml:space="preserve">PEVuZE5vdGU+PENpdGU+PEF1dGhvcj5Qb3dsZXM8L0F1dGhvcj48WWVhcj4yMDE4PC9ZZWFyPjxS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YW5kKTwvYWJici0xPjwvYWx0LXBlcmlvZGljYWw+PHBhZ2VzPjc0OC03NTc8L3BhZ2VzPjx2b2x1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==
</w:fldData>
              </w:fldChar>
            </w:r>
            <w:r>
              <w:rPr>
                <w:lang w:val="en-US"/>
              </w:rPr>
              <w:instrText xml:space="preserve"> ADDIN EN.CITE </w:instrText>
            </w:r>
            <w:r>
              <w:rPr>
                <w:lang w:val="en-US"/>
              </w:rPr>
              <w:fldChar w:fldCharType="begin">
                <w:fldData xml:space="preserve">PEVuZE5vdGU+PENpdGU+PEF1dGhvcj5Qb3dsZXM8L0F1dGhvcj48WWVhcj4yMDE4PC9ZZWFyPjxS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YW5kKTwvYWJici0xPjwvYWx0LXBlcmlvZGljYWw+PHBhZ2VzPjc0OC03NTc8L3BhZ2VzPjx2b2x1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==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[6]</w:t>
            </w:r>
            <w:r>
              <w:rPr>
                <w:lang w:val="en-US"/>
              </w:rPr>
              <w:fldChar w:fldCharType="end"/>
            </w:r>
          </w:p>
        </w:tc>
      </w:tr>
      <w:tr w:rsidR="00E74CCA" w:rsidRPr="002F1CBE" w14:paraId="121275DD" w14:textId="77777777" w:rsidTr="00E74CCA">
        <w:trPr>
          <w:trHeight w:val="285"/>
        </w:trPr>
        <w:tc>
          <w:tcPr>
            <w:tcW w:w="1615" w:type="pct"/>
            <w:shd w:val="clear" w:color="auto" w:fill="auto"/>
            <w:noWrap/>
            <w:vAlign w:val="center"/>
          </w:tcPr>
          <w:p w14:paraId="2A2425F5" w14:textId="0BB38C36" w:rsidR="00E74CCA" w:rsidRPr="002F1CBE" w:rsidRDefault="00E74CCA" w:rsidP="00E74CCA">
            <w:pPr>
              <w:pStyle w:val="Tabletext0"/>
              <w:rPr>
                <w:lang w:val="en-US"/>
              </w:rPr>
            </w:pPr>
            <w:r w:rsidRPr="002F1CBE">
              <w:rPr>
                <w:lang w:val="en-US"/>
              </w:rPr>
              <w:t>Fatigue</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47D0FAB9" w14:textId="72C09DF5" w:rsidR="00E74CCA" w:rsidRDefault="00E74CCA" w:rsidP="00E74CCA">
            <w:pPr>
              <w:pStyle w:val="Tabletext0"/>
              <w:rPr>
                <w:color w:val="000000"/>
                <w:szCs w:val="22"/>
              </w:rPr>
            </w:pPr>
            <w:r>
              <w:rPr>
                <w:color w:val="000000"/>
                <w:szCs w:val="22"/>
              </w:rPr>
              <w:t>1.53%</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F796D" w14:textId="14D7204C" w:rsidR="00E74CCA" w:rsidRDefault="00E74CCA" w:rsidP="00E74CCA">
            <w:pPr>
              <w:pStyle w:val="Tabletext0"/>
              <w:rPr>
                <w:color w:val="000000"/>
                <w:szCs w:val="22"/>
              </w:rPr>
            </w:pPr>
            <w:r>
              <w:rPr>
                <w:color w:val="000000"/>
                <w:szCs w:val="22"/>
              </w:rPr>
              <w:t>0.62%</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33522BDB" w14:textId="1BFED13D" w:rsidR="00E74CCA" w:rsidRDefault="00E74CCA" w:rsidP="00E74CCA">
            <w:pPr>
              <w:pStyle w:val="Tabletext0"/>
              <w:rPr>
                <w:color w:val="000000"/>
                <w:szCs w:val="22"/>
              </w:rPr>
            </w:pPr>
            <w:r>
              <w:rPr>
                <w:color w:val="000000"/>
                <w:szCs w:val="22"/>
              </w:rPr>
              <w:t>2.83%</w:t>
            </w:r>
          </w:p>
        </w:tc>
        <w:tc>
          <w:tcPr>
            <w:tcW w:w="589" w:type="pct"/>
            <w:shd w:val="clear" w:color="auto" w:fill="auto"/>
            <w:noWrap/>
            <w:vAlign w:val="center"/>
          </w:tcPr>
          <w:p w14:paraId="7269418E" w14:textId="133A36AD" w:rsidR="00E74CCA" w:rsidRPr="002F1CBE" w:rsidRDefault="00E74CCA" w:rsidP="00E74CCA">
            <w:pPr>
              <w:pStyle w:val="Tabletext0"/>
              <w:rPr>
                <w:lang w:val="en-US"/>
              </w:rPr>
            </w:pPr>
            <w:r w:rsidRPr="002F1CBE">
              <w:rPr>
                <w:lang w:val="en-US"/>
              </w:rPr>
              <w:t>Beta</w:t>
            </w:r>
          </w:p>
        </w:tc>
        <w:tc>
          <w:tcPr>
            <w:tcW w:w="588" w:type="pct"/>
            <w:vMerge/>
            <w:vAlign w:val="center"/>
          </w:tcPr>
          <w:p w14:paraId="4B04CBFD" w14:textId="77777777" w:rsidR="00E74CCA" w:rsidRPr="002F1CBE" w:rsidRDefault="00E74CCA" w:rsidP="00E74CCA">
            <w:pPr>
              <w:pStyle w:val="Tabletext0"/>
              <w:rPr>
                <w:lang w:val="en-US"/>
              </w:rPr>
            </w:pPr>
          </w:p>
        </w:tc>
      </w:tr>
      <w:tr w:rsidR="00E74CCA" w:rsidRPr="002F1CBE" w14:paraId="3D45F862" w14:textId="77777777" w:rsidTr="00E74CCA">
        <w:trPr>
          <w:trHeight w:val="285"/>
        </w:trPr>
        <w:tc>
          <w:tcPr>
            <w:tcW w:w="1615" w:type="pct"/>
            <w:shd w:val="clear" w:color="auto" w:fill="auto"/>
            <w:noWrap/>
            <w:vAlign w:val="center"/>
          </w:tcPr>
          <w:p w14:paraId="694067AA" w14:textId="0216A885" w:rsidR="00E74CCA" w:rsidRPr="002F1CBE" w:rsidRDefault="00E74CCA" w:rsidP="00E74CCA">
            <w:pPr>
              <w:pStyle w:val="Tabletext0"/>
              <w:rPr>
                <w:lang w:val="en-US"/>
              </w:rPr>
            </w:pPr>
            <w:r w:rsidRPr="002F1CBE">
              <w:rPr>
                <w:lang w:val="en-US"/>
              </w:rPr>
              <w:t>Febrile neutropenia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66D5D06D" w14:textId="6278AD3F" w:rsidR="00E74CCA" w:rsidRDefault="00E74CCA" w:rsidP="00E74CCA">
            <w:pPr>
              <w:pStyle w:val="Tabletext0"/>
              <w:rPr>
                <w:color w:val="000000"/>
                <w:szCs w:val="22"/>
              </w:rPr>
            </w:pPr>
            <w:r>
              <w:rPr>
                <w:color w:val="000000"/>
                <w:szCs w:val="22"/>
              </w:rPr>
              <w:t>0.22%</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A9E67A" w14:textId="19ADCB88" w:rsidR="00E74CCA" w:rsidRDefault="00E74CCA" w:rsidP="00E74CCA">
            <w:pPr>
              <w:pStyle w:val="Tabletext0"/>
              <w:rPr>
                <w:color w:val="000000"/>
                <w:szCs w:val="22"/>
              </w:rPr>
            </w:pPr>
            <w:r>
              <w:rPr>
                <w:color w:val="000000"/>
                <w:szCs w:val="22"/>
              </w:rPr>
              <w:t>0.02%</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17FB99FC" w14:textId="3B65E6FD" w:rsidR="00E74CCA" w:rsidRDefault="00E74CCA" w:rsidP="00E74CCA">
            <w:pPr>
              <w:pStyle w:val="Tabletext0"/>
              <w:rPr>
                <w:color w:val="000000"/>
                <w:szCs w:val="22"/>
              </w:rPr>
            </w:pPr>
            <w:r>
              <w:rPr>
                <w:color w:val="000000"/>
                <w:szCs w:val="22"/>
              </w:rPr>
              <w:t>1.01%</w:t>
            </w:r>
          </w:p>
        </w:tc>
        <w:tc>
          <w:tcPr>
            <w:tcW w:w="589" w:type="pct"/>
            <w:shd w:val="clear" w:color="auto" w:fill="auto"/>
            <w:noWrap/>
            <w:vAlign w:val="center"/>
          </w:tcPr>
          <w:p w14:paraId="2A4F0CD9" w14:textId="3B5054CE" w:rsidR="00E74CCA" w:rsidRPr="002F1CBE" w:rsidRDefault="00E74CCA" w:rsidP="00E74CCA">
            <w:pPr>
              <w:pStyle w:val="Tabletext0"/>
              <w:rPr>
                <w:lang w:val="en-US"/>
              </w:rPr>
            </w:pPr>
            <w:r w:rsidRPr="002F1CBE">
              <w:rPr>
                <w:lang w:val="en-US"/>
              </w:rPr>
              <w:t>Beta</w:t>
            </w:r>
          </w:p>
        </w:tc>
        <w:tc>
          <w:tcPr>
            <w:tcW w:w="588" w:type="pct"/>
            <w:vMerge/>
            <w:vAlign w:val="center"/>
          </w:tcPr>
          <w:p w14:paraId="35ACB26E" w14:textId="77777777" w:rsidR="00E74CCA" w:rsidRPr="002F1CBE" w:rsidRDefault="00E74CCA" w:rsidP="00E74CCA">
            <w:pPr>
              <w:pStyle w:val="Tabletext0"/>
              <w:rPr>
                <w:lang w:val="en-US"/>
              </w:rPr>
            </w:pPr>
          </w:p>
        </w:tc>
      </w:tr>
      <w:tr w:rsidR="00E74CCA" w:rsidRPr="002F1CBE" w14:paraId="2F0E8CD6" w14:textId="77777777" w:rsidTr="00E74CCA">
        <w:trPr>
          <w:trHeight w:val="285"/>
        </w:trPr>
        <w:tc>
          <w:tcPr>
            <w:tcW w:w="1615" w:type="pct"/>
            <w:shd w:val="clear" w:color="auto" w:fill="auto"/>
            <w:noWrap/>
            <w:vAlign w:val="center"/>
          </w:tcPr>
          <w:p w14:paraId="405699F3" w14:textId="3A4BB2EF" w:rsidR="00E74CCA" w:rsidRPr="002F1CBE" w:rsidRDefault="00E74CCA" w:rsidP="00E74CCA">
            <w:pPr>
              <w:pStyle w:val="Tabletext0"/>
              <w:rPr>
                <w:lang w:val="en-US"/>
              </w:rPr>
            </w:pPr>
            <w:r w:rsidRPr="002F1CBE">
              <w:rPr>
                <w:lang w:val="en-US"/>
              </w:rPr>
              <w:t>Lymphocyte count decreased</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555CCAA7" w14:textId="471ED2C9" w:rsidR="00E74CCA" w:rsidRDefault="00E74CCA" w:rsidP="00E74CCA">
            <w:pPr>
              <w:pStyle w:val="Tabletext0"/>
              <w:rPr>
                <w:color w:val="000000"/>
                <w:szCs w:val="22"/>
              </w:rPr>
            </w:pPr>
            <w:r>
              <w:rPr>
                <w:color w:val="000000"/>
                <w:szCs w:val="22"/>
              </w:rPr>
              <w:t>NR</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D75E87" w14:textId="47C54C23" w:rsidR="00E74CCA" w:rsidRDefault="00E74CCA" w:rsidP="00E74CCA">
            <w:pPr>
              <w:pStyle w:val="Tabletext0"/>
              <w:rPr>
                <w:color w:val="000000"/>
                <w:szCs w:val="22"/>
              </w:rPr>
            </w:pPr>
            <w:r>
              <w:rPr>
                <w:color w:val="000000"/>
                <w:szCs w:val="22"/>
              </w:rPr>
              <w:t>-</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58525688" w14:textId="7706B633" w:rsidR="00E74CCA" w:rsidRDefault="00E74CCA" w:rsidP="00E74CCA">
            <w:pPr>
              <w:pStyle w:val="Tabletext0"/>
              <w:rPr>
                <w:color w:val="000000"/>
                <w:szCs w:val="22"/>
              </w:rPr>
            </w:pPr>
            <w:r>
              <w:rPr>
                <w:color w:val="000000"/>
                <w:szCs w:val="22"/>
              </w:rPr>
              <w:t>-</w:t>
            </w:r>
          </w:p>
        </w:tc>
        <w:tc>
          <w:tcPr>
            <w:tcW w:w="589" w:type="pct"/>
            <w:shd w:val="clear" w:color="auto" w:fill="auto"/>
            <w:noWrap/>
            <w:vAlign w:val="center"/>
          </w:tcPr>
          <w:p w14:paraId="69CE720D" w14:textId="13D22C88" w:rsidR="00E74CCA" w:rsidRPr="002F1CBE" w:rsidRDefault="00E74CCA" w:rsidP="00E74CCA">
            <w:pPr>
              <w:pStyle w:val="Tabletext0"/>
              <w:rPr>
                <w:lang w:val="en-US"/>
              </w:rPr>
            </w:pPr>
            <w:r w:rsidRPr="002F1CBE">
              <w:rPr>
                <w:lang w:val="en-US"/>
              </w:rPr>
              <w:t>Beta</w:t>
            </w:r>
          </w:p>
        </w:tc>
        <w:tc>
          <w:tcPr>
            <w:tcW w:w="588" w:type="pct"/>
            <w:vMerge/>
            <w:vAlign w:val="center"/>
          </w:tcPr>
          <w:p w14:paraId="2FFA43FA" w14:textId="77777777" w:rsidR="00E74CCA" w:rsidRPr="002F1CBE" w:rsidRDefault="00E74CCA" w:rsidP="00E74CCA">
            <w:pPr>
              <w:pStyle w:val="Tabletext0"/>
              <w:rPr>
                <w:lang w:val="en-US"/>
              </w:rPr>
            </w:pPr>
          </w:p>
        </w:tc>
      </w:tr>
      <w:tr w:rsidR="00E74CCA" w:rsidRPr="002F1CBE" w14:paraId="297542CD" w14:textId="77777777" w:rsidTr="00E74CCA">
        <w:trPr>
          <w:trHeight w:val="285"/>
        </w:trPr>
        <w:tc>
          <w:tcPr>
            <w:tcW w:w="1615" w:type="pct"/>
            <w:shd w:val="clear" w:color="auto" w:fill="auto"/>
            <w:noWrap/>
            <w:vAlign w:val="center"/>
          </w:tcPr>
          <w:p w14:paraId="5C3DBE5D" w14:textId="051C52A5" w:rsidR="00E74CCA" w:rsidRPr="002F1CBE" w:rsidRDefault="00E74CCA" w:rsidP="00E74CCA">
            <w:pPr>
              <w:pStyle w:val="Tabletext0"/>
              <w:rPr>
                <w:lang w:val="en-US"/>
              </w:rPr>
            </w:pPr>
            <w:r w:rsidRPr="002F1CBE">
              <w:rPr>
                <w:lang w:val="en-US"/>
              </w:rPr>
              <w:t>Neutropenia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47BCE0B5" w14:textId="4184B0E4" w:rsidR="00E74CCA" w:rsidRDefault="00E74CCA" w:rsidP="00E74CCA">
            <w:pPr>
              <w:pStyle w:val="Tabletext0"/>
              <w:rPr>
                <w:color w:val="000000"/>
                <w:szCs w:val="22"/>
              </w:rPr>
            </w:pPr>
            <w:r>
              <w:rPr>
                <w:color w:val="000000"/>
                <w:szCs w:val="22"/>
              </w:rPr>
              <w:t>0.44%</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056150" w14:textId="10FCD2B9" w:rsidR="00E74CCA" w:rsidRDefault="00E74CCA" w:rsidP="00E74CCA">
            <w:pPr>
              <w:pStyle w:val="Tabletext0"/>
              <w:rPr>
                <w:color w:val="000000"/>
                <w:szCs w:val="22"/>
              </w:rPr>
            </w:pPr>
            <w:r>
              <w:rPr>
                <w:color w:val="000000"/>
                <w:szCs w:val="22"/>
              </w:rPr>
              <w:t>0.09%</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4D730092" w14:textId="4E2CBF60" w:rsidR="00E74CCA" w:rsidRDefault="00E74CCA" w:rsidP="00E74CCA">
            <w:pPr>
              <w:pStyle w:val="Tabletext0"/>
              <w:rPr>
                <w:color w:val="000000"/>
                <w:szCs w:val="22"/>
              </w:rPr>
            </w:pPr>
            <w:r>
              <w:rPr>
                <w:color w:val="000000"/>
                <w:szCs w:val="22"/>
              </w:rPr>
              <w:t>1.39%</w:t>
            </w:r>
          </w:p>
        </w:tc>
        <w:tc>
          <w:tcPr>
            <w:tcW w:w="589" w:type="pct"/>
            <w:shd w:val="clear" w:color="auto" w:fill="auto"/>
            <w:noWrap/>
            <w:vAlign w:val="center"/>
          </w:tcPr>
          <w:p w14:paraId="4FE9B7F5" w14:textId="0103165B" w:rsidR="00E74CCA" w:rsidRPr="002F1CBE" w:rsidRDefault="00E74CCA" w:rsidP="00E74CCA">
            <w:pPr>
              <w:pStyle w:val="Tabletext0"/>
              <w:rPr>
                <w:lang w:val="en-US"/>
              </w:rPr>
            </w:pPr>
            <w:r w:rsidRPr="002F1CBE">
              <w:rPr>
                <w:lang w:val="en-US"/>
              </w:rPr>
              <w:t>Beta</w:t>
            </w:r>
          </w:p>
        </w:tc>
        <w:tc>
          <w:tcPr>
            <w:tcW w:w="588" w:type="pct"/>
            <w:vMerge/>
            <w:vAlign w:val="center"/>
          </w:tcPr>
          <w:p w14:paraId="54430074" w14:textId="77777777" w:rsidR="00E74CCA" w:rsidRPr="002F1CBE" w:rsidRDefault="00E74CCA" w:rsidP="00E74CCA">
            <w:pPr>
              <w:pStyle w:val="Tabletext0"/>
              <w:rPr>
                <w:lang w:val="en-US"/>
              </w:rPr>
            </w:pPr>
          </w:p>
        </w:tc>
      </w:tr>
      <w:tr w:rsidR="00E74CCA" w:rsidRPr="002F1CBE" w14:paraId="4D2305FF" w14:textId="77777777" w:rsidTr="00E74CCA">
        <w:trPr>
          <w:trHeight w:val="285"/>
        </w:trPr>
        <w:tc>
          <w:tcPr>
            <w:tcW w:w="1615" w:type="pct"/>
            <w:shd w:val="clear" w:color="auto" w:fill="auto"/>
            <w:noWrap/>
            <w:vAlign w:val="center"/>
          </w:tcPr>
          <w:p w14:paraId="12907217" w14:textId="2A9B49ED" w:rsidR="00E74CCA" w:rsidRPr="002F1CBE" w:rsidRDefault="00E74CCA" w:rsidP="00E74CCA">
            <w:pPr>
              <w:pStyle w:val="Tabletext0"/>
              <w:rPr>
                <w:lang w:val="en-US"/>
              </w:rPr>
            </w:pPr>
            <w:r w:rsidRPr="002F1CBE">
              <w:rPr>
                <w:lang w:val="en-US"/>
              </w:rPr>
              <w:t>Neutrophil count decreased</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4A759800" w14:textId="1A82F51F" w:rsidR="00E74CCA" w:rsidRDefault="00E74CCA" w:rsidP="00E74CCA">
            <w:pPr>
              <w:pStyle w:val="Tabletext0"/>
              <w:rPr>
                <w:color w:val="000000"/>
                <w:szCs w:val="22"/>
              </w:rPr>
            </w:pPr>
            <w:r>
              <w:rPr>
                <w:color w:val="000000"/>
                <w:szCs w:val="22"/>
              </w:rPr>
              <w:t>0.00%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5501F5" w14:textId="25B69A3F" w:rsidR="00E74CCA" w:rsidRDefault="00E74CCA" w:rsidP="00E74CCA">
            <w:pPr>
              <w:pStyle w:val="Tabletext0"/>
              <w:rPr>
                <w:color w:val="000000"/>
                <w:szCs w:val="22"/>
              </w:rPr>
            </w:pPr>
            <w:r>
              <w:rPr>
                <w:color w:val="000000"/>
                <w:szCs w:val="22"/>
              </w:rPr>
              <w:t>0.00%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0438D233" w14:textId="69482A97" w:rsidR="00E74CCA" w:rsidRDefault="00E74CCA" w:rsidP="00E74CCA">
            <w:pPr>
              <w:pStyle w:val="Tabletext0"/>
              <w:rPr>
                <w:color w:val="000000"/>
                <w:szCs w:val="22"/>
              </w:rPr>
            </w:pPr>
            <w:r>
              <w:rPr>
                <w:color w:val="000000"/>
                <w:szCs w:val="22"/>
              </w:rPr>
              <w:t>0.00%</w:t>
            </w:r>
          </w:p>
        </w:tc>
        <w:tc>
          <w:tcPr>
            <w:tcW w:w="589" w:type="pct"/>
            <w:shd w:val="clear" w:color="auto" w:fill="auto"/>
            <w:noWrap/>
            <w:vAlign w:val="center"/>
          </w:tcPr>
          <w:p w14:paraId="12E498DD" w14:textId="6E7D5655" w:rsidR="00E74CCA" w:rsidRPr="002F1CBE" w:rsidRDefault="00E74CCA" w:rsidP="00E74CCA">
            <w:pPr>
              <w:pStyle w:val="Tabletext0"/>
              <w:rPr>
                <w:lang w:val="en-US"/>
              </w:rPr>
            </w:pPr>
            <w:r w:rsidRPr="002F1CBE">
              <w:rPr>
                <w:lang w:val="en-US"/>
              </w:rPr>
              <w:t>Beta</w:t>
            </w:r>
          </w:p>
        </w:tc>
        <w:tc>
          <w:tcPr>
            <w:tcW w:w="588" w:type="pct"/>
            <w:vMerge/>
            <w:vAlign w:val="center"/>
          </w:tcPr>
          <w:p w14:paraId="66C921D0" w14:textId="77777777" w:rsidR="00E74CCA" w:rsidRPr="002F1CBE" w:rsidRDefault="00E74CCA" w:rsidP="00E74CCA">
            <w:pPr>
              <w:pStyle w:val="Tabletext0"/>
              <w:rPr>
                <w:lang w:val="en-US"/>
              </w:rPr>
            </w:pPr>
          </w:p>
        </w:tc>
      </w:tr>
      <w:tr w:rsidR="00E74CCA" w:rsidRPr="002F1CBE" w14:paraId="40FD952A" w14:textId="77777777" w:rsidTr="00E74CCA">
        <w:trPr>
          <w:trHeight w:val="285"/>
        </w:trPr>
        <w:tc>
          <w:tcPr>
            <w:tcW w:w="1615" w:type="pct"/>
            <w:shd w:val="clear" w:color="auto" w:fill="auto"/>
            <w:noWrap/>
            <w:vAlign w:val="center"/>
          </w:tcPr>
          <w:p w14:paraId="53A9F4E2" w14:textId="226FD59A" w:rsidR="00E74CCA" w:rsidRPr="002F1CBE" w:rsidRDefault="00E74CCA" w:rsidP="00E74CCA">
            <w:pPr>
              <w:pStyle w:val="Tabletext0"/>
              <w:rPr>
                <w:lang w:val="en-US"/>
              </w:rPr>
            </w:pPr>
            <w:r w:rsidRPr="002F1CBE">
              <w:rPr>
                <w:lang w:val="en-US"/>
              </w:rPr>
              <w:t xml:space="preserve">White blood cell count decreased </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3A24557F" w14:textId="2D025505" w:rsidR="00E74CCA" w:rsidRDefault="00E74CCA" w:rsidP="00E74CCA">
            <w:pPr>
              <w:pStyle w:val="Tabletext0"/>
              <w:rPr>
                <w:color w:val="000000"/>
                <w:szCs w:val="22"/>
              </w:rPr>
            </w:pPr>
            <w:r>
              <w:rPr>
                <w:color w:val="000000"/>
                <w:szCs w:val="22"/>
              </w:rPr>
              <w:t>0.00%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F0C959" w14:textId="1096DC8B" w:rsidR="00E74CCA" w:rsidRDefault="00E74CCA" w:rsidP="00E74CCA">
            <w:pPr>
              <w:pStyle w:val="Tabletext0"/>
              <w:rPr>
                <w:color w:val="000000"/>
                <w:szCs w:val="22"/>
              </w:rPr>
            </w:pPr>
            <w:r>
              <w:rPr>
                <w:color w:val="000000"/>
                <w:szCs w:val="22"/>
              </w:rPr>
              <w:t>0.00%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16691781" w14:textId="06977360" w:rsidR="00E74CCA" w:rsidRDefault="00E74CCA" w:rsidP="00E74CCA">
            <w:pPr>
              <w:pStyle w:val="Tabletext0"/>
              <w:rPr>
                <w:color w:val="000000"/>
                <w:szCs w:val="22"/>
              </w:rPr>
            </w:pPr>
            <w:r>
              <w:rPr>
                <w:color w:val="000000"/>
                <w:szCs w:val="22"/>
              </w:rPr>
              <w:t>0.00%</w:t>
            </w:r>
          </w:p>
        </w:tc>
        <w:tc>
          <w:tcPr>
            <w:tcW w:w="589" w:type="pct"/>
            <w:shd w:val="clear" w:color="auto" w:fill="auto"/>
            <w:noWrap/>
            <w:vAlign w:val="center"/>
          </w:tcPr>
          <w:p w14:paraId="58B75DDE" w14:textId="5965DA56" w:rsidR="00E74CCA" w:rsidRPr="002F1CBE" w:rsidRDefault="00E74CCA" w:rsidP="00E74CCA">
            <w:pPr>
              <w:pStyle w:val="Tabletext0"/>
              <w:rPr>
                <w:lang w:val="en-US"/>
              </w:rPr>
            </w:pPr>
            <w:r w:rsidRPr="002F1CBE">
              <w:rPr>
                <w:lang w:val="en-US"/>
              </w:rPr>
              <w:t>Beta</w:t>
            </w:r>
          </w:p>
        </w:tc>
        <w:tc>
          <w:tcPr>
            <w:tcW w:w="588" w:type="pct"/>
            <w:vMerge/>
            <w:vAlign w:val="center"/>
          </w:tcPr>
          <w:p w14:paraId="0D98FBB9" w14:textId="77777777" w:rsidR="00E74CCA" w:rsidRPr="002F1CBE" w:rsidRDefault="00E74CCA" w:rsidP="00E74CCA">
            <w:pPr>
              <w:pStyle w:val="Tabletext0"/>
              <w:rPr>
                <w:lang w:val="en-US"/>
              </w:rPr>
            </w:pPr>
          </w:p>
        </w:tc>
      </w:tr>
      <w:tr w:rsidR="00E74CCA" w:rsidRPr="002F1CBE" w14:paraId="4DF52F9A" w14:textId="77777777" w:rsidTr="00E74CCA">
        <w:trPr>
          <w:trHeight w:val="285"/>
        </w:trPr>
        <w:tc>
          <w:tcPr>
            <w:tcW w:w="1615" w:type="pct"/>
            <w:shd w:val="clear" w:color="auto" w:fill="auto"/>
            <w:noWrap/>
            <w:vAlign w:val="center"/>
          </w:tcPr>
          <w:p w14:paraId="5B50457F" w14:textId="376239E1" w:rsidR="00E74CCA" w:rsidRPr="002F1CBE" w:rsidRDefault="00E74CCA" w:rsidP="00E74CCA">
            <w:pPr>
              <w:pStyle w:val="Tabletext0"/>
              <w:rPr>
                <w:lang w:val="en-US"/>
              </w:rPr>
            </w:pPr>
            <w:r>
              <w:rPr>
                <w:lang w:val="en-US"/>
              </w:rPr>
              <w:t>Asthenia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3186FFCA" w14:textId="4D84617B" w:rsidR="00E74CCA" w:rsidRDefault="00E74CCA" w:rsidP="00E74CCA">
            <w:pPr>
              <w:pStyle w:val="Tabletext0"/>
              <w:rPr>
                <w:color w:val="000000"/>
                <w:szCs w:val="22"/>
              </w:rPr>
            </w:pPr>
            <w:r>
              <w:rPr>
                <w:color w:val="000000"/>
                <w:szCs w:val="22"/>
              </w:rPr>
              <w:t>1.74%</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0FBC61" w14:textId="7B31EA29" w:rsidR="00E74CCA" w:rsidRDefault="00E74CCA" w:rsidP="00E74CCA">
            <w:pPr>
              <w:pStyle w:val="Tabletext0"/>
              <w:rPr>
                <w:color w:val="000000"/>
                <w:szCs w:val="22"/>
              </w:rPr>
            </w:pPr>
            <w:r>
              <w:rPr>
                <w:color w:val="000000"/>
                <w:szCs w:val="22"/>
              </w:rPr>
              <w:t>0.76%</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2DBAA078" w14:textId="44F12141" w:rsidR="00E74CCA" w:rsidRDefault="00E74CCA" w:rsidP="00E74CCA">
            <w:pPr>
              <w:pStyle w:val="Tabletext0"/>
              <w:rPr>
                <w:color w:val="000000"/>
                <w:szCs w:val="22"/>
              </w:rPr>
            </w:pPr>
            <w:r>
              <w:rPr>
                <w:color w:val="000000"/>
                <w:szCs w:val="22"/>
              </w:rPr>
              <w:t>3.12%</w:t>
            </w:r>
          </w:p>
        </w:tc>
        <w:tc>
          <w:tcPr>
            <w:tcW w:w="589" w:type="pct"/>
            <w:shd w:val="clear" w:color="auto" w:fill="auto"/>
            <w:noWrap/>
            <w:vAlign w:val="center"/>
          </w:tcPr>
          <w:p w14:paraId="6BAADD27" w14:textId="33760A5B" w:rsidR="00E74CCA" w:rsidRPr="002F1CBE" w:rsidRDefault="00E74CCA" w:rsidP="00E74CCA">
            <w:pPr>
              <w:pStyle w:val="Tabletext0"/>
              <w:rPr>
                <w:lang w:val="en-US"/>
              </w:rPr>
            </w:pPr>
            <w:r>
              <w:rPr>
                <w:lang w:val="en-US"/>
              </w:rPr>
              <w:t>Beta</w:t>
            </w:r>
          </w:p>
        </w:tc>
        <w:tc>
          <w:tcPr>
            <w:tcW w:w="588" w:type="pct"/>
            <w:vMerge/>
            <w:vAlign w:val="center"/>
          </w:tcPr>
          <w:p w14:paraId="14F31EE7" w14:textId="77777777" w:rsidR="00E74CCA" w:rsidRPr="002F1CBE" w:rsidRDefault="00E74CCA" w:rsidP="00E74CCA">
            <w:pPr>
              <w:pStyle w:val="Tabletext0"/>
              <w:rPr>
                <w:lang w:val="en-US"/>
              </w:rPr>
            </w:pPr>
          </w:p>
        </w:tc>
      </w:tr>
      <w:tr w:rsidR="00E74CCA" w:rsidRPr="002F1CBE" w14:paraId="3A8E0D95" w14:textId="77777777" w:rsidTr="00E74CCA">
        <w:trPr>
          <w:trHeight w:val="285"/>
        </w:trPr>
        <w:tc>
          <w:tcPr>
            <w:tcW w:w="1615" w:type="pct"/>
            <w:shd w:val="clear" w:color="auto" w:fill="auto"/>
            <w:noWrap/>
            <w:vAlign w:val="center"/>
          </w:tcPr>
          <w:p w14:paraId="522FFCD0" w14:textId="4E534AC6" w:rsidR="00E74CCA" w:rsidRPr="002F1CBE" w:rsidRDefault="00E74CCA" w:rsidP="00E74CCA">
            <w:pPr>
              <w:pStyle w:val="Tabletext0"/>
              <w:rPr>
                <w:lang w:val="en-US"/>
              </w:rPr>
            </w:pPr>
            <w:r w:rsidRPr="002F1CBE">
              <w:rPr>
                <w:lang w:val="en-US"/>
              </w:rPr>
              <w:t>Peripheral sensory neuropathy</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602978C" w14:textId="6A9C7C28" w:rsidR="00E74CCA" w:rsidRDefault="00E74CCA" w:rsidP="00E74CCA">
            <w:pPr>
              <w:pStyle w:val="Tabletext0"/>
              <w:rPr>
                <w:color w:val="000000"/>
                <w:szCs w:val="22"/>
              </w:rPr>
            </w:pPr>
            <w:r>
              <w:rPr>
                <w:color w:val="000000"/>
                <w:szCs w:val="22"/>
              </w:rPr>
              <w:t>0.00%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CA37B" w14:textId="719585EA" w:rsidR="00E74CCA" w:rsidRDefault="00E74CCA" w:rsidP="00E74CCA">
            <w:pPr>
              <w:pStyle w:val="Tabletext0"/>
              <w:rPr>
                <w:color w:val="000000"/>
                <w:szCs w:val="22"/>
              </w:rPr>
            </w:pPr>
            <w:r>
              <w:rPr>
                <w:color w:val="000000"/>
                <w:szCs w:val="22"/>
              </w:rPr>
              <w:t>0.00%</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5498ACC7" w14:textId="103F50E8" w:rsidR="00E74CCA" w:rsidRDefault="00E74CCA" w:rsidP="00E74CCA">
            <w:pPr>
              <w:pStyle w:val="Tabletext0"/>
              <w:rPr>
                <w:color w:val="000000"/>
                <w:szCs w:val="22"/>
              </w:rPr>
            </w:pPr>
            <w:r>
              <w:rPr>
                <w:color w:val="000000"/>
                <w:szCs w:val="22"/>
              </w:rPr>
              <w:t>0.00%</w:t>
            </w:r>
          </w:p>
        </w:tc>
        <w:tc>
          <w:tcPr>
            <w:tcW w:w="589" w:type="pct"/>
            <w:shd w:val="clear" w:color="auto" w:fill="auto"/>
            <w:noWrap/>
            <w:vAlign w:val="center"/>
          </w:tcPr>
          <w:p w14:paraId="00293B51" w14:textId="52781B3A" w:rsidR="00E74CCA" w:rsidRPr="002F1CBE" w:rsidRDefault="00E74CCA" w:rsidP="00E74CCA">
            <w:pPr>
              <w:pStyle w:val="Tabletext0"/>
              <w:rPr>
                <w:lang w:val="en-US"/>
              </w:rPr>
            </w:pPr>
            <w:r w:rsidRPr="002F1CBE">
              <w:rPr>
                <w:lang w:val="en-US"/>
              </w:rPr>
              <w:t>Beta</w:t>
            </w:r>
          </w:p>
        </w:tc>
        <w:tc>
          <w:tcPr>
            <w:tcW w:w="588" w:type="pct"/>
            <w:vMerge/>
            <w:vAlign w:val="center"/>
          </w:tcPr>
          <w:p w14:paraId="48D550EA" w14:textId="77777777" w:rsidR="00E74CCA" w:rsidRPr="002F1CBE" w:rsidRDefault="00E74CCA" w:rsidP="00E74CCA">
            <w:pPr>
              <w:pStyle w:val="Tabletext0"/>
              <w:rPr>
                <w:lang w:val="en-US"/>
              </w:rPr>
            </w:pPr>
          </w:p>
        </w:tc>
      </w:tr>
      <w:tr w:rsidR="00E74CCA" w:rsidRPr="002F1CBE" w14:paraId="48FE8C02" w14:textId="77777777" w:rsidTr="00E74CCA">
        <w:trPr>
          <w:trHeight w:val="285"/>
        </w:trPr>
        <w:tc>
          <w:tcPr>
            <w:tcW w:w="1615" w:type="pct"/>
            <w:shd w:val="clear" w:color="auto" w:fill="auto"/>
            <w:noWrap/>
            <w:vAlign w:val="center"/>
          </w:tcPr>
          <w:p w14:paraId="76ABD68E" w14:textId="6C686631" w:rsidR="00E74CCA" w:rsidRPr="002F1CBE" w:rsidRDefault="00E74CCA" w:rsidP="00E74CCA">
            <w:pPr>
              <w:pStyle w:val="Tabletext0"/>
              <w:rPr>
                <w:lang w:val="en-US"/>
              </w:rPr>
            </w:pPr>
            <w:r w:rsidRPr="002F1CBE">
              <w:rPr>
                <w:lang w:val="en-US"/>
              </w:rPr>
              <w:lastRenderedPageBreak/>
              <w:t>Diarrhea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39530617" w14:textId="219FFA8B" w:rsidR="00E74CCA" w:rsidRDefault="00E74CCA" w:rsidP="00E74CCA">
            <w:pPr>
              <w:pStyle w:val="Tabletext0"/>
              <w:rPr>
                <w:color w:val="000000"/>
                <w:szCs w:val="22"/>
              </w:rPr>
            </w:pPr>
            <w:r>
              <w:rPr>
                <w:color w:val="000000"/>
                <w:szCs w:val="22"/>
              </w:rPr>
              <w:t>NR</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D679D" w14:textId="5788BA69" w:rsidR="00E74CCA" w:rsidRDefault="00E74CCA" w:rsidP="00E74CCA">
            <w:pPr>
              <w:pStyle w:val="Tabletext0"/>
              <w:rPr>
                <w:color w:val="000000"/>
                <w:szCs w:val="22"/>
              </w:rPr>
            </w:pPr>
            <w:r>
              <w:rPr>
                <w:color w:val="000000"/>
                <w:szCs w:val="22"/>
              </w:rPr>
              <w:t>-</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201CC1E9" w14:textId="33643FF6" w:rsidR="00E74CCA" w:rsidRDefault="00E74CCA" w:rsidP="00E74CCA">
            <w:pPr>
              <w:pStyle w:val="Tabletext0"/>
              <w:rPr>
                <w:color w:val="000000"/>
                <w:szCs w:val="22"/>
              </w:rPr>
            </w:pPr>
            <w:r>
              <w:rPr>
                <w:color w:val="000000"/>
                <w:szCs w:val="22"/>
              </w:rPr>
              <w:t>-</w:t>
            </w:r>
          </w:p>
        </w:tc>
        <w:tc>
          <w:tcPr>
            <w:tcW w:w="589" w:type="pct"/>
            <w:shd w:val="clear" w:color="auto" w:fill="auto"/>
            <w:noWrap/>
            <w:vAlign w:val="center"/>
          </w:tcPr>
          <w:p w14:paraId="0A47D340" w14:textId="64B95590" w:rsidR="00E74CCA" w:rsidRPr="002F1CBE" w:rsidRDefault="00E74CCA" w:rsidP="00E74CCA">
            <w:pPr>
              <w:pStyle w:val="Tabletext0"/>
              <w:rPr>
                <w:lang w:val="en-US"/>
              </w:rPr>
            </w:pPr>
            <w:r w:rsidRPr="002F1CBE">
              <w:rPr>
                <w:lang w:val="en-US"/>
              </w:rPr>
              <w:t>Beta</w:t>
            </w:r>
          </w:p>
        </w:tc>
        <w:tc>
          <w:tcPr>
            <w:tcW w:w="588" w:type="pct"/>
            <w:vMerge/>
            <w:vAlign w:val="center"/>
          </w:tcPr>
          <w:p w14:paraId="007FFC4B" w14:textId="77777777" w:rsidR="00E74CCA" w:rsidRPr="002F1CBE" w:rsidRDefault="00E74CCA" w:rsidP="00E74CCA">
            <w:pPr>
              <w:pStyle w:val="Tabletext0"/>
              <w:rPr>
                <w:lang w:val="en-US"/>
              </w:rPr>
            </w:pPr>
          </w:p>
        </w:tc>
      </w:tr>
      <w:tr w:rsidR="00E74CCA" w:rsidRPr="002F1CBE" w14:paraId="72694894" w14:textId="77777777" w:rsidTr="00E74CCA">
        <w:trPr>
          <w:trHeight w:val="285"/>
        </w:trPr>
        <w:tc>
          <w:tcPr>
            <w:tcW w:w="1615" w:type="pct"/>
            <w:shd w:val="clear" w:color="auto" w:fill="auto"/>
            <w:noWrap/>
            <w:vAlign w:val="center"/>
          </w:tcPr>
          <w:p w14:paraId="684DFC7F" w14:textId="7C2564F3" w:rsidR="00E74CCA" w:rsidRPr="002F1CBE" w:rsidRDefault="00E74CCA" w:rsidP="00E74CCA">
            <w:pPr>
              <w:pStyle w:val="Tabletext0"/>
              <w:rPr>
                <w:lang w:val="en-US"/>
              </w:rPr>
            </w:pPr>
            <w:r w:rsidRPr="002F1CBE">
              <w:rPr>
                <w:lang w:val="en-US"/>
              </w:rPr>
              <w:t>Leukopenia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2DC7C4A" w14:textId="7B495816" w:rsidR="00E74CCA" w:rsidRDefault="00E74CCA" w:rsidP="00E74CCA">
            <w:pPr>
              <w:pStyle w:val="Tabletext0"/>
              <w:rPr>
                <w:color w:val="000000"/>
                <w:szCs w:val="22"/>
              </w:rPr>
            </w:pPr>
            <w:r>
              <w:rPr>
                <w:color w:val="000000"/>
                <w:szCs w:val="22"/>
              </w:rPr>
              <w:t>NR</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98E8CB" w14:textId="27F696D6" w:rsidR="00E74CCA" w:rsidRDefault="00E74CCA" w:rsidP="00E74CCA">
            <w:pPr>
              <w:pStyle w:val="Tabletext0"/>
              <w:rPr>
                <w:color w:val="000000"/>
                <w:szCs w:val="22"/>
              </w:rPr>
            </w:pPr>
            <w:r>
              <w:rPr>
                <w:color w:val="000000"/>
                <w:szCs w:val="22"/>
              </w:rPr>
              <w:t>-</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18277948" w14:textId="3A055ABF" w:rsidR="00E74CCA" w:rsidRDefault="00E74CCA" w:rsidP="00E74CCA">
            <w:pPr>
              <w:pStyle w:val="Tabletext0"/>
              <w:rPr>
                <w:color w:val="000000"/>
                <w:szCs w:val="22"/>
              </w:rPr>
            </w:pPr>
            <w:r>
              <w:rPr>
                <w:color w:val="000000"/>
                <w:szCs w:val="22"/>
              </w:rPr>
              <w:t>-</w:t>
            </w:r>
          </w:p>
        </w:tc>
        <w:tc>
          <w:tcPr>
            <w:tcW w:w="589" w:type="pct"/>
            <w:shd w:val="clear" w:color="auto" w:fill="auto"/>
            <w:noWrap/>
            <w:vAlign w:val="center"/>
          </w:tcPr>
          <w:p w14:paraId="3D648836" w14:textId="351458D1" w:rsidR="00E74CCA" w:rsidRPr="002F1CBE" w:rsidRDefault="00E74CCA" w:rsidP="00E74CCA">
            <w:pPr>
              <w:pStyle w:val="Tabletext0"/>
              <w:rPr>
                <w:lang w:val="en-US"/>
              </w:rPr>
            </w:pPr>
            <w:r w:rsidRPr="002F1CBE">
              <w:rPr>
                <w:lang w:val="en-US"/>
              </w:rPr>
              <w:t>Beta</w:t>
            </w:r>
          </w:p>
        </w:tc>
        <w:tc>
          <w:tcPr>
            <w:tcW w:w="588" w:type="pct"/>
            <w:vMerge/>
            <w:vAlign w:val="center"/>
          </w:tcPr>
          <w:p w14:paraId="54CA5D47" w14:textId="77777777" w:rsidR="00E74CCA" w:rsidRPr="002F1CBE" w:rsidRDefault="00E74CCA" w:rsidP="00E74CCA">
            <w:pPr>
              <w:pStyle w:val="Tabletext0"/>
              <w:rPr>
                <w:lang w:val="en-US"/>
              </w:rPr>
            </w:pPr>
          </w:p>
        </w:tc>
      </w:tr>
      <w:tr w:rsidR="00E74CCA" w:rsidRPr="002F1CBE" w14:paraId="1FA2314D" w14:textId="1697299D" w:rsidTr="00A00B39">
        <w:trPr>
          <w:trHeight w:val="285"/>
        </w:trPr>
        <w:tc>
          <w:tcPr>
            <w:tcW w:w="5000" w:type="pct"/>
            <w:gridSpan w:val="6"/>
            <w:shd w:val="clear" w:color="auto" w:fill="auto"/>
            <w:noWrap/>
            <w:vAlign w:val="center"/>
          </w:tcPr>
          <w:p w14:paraId="29220E3E" w14:textId="1EAA13CD" w:rsidR="00E74CCA" w:rsidRPr="002F1CBE" w:rsidRDefault="00E74CCA" w:rsidP="00E74CCA">
            <w:pPr>
              <w:pStyle w:val="Tabletext0"/>
              <w:rPr>
                <w:b/>
                <w:i/>
                <w:szCs w:val="22"/>
                <w:lang w:val="en-US"/>
              </w:rPr>
            </w:pPr>
            <w:r w:rsidRPr="002F1CBE">
              <w:rPr>
                <w:b/>
                <w:i/>
                <w:szCs w:val="22"/>
                <w:lang w:val="en-US"/>
              </w:rPr>
              <w:t>AE unit costs</w:t>
            </w:r>
          </w:p>
        </w:tc>
      </w:tr>
      <w:tr w:rsidR="00E74CCA" w:rsidRPr="002F1CBE" w14:paraId="7635292C" w14:textId="1A891A25" w:rsidTr="00E74CCA">
        <w:trPr>
          <w:trHeight w:val="285"/>
        </w:trPr>
        <w:tc>
          <w:tcPr>
            <w:tcW w:w="1615" w:type="pct"/>
            <w:shd w:val="clear" w:color="auto" w:fill="auto"/>
            <w:noWrap/>
            <w:vAlign w:val="center"/>
          </w:tcPr>
          <w:p w14:paraId="2C4A1D1B" w14:textId="39E5FC68" w:rsidR="00E74CCA" w:rsidRPr="002F1CBE" w:rsidRDefault="00E74CCA" w:rsidP="00E74CCA">
            <w:pPr>
              <w:pStyle w:val="Tabletext0"/>
              <w:rPr>
                <w:szCs w:val="22"/>
                <w:lang w:val="en-US"/>
              </w:rPr>
            </w:pPr>
            <w:r w:rsidRPr="002F1CBE">
              <w:rPr>
                <w:lang w:val="en-US"/>
              </w:rPr>
              <w:t>Anemia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324B6F40" w14:textId="4710FCAB" w:rsidR="00E74CCA" w:rsidRPr="002F1CBE" w:rsidRDefault="00E74CCA" w:rsidP="00E74CCA">
            <w:pPr>
              <w:pStyle w:val="Tabletext0"/>
              <w:rPr>
                <w:szCs w:val="22"/>
                <w:lang w:val="en-US"/>
              </w:rPr>
            </w:pPr>
            <w:r>
              <w:rPr>
                <w:color w:val="000000"/>
                <w:szCs w:val="22"/>
              </w:rPr>
              <w:t>$7,530.12</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F7A6F2" w14:textId="71BA129F" w:rsidR="00E74CCA" w:rsidRPr="002F1CBE" w:rsidRDefault="00E74CCA" w:rsidP="00E74CCA">
            <w:pPr>
              <w:pStyle w:val="Tabletext0"/>
              <w:rPr>
                <w:szCs w:val="22"/>
                <w:lang w:val="en-US"/>
              </w:rPr>
            </w:pPr>
            <w:r>
              <w:rPr>
                <w:szCs w:val="22"/>
              </w:rPr>
              <w:t>$6,054.25</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41CC4A56" w14:textId="0A694A30" w:rsidR="00E74CCA" w:rsidRPr="002F1CBE" w:rsidRDefault="00E74CCA" w:rsidP="00E74CCA">
            <w:pPr>
              <w:pStyle w:val="Tabletext0"/>
              <w:rPr>
                <w:szCs w:val="22"/>
                <w:lang w:val="en-US"/>
              </w:rPr>
            </w:pPr>
            <w:r>
              <w:rPr>
                <w:szCs w:val="22"/>
              </w:rPr>
              <w:t>$9,006.00</w:t>
            </w:r>
          </w:p>
        </w:tc>
        <w:tc>
          <w:tcPr>
            <w:tcW w:w="589" w:type="pct"/>
            <w:shd w:val="clear" w:color="auto" w:fill="auto"/>
            <w:noWrap/>
            <w:vAlign w:val="center"/>
          </w:tcPr>
          <w:p w14:paraId="554C9677" w14:textId="77777777" w:rsidR="00E74CCA" w:rsidRPr="002F1CBE" w:rsidRDefault="00E74CCA" w:rsidP="00E74CCA">
            <w:pPr>
              <w:pStyle w:val="Tabletext0"/>
              <w:rPr>
                <w:szCs w:val="22"/>
                <w:lang w:val="en-US"/>
              </w:rPr>
            </w:pPr>
            <w:r w:rsidRPr="002F1CBE">
              <w:rPr>
                <w:lang w:val="en-US"/>
              </w:rPr>
              <w:t>Normal</w:t>
            </w:r>
          </w:p>
        </w:tc>
        <w:tc>
          <w:tcPr>
            <w:tcW w:w="588" w:type="pct"/>
            <w:vMerge w:val="restart"/>
            <w:vAlign w:val="center"/>
          </w:tcPr>
          <w:p w14:paraId="18BCCB12" w14:textId="67314CA5" w:rsidR="00E74CCA" w:rsidRPr="002F1CBE" w:rsidRDefault="00E74CCA" w:rsidP="00E74CCA">
            <w:pPr>
              <w:pStyle w:val="Tabletext0"/>
              <w:rPr>
                <w:lang w:val="en-US"/>
              </w:rPr>
            </w:pPr>
            <w:r>
              <w:rPr>
                <w:lang w:val="en-US"/>
              </w:rPr>
              <w:t>Agency for Health care research and Quality</w:t>
            </w:r>
            <w:r>
              <w:rPr>
                <w:lang w:val="en-US"/>
              </w:rPr>
              <w:fldChar w:fldCharType="begin"/>
            </w:r>
            <w:r>
              <w:rPr>
                <w:lang w:val="en-US"/>
              </w:rPr>
              <w:instrText xml:space="preserve"> ADDIN EN.CITE &lt;EndNote&gt;&lt;Cite&gt;&lt;Author&gt;Agency for Healthcare Research and Quality&lt;/Author&gt;&lt;RecNum&gt;17&lt;/RecNum&gt;&lt;DisplayText&gt;[7]&lt;/DisplayText&gt;&lt;record&gt;&lt;rec-number&gt;17&lt;/rec-number&gt;&lt;foreign-keys&gt;&lt;key app="EN" db-id="sv0re5vpexw0fmexwr6x0t91xt9zt5dxfxvz" timestamp="1526677526"&gt;17&lt;/key&gt;&lt;/foreign-keys&gt;&lt;ref-type name="Web Page"&gt;12&lt;/ref-type&gt;&lt;contributors&gt;&lt;authors&gt;&lt;author&gt;Agency for Healthcare Research and Quality,&lt;/author&gt;&lt;/authors&gt;&lt;/contributors&gt;&lt;titles&gt;&lt;title&gt;Healthcare Cost and Utilization Project&lt;/title&gt;&lt;/titles&gt;&lt;number&gt;10 May 2018&lt;/number&gt;&lt;dates&gt;&lt;/dates&gt;&lt;urls&gt;&lt;related-urls&gt;&lt;url&gt;https://hcupnet.ahrq.gov/#setup&lt;/url&gt;&lt;/related-urls&gt;&lt;/urls&gt;&lt;/record&gt;&lt;/Cite&gt;&lt;/EndNote&gt;</w:instrText>
            </w:r>
            <w:r>
              <w:rPr>
                <w:lang w:val="en-US"/>
              </w:rPr>
              <w:fldChar w:fldCharType="separate"/>
            </w:r>
            <w:r>
              <w:rPr>
                <w:noProof/>
                <w:lang w:val="en-US"/>
              </w:rPr>
              <w:t>[7]</w:t>
            </w:r>
            <w:r>
              <w:rPr>
                <w:lang w:val="en-US"/>
              </w:rPr>
              <w:fldChar w:fldCharType="end"/>
            </w:r>
          </w:p>
        </w:tc>
      </w:tr>
      <w:tr w:rsidR="00E74CCA" w:rsidRPr="002F1CBE" w14:paraId="2C9A86CF" w14:textId="1DC72BE9" w:rsidTr="00E74CCA">
        <w:trPr>
          <w:trHeight w:val="285"/>
        </w:trPr>
        <w:tc>
          <w:tcPr>
            <w:tcW w:w="1615" w:type="pct"/>
            <w:shd w:val="clear" w:color="auto" w:fill="auto"/>
            <w:noWrap/>
            <w:vAlign w:val="center"/>
          </w:tcPr>
          <w:p w14:paraId="707963EF" w14:textId="044FC0A0" w:rsidR="00E74CCA" w:rsidRPr="002F1CBE" w:rsidRDefault="00E74CCA" w:rsidP="00E74CCA">
            <w:pPr>
              <w:pStyle w:val="Tabletext0"/>
              <w:rPr>
                <w:szCs w:val="22"/>
                <w:lang w:val="en-US"/>
              </w:rPr>
            </w:pPr>
            <w:r w:rsidRPr="002F1CBE">
              <w:rPr>
                <w:lang w:val="en-US"/>
              </w:rPr>
              <w:t>Fatigue</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7BFBB7D7" w14:textId="029D5B8C" w:rsidR="00E74CCA" w:rsidRPr="002F1CBE" w:rsidRDefault="00E74CCA" w:rsidP="00E74CCA">
            <w:pPr>
              <w:pStyle w:val="Tabletext0"/>
              <w:rPr>
                <w:szCs w:val="22"/>
                <w:lang w:val="en-US"/>
              </w:rPr>
            </w:pPr>
            <w:r>
              <w:rPr>
                <w:color w:val="000000"/>
                <w:szCs w:val="22"/>
              </w:rPr>
              <w:t>$7,950.87</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C8A23A" w14:textId="69CDBDC8" w:rsidR="00E74CCA" w:rsidRPr="002F1CBE" w:rsidRDefault="00E74CCA" w:rsidP="00E74CCA">
            <w:pPr>
              <w:pStyle w:val="Tabletext0"/>
              <w:rPr>
                <w:szCs w:val="22"/>
                <w:lang w:val="en-US"/>
              </w:rPr>
            </w:pPr>
            <w:r>
              <w:rPr>
                <w:szCs w:val="22"/>
              </w:rPr>
              <w:t>$6,392.53</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66044CEE" w14:textId="14F69D25" w:rsidR="00E74CCA" w:rsidRPr="002F1CBE" w:rsidRDefault="00E74CCA" w:rsidP="00E74CCA">
            <w:pPr>
              <w:pStyle w:val="Tabletext0"/>
              <w:rPr>
                <w:szCs w:val="22"/>
                <w:lang w:val="en-US"/>
              </w:rPr>
            </w:pPr>
            <w:r>
              <w:rPr>
                <w:szCs w:val="22"/>
              </w:rPr>
              <w:t>$9,509.21</w:t>
            </w:r>
          </w:p>
        </w:tc>
        <w:tc>
          <w:tcPr>
            <w:tcW w:w="589" w:type="pct"/>
            <w:shd w:val="clear" w:color="auto" w:fill="auto"/>
            <w:noWrap/>
            <w:vAlign w:val="center"/>
          </w:tcPr>
          <w:p w14:paraId="4E0839B4" w14:textId="77777777" w:rsidR="00E74CCA" w:rsidRPr="002F1CBE" w:rsidRDefault="00E74CCA" w:rsidP="00E74CCA">
            <w:pPr>
              <w:pStyle w:val="Tabletext0"/>
              <w:rPr>
                <w:szCs w:val="22"/>
                <w:lang w:val="en-US"/>
              </w:rPr>
            </w:pPr>
            <w:r w:rsidRPr="002F1CBE">
              <w:rPr>
                <w:lang w:val="en-US"/>
              </w:rPr>
              <w:t>Normal</w:t>
            </w:r>
          </w:p>
        </w:tc>
        <w:tc>
          <w:tcPr>
            <w:tcW w:w="588" w:type="pct"/>
            <w:vMerge/>
            <w:vAlign w:val="center"/>
          </w:tcPr>
          <w:p w14:paraId="7CEC5039" w14:textId="77777777" w:rsidR="00E74CCA" w:rsidRPr="002F1CBE" w:rsidRDefault="00E74CCA" w:rsidP="00E74CCA">
            <w:pPr>
              <w:pStyle w:val="Tabletext0"/>
              <w:rPr>
                <w:lang w:val="en-US"/>
              </w:rPr>
            </w:pPr>
          </w:p>
        </w:tc>
      </w:tr>
      <w:tr w:rsidR="00E74CCA" w:rsidRPr="002F1CBE" w14:paraId="3DB70313" w14:textId="10CE9EF5" w:rsidTr="00E74CCA">
        <w:trPr>
          <w:trHeight w:val="285"/>
        </w:trPr>
        <w:tc>
          <w:tcPr>
            <w:tcW w:w="1615" w:type="pct"/>
            <w:shd w:val="clear" w:color="auto" w:fill="auto"/>
            <w:noWrap/>
            <w:vAlign w:val="center"/>
          </w:tcPr>
          <w:p w14:paraId="3F327390" w14:textId="53F745BE" w:rsidR="00E74CCA" w:rsidRPr="002F1CBE" w:rsidRDefault="00E74CCA" w:rsidP="00E74CCA">
            <w:pPr>
              <w:pStyle w:val="Tabletext0"/>
              <w:rPr>
                <w:szCs w:val="22"/>
                <w:lang w:val="en-US"/>
              </w:rPr>
            </w:pPr>
            <w:r w:rsidRPr="002F1CBE">
              <w:rPr>
                <w:lang w:val="en-US"/>
              </w:rPr>
              <w:t>Febrile neutropenia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D883647" w14:textId="503B77CB" w:rsidR="00E74CCA" w:rsidRPr="002F1CBE" w:rsidRDefault="00E74CCA" w:rsidP="00E74CCA">
            <w:pPr>
              <w:pStyle w:val="Tabletext0"/>
              <w:rPr>
                <w:szCs w:val="22"/>
                <w:lang w:val="en-US"/>
              </w:rPr>
            </w:pPr>
            <w:r>
              <w:rPr>
                <w:color w:val="000000"/>
                <w:szCs w:val="22"/>
              </w:rPr>
              <w:t>$13,279.65</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708E7" w14:textId="146F848F" w:rsidR="00E74CCA" w:rsidRPr="002F1CBE" w:rsidRDefault="00E74CCA" w:rsidP="00E74CCA">
            <w:pPr>
              <w:pStyle w:val="Tabletext0"/>
              <w:rPr>
                <w:szCs w:val="22"/>
                <w:lang w:val="en-US"/>
              </w:rPr>
            </w:pPr>
            <w:r>
              <w:rPr>
                <w:szCs w:val="22"/>
              </w:rPr>
              <w:t>$10,676.89</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663D47DA" w14:textId="153D2550" w:rsidR="00E74CCA" w:rsidRPr="002F1CBE" w:rsidRDefault="00E74CCA" w:rsidP="00E74CCA">
            <w:pPr>
              <w:pStyle w:val="Tabletext0"/>
              <w:rPr>
                <w:szCs w:val="22"/>
                <w:lang w:val="en-US"/>
              </w:rPr>
            </w:pPr>
            <w:r>
              <w:rPr>
                <w:szCs w:val="22"/>
              </w:rPr>
              <w:t>$15,882.41</w:t>
            </w:r>
          </w:p>
        </w:tc>
        <w:tc>
          <w:tcPr>
            <w:tcW w:w="589" w:type="pct"/>
            <w:shd w:val="clear" w:color="auto" w:fill="auto"/>
            <w:noWrap/>
            <w:vAlign w:val="center"/>
          </w:tcPr>
          <w:p w14:paraId="57FA7067" w14:textId="77777777" w:rsidR="00E74CCA" w:rsidRPr="002F1CBE" w:rsidRDefault="00E74CCA" w:rsidP="00E74CCA">
            <w:pPr>
              <w:pStyle w:val="Tabletext0"/>
              <w:rPr>
                <w:szCs w:val="22"/>
                <w:lang w:val="en-US"/>
              </w:rPr>
            </w:pPr>
            <w:r w:rsidRPr="002F1CBE">
              <w:rPr>
                <w:lang w:val="en-US"/>
              </w:rPr>
              <w:t>Normal</w:t>
            </w:r>
          </w:p>
        </w:tc>
        <w:tc>
          <w:tcPr>
            <w:tcW w:w="588" w:type="pct"/>
            <w:vMerge/>
            <w:vAlign w:val="center"/>
          </w:tcPr>
          <w:p w14:paraId="61B4E768" w14:textId="77777777" w:rsidR="00E74CCA" w:rsidRPr="002F1CBE" w:rsidRDefault="00E74CCA" w:rsidP="00E74CCA">
            <w:pPr>
              <w:pStyle w:val="Tabletext0"/>
              <w:rPr>
                <w:lang w:val="en-US"/>
              </w:rPr>
            </w:pPr>
          </w:p>
        </w:tc>
      </w:tr>
      <w:tr w:rsidR="00E74CCA" w:rsidRPr="002F1CBE" w14:paraId="701F53FF" w14:textId="741E68C7" w:rsidTr="00E74CCA">
        <w:trPr>
          <w:trHeight w:val="285"/>
        </w:trPr>
        <w:tc>
          <w:tcPr>
            <w:tcW w:w="1615" w:type="pct"/>
            <w:shd w:val="clear" w:color="auto" w:fill="auto"/>
            <w:noWrap/>
            <w:vAlign w:val="center"/>
          </w:tcPr>
          <w:p w14:paraId="30FDB9B5" w14:textId="65CD2CDA" w:rsidR="00E74CCA" w:rsidRPr="002F1CBE" w:rsidRDefault="00E74CCA" w:rsidP="00E74CCA">
            <w:pPr>
              <w:pStyle w:val="Tabletext0"/>
              <w:rPr>
                <w:szCs w:val="22"/>
                <w:lang w:val="en-US"/>
              </w:rPr>
            </w:pPr>
            <w:r w:rsidRPr="002F1CBE">
              <w:rPr>
                <w:lang w:val="en-US"/>
              </w:rPr>
              <w:t>Lymphocyte count decreased</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0CA2B60" w14:textId="0B3E8948" w:rsidR="00E74CCA" w:rsidRPr="002F1CBE" w:rsidRDefault="00E74CCA" w:rsidP="00E74CCA">
            <w:pPr>
              <w:pStyle w:val="Tabletext0"/>
              <w:rPr>
                <w:szCs w:val="22"/>
                <w:lang w:val="en-US"/>
              </w:rPr>
            </w:pPr>
            <w:r>
              <w:rPr>
                <w:color w:val="000000"/>
                <w:szCs w:val="22"/>
              </w:rPr>
              <w:t>$7,085.52</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EB474" w14:textId="792539B6" w:rsidR="00E74CCA" w:rsidRPr="002F1CBE" w:rsidRDefault="00E74CCA" w:rsidP="00E74CCA">
            <w:pPr>
              <w:pStyle w:val="Tabletext0"/>
              <w:rPr>
                <w:szCs w:val="22"/>
                <w:lang w:val="en-US"/>
              </w:rPr>
            </w:pPr>
            <w:r>
              <w:rPr>
                <w:szCs w:val="22"/>
              </w:rPr>
              <w:t>$5,696.78</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7E8D90EA" w14:textId="242401EA" w:rsidR="00E74CCA" w:rsidRPr="002F1CBE" w:rsidRDefault="00E74CCA" w:rsidP="00E74CCA">
            <w:pPr>
              <w:pStyle w:val="Tabletext0"/>
              <w:rPr>
                <w:szCs w:val="22"/>
                <w:lang w:val="en-US"/>
              </w:rPr>
            </w:pPr>
            <w:r>
              <w:rPr>
                <w:szCs w:val="22"/>
              </w:rPr>
              <w:t>$8,474.25</w:t>
            </w:r>
          </w:p>
        </w:tc>
        <w:tc>
          <w:tcPr>
            <w:tcW w:w="589" w:type="pct"/>
            <w:shd w:val="clear" w:color="auto" w:fill="auto"/>
            <w:noWrap/>
            <w:vAlign w:val="center"/>
          </w:tcPr>
          <w:p w14:paraId="17FD6BDA" w14:textId="77777777" w:rsidR="00E74CCA" w:rsidRPr="002F1CBE" w:rsidRDefault="00E74CCA" w:rsidP="00E74CCA">
            <w:pPr>
              <w:pStyle w:val="Tabletext0"/>
              <w:rPr>
                <w:szCs w:val="22"/>
                <w:lang w:val="en-US"/>
              </w:rPr>
            </w:pPr>
            <w:r w:rsidRPr="002F1CBE">
              <w:rPr>
                <w:lang w:val="en-US"/>
              </w:rPr>
              <w:t>Normal</w:t>
            </w:r>
          </w:p>
        </w:tc>
        <w:tc>
          <w:tcPr>
            <w:tcW w:w="588" w:type="pct"/>
            <w:vMerge/>
            <w:vAlign w:val="center"/>
          </w:tcPr>
          <w:p w14:paraId="4DA69EFE" w14:textId="77777777" w:rsidR="00E74CCA" w:rsidRPr="002F1CBE" w:rsidRDefault="00E74CCA" w:rsidP="00E74CCA">
            <w:pPr>
              <w:pStyle w:val="Tabletext0"/>
              <w:rPr>
                <w:lang w:val="en-US"/>
              </w:rPr>
            </w:pPr>
          </w:p>
        </w:tc>
      </w:tr>
      <w:tr w:rsidR="00E74CCA" w:rsidRPr="002F1CBE" w14:paraId="64CBCC46" w14:textId="0C2E4421" w:rsidTr="00E74CCA">
        <w:trPr>
          <w:trHeight w:val="285"/>
        </w:trPr>
        <w:tc>
          <w:tcPr>
            <w:tcW w:w="1615" w:type="pct"/>
            <w:shd w:val="clear" w:color="auto" w:fill="auto"/>
            <w:noWrap/>
            <w:vAlign w:val="center"/>
          </w:tcPr>
          <w:p w14:paraId="7CE65A9D" w14:textId="146A3F28" w:rsidR="00E74CCA" w:rsidRPr="002F1CBE" w:rsidRDefault="00E74CCA" w:rsidP="00E74CCA">
            <w:pPr>
              <w:pStyle w:val="Tabletext0"/>
              <w:rPr>
                <w:szCs w:val="22"/>
                <w:lang w:val="en-US"/>
              </w:rPr>
            </w:pPr>
            <w:r w:rsidRPr="002F1CBE">
              <w:rPr>
                <w:lang w:val="en-US"/>
              </w:rPr>
              <w:t>Neutropenia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2C2F3857" w14:textId="4B05B081" w:rsidR="00E74CCA" w:rsidRPr="002F1CBE" w:rsidRDefault="00E74CCA" w:rsidP="00E74CCA">
            <w:pPr>
              <w:pStyle w:val="Tabletext0"/>
              <w:rPr>
                <w:szCs w:val="22"/>
                <w:lang w:val="en-US"/>
              </w:rPr>
            </w:pPr>
            <w:r>
              <w:rPr>
                <w:color w:val="000000"/>
                <w:szCs w:val="22"/>
              </w:rPr>
              <w:t>$13,308.93</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912C76" w14:textId="34512FF0" w:rsidR="00E74CCA" w:rsidRPr="002F1CBE" w:rsidRDefault="00E74CCA" w:rsidP="00E74CCA">
            <w:pPr>
              <w:pStyle w:val="Tabletext0"/>
              <w:rPr>
                <w:szCs w:val="22"/>
                <w:lang w:val="en-US"/>
              </w:rPr>
            </w:pPr>
            <w:r>
              <w:rPr>
                <w:szCs w:val="22"/>
              </w:rPr>
              <w:t>$10,700.43</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1E636FF4" w14:textId="29A8D352" w:rsidR="00E74CCA" w:rsidRPr="002F1CBE" w:rsidRDefault="00E74CCA" w:rsidP="00E74CCA">
            <w:pPr>
              <w:pStyle w:val="Tabletext0"/>
              <w:rPr>
                <w:szCs w:val="22"/>
                <w:lang w:val="en-US"/>
              </w:rPr>
            </w:pPr>
            <w:r>
              <w:rPr>
                <w:szCs w:val="22"/>
              </w:rPr>
              <w:t>$15,917.43</w:t>
            </w:r>
          </w:p>
        </w:tc>
        <w:tc>
          <w:tcPr>
            <w:tcW w:w="589" w:type="pct"/>
            <w:shd w:val="clear" w:color="auto" w:fill="auto"/>
            <w:noWrap/>
            <w:vAlign w:val="center"/>
          </w:tcPr>
          <w:p w14:paraId="67CAA93F" w14:textId="77777777" w:rsidR="00E74CCA" w:rsidRPr="002F1CBE" w:rsidRDefault="00E74CCA" w:rsidP="00E74CCA">
            <w:pPr>
              <w:pStyle w:val="Tabletext0"/>
              <w:rPr>
                <w:szCs w:val="22"/>
                <w:lang w:val="en-US"/>
              </w:rPr>
            </w:pPr>
            <w:r w:rsidRPr="002F1CBE">
              <w:rPr>
                <w:lang w:val="en-US"/>
              </w:rPr>
              <w:t>Normal</w:t>
            </w:r>
          </w:p>
        </w:tc>
        <w:tc>
          <w:tcPr>
            <w:tcW w:w="588" w:type="pct"/>
            <w:vMerge/>
            <w:vAlign w:val="center"/>
          </w:tcPr>
          <w:p w14:paraId="65F84EE6" w14:textId="77777777" w:rsidR="00E74CCA" w:rsidRPr="002F1CBE" w:rsidRDefault="00E74CCA" w:rsidP="00E74CCA">
            <w:pPr>
              <w:pStyle w:val="Tabletext0"/>
              <w:rPr>
                <w:lang w:val="en-US"/>
              </w:rPr>
            </w:pPr>
          </w:p>
        </w:tc>
      </w:tr>
      <w:tr w:rsidR="00E74CCA" w:rsidRPr="002F1CBE" w14:paraId="3A9AECBD" w14:textId="01F7AE24" w:rsidTr="00E74CCA">
        <w:trPr>
          <w:trHeight w:val="285"/>
        </w:trPr>
        <w:tc>
          <w:tcPr>
            <w:tcW w:w="1615" w:type="pct"/>
            <w:shd w:val="clear" w:color="auto" w:fill="auto"/>
            <w:noWrap/>
            <w:vAlign w:val="center"/>
          </w:tcPr>
          <w:p w14:paraId="796872F7" w14:textId="4CBFAF0E" w:rsidR="00E74CCA" w:rsidRPr="002F1CBE" w:rsidRDefault="00E74CCA" w:rsidP="00E74CCA">
            <w:pPr>
              <w:pStyle w:val="Tabletext0"/>
              <w:rPr>
                <w:szCs w:val="22"/>
                <w:lang w:val="en-US"/>
              </w:rPr>
            </w:pPr>
            <w:r w:rsidRPr="002F1CBE">
              <w:rPr>
                <w:lang w:val="en-US"/>
              </w:rPr>
              <w:t>Neutrophil count decreased</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370F7042" w14:textId="70AB83C0" w:rsidR="00E74CCA" w:rsidRPr="002F1CBE" w:rsidRDefault="00E74CCA" w:rsidP="00E74CCA">
            <w:pPr>
              <w:pStyle w:val="Tabletext0"/>
              <w:rPr>
                <w:szCs w:val="22"/>
                <w:lang w:val="en-US"/>
              </w:rPr>
            </w:pPr>
            <w:r>
              <w:rPr>
                <w:color w:val="000000"/>
                <w:szCs w:val="22"/>
              </w:rPr>
              <w:t>$13,279.65</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5257A3" w14:textId="7EEA4A84" w:rsidR="00E74CCA" w:rsidRPr="002F1CBE" w:rsidRDefault="00E74CCA" w:rsidP="00E74CCA">
            <w:pPr>
              <w:pStyle w:val="Tabletext0"/>
              <w:rPr>
                <w:szCs w:val="22"/>
                <w:lang w:val="en-US"/>
              </w:rPr>
            </w:pPr>
            <w:r>
              <w:rPr>
                <w:szCs w:val="22"/>
              </w:rPr>
              <w:t>$10,676.89</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7FF8E2E0" w14:textId="7D39AE33" w:rsidR="00E74CCA" w:rsidRPr="002F1CBE" w:rsidRDefault="00E74CCA" w:rsidP="00E74CCA">
            <w:pPr>
              <w:pStyle w:val="Tabletext0"/>
              <w:rPr>
                <w:szCs w:val="22"/>
                <w:lang w:val="en-US"/>
              </w:rPr>
            </w:pPr>
            <w:r>
              <w:rPr>
                <w:szCs w:val="22"/>
              </w:rPr>
              <w:t>$15,882.41</w:t>
            </w:r>
          </w:p>
        </w:tc>
        <w:tc>
          <w:tcPr>
            <w:tcW w:w="589" w:type="pct"/>
            <w:shd w:val="clear" w:color="auto" w:fill="auto"/>
            <w:noWrap/>
            <w:vAlign w:val="center"/>
          </w:tcPr>
          <w:p w14:paraId="0A24A357" w14:textId="77777777" w:rsidR="00E74CCA" w:rsidRPr="002F1CBE" w:rsidRDefault="00E74CCA" w:rsidP="00E74CCA">
            <w:pPr>
              <w:pStyle w:val="Tabletext0"/>
              <w:rPr>
                <w:szCs w:val="22"/>
                <w:lang w:val="en-US"/>
              </w:rPr>
            </w:pPr>
            <w:r w:rsidRPr="002F1CBE">
              <w:rPr>
                <w:lang w:val="en-US"/>
              </w:rPr>
              <w:t>Normal</w:t>
            </w:r>
          </w:p>
        </w:tc>
        <w:tc>
          <w:tcPr>
            <w:tcW w:w="588" w:type="pct"/>
            <w:vMerge/>
            <w:vAlign w:val="center"/>
          </w:tcPr>
          <w:p w14:paraId="15E053BA" w14:textId="77777777" w:rsidR="00E74CCA" w:rsidRPr="002F1CBE" w:rsidRDefault="00E74CCA" w:rsidP="00E74CCA">
            <w:pPr>
              <w:pStyle w:val="Tabletext0"/>
              <w:rPr>
                <w:lang w:val="en-US"/>
              </w:rPr>
            </w:pPr>
          </w:p>
        </w:tc>
      </w:tr>
      <w:tr w:rsidR="00E74CCA" w:rsidRPr="002F1CBE" w14:paraId="38403F08" w14:textId="59F8C656" w:rsidTr="00E74CCA">
        <w:trPr>
          <w:trHeight w:val="285"/>
        </w:trPr>
        <w:tc>
          <w:tcPr>
            <w:tcW w:w="1615" w:type="pct"/>
            <w:shd w:val="clear" w:color="auto" w:fill="auto"/>
            <w:noWrap/>
            <w:vAlign w:val="center"/>
          </w:tcPr>
          <w:p w14:paraId="6478E7F9" w14:textId="28DCCB4C" w:rsidR="00E74CCA" w:rsidRPr="002F1CBE" w:rsidRDefault="00E74CCA" w:rsidP="00E74CCA">
            <w:pPr>
              <w:pStyle w:val="Tabletext0"/>
              <w:rPr>
                <w:szCs w:val="22"/>
                <w:lang w:val="en-US"/>
              </w:rPr>
            </w:pPr>
            <w:r w:rsidRPr="002F1CBE">
              <w:rPr>
                <w:lang w:val="en-US"/>
              </w:rPr>
              <w:t xml:space="preserve">White blood cell count decreased </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D682915" w14:textId="396FE452" w:rsidR="00E74CCA" w:rsidRPr="002F1CBE" w:rsidRDefault="00E74CCA" w:rsidP="00E74CCA">
            <w:pPr>
              <w:pStyle w:val="Tabletext0"/>
              <w:rPr>
                <w:szCs w:val="22"/>
                <w:lang w:val="en-US"/>
              </w:rPr>
            </w:pPr>
            <w:r>
              <w:rPr>
                <w:color w:val="000000"/>
                <w:szCs w:val="22"/>
              </w:rPr>
              <w:t>$7,085.52</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FCB423" w14:textId="14970318" w:rsidR="00E74CCA" w:rsidRPr="002F1CBE" w:rsidRDefault="00E74CCA" w:rsidP="00E74CCA">
            <w:pPr>
              <w:pStyle w:val="Tabletext0"/>
              <w:rPr>
                <w:szCs w:val="22"/>
                <w:lang w:val="en-US"/>
              </w:rPr>
            </w:pPr>
            <w:r>
              <w:rPr>
                <w:szCs w:val="22"/>
              </w:rPr>
              <w:t>$5,696.78</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4C9794AE" w14:textId="005E7961" w:rsidR="00E74CCA" w:rsidRPr="002F1CBE" w:rsidRDefault="00E74CCA" w:rsidP="00E74CCA">
            <w:pPr>
              <w:pStyle w:val="Tabletext0"/>
              <w:rPr>
                <w:szCs w:val="22"/>
                <w:lang w:val="en-US"/>
              </w:rPr>
            </w:pPr>
            <w:r>
              <w:rPr>
                <w:szCs w:val="22"/>
              </w:rPr>
              <w:t>$8,474.25</w:t>
            </w:r>
          </w:p>
        </w:tc>
        <w:tc>
          <w:tcPr>
            <w:tcW w:w="589" w:type="pct"/>
            <w:shd w:val="clear" w:color="auto" w:fill="auto"/>
            <w:noWrap/>
            <w:vAlign w:val="center"/>
          </w:tcPr>
          <w:p w14:paraId="6E2FBBB0" w14:textId="77777777" w:rsidR="00E74CCA" w:rsidRPr="002F1CBE" w:rsidRDefault="00E74CCA" w:rsidP="00E74CCA">
            <w:pPr>
              <w:pStyle w:val="Tabletext0"/>
              <w:rPr>
                <w:szCs w:val="22"/>
                <w:lang w:val="en-US"/>
              </w:rPr>
            </w:pPr>
            <w:r w:rsidRPr="002F1CBE">
              <w:rPr>
                <w:lang w:val="en-US"/>
              </w:rPr>
              <w:t>Normal</w:t>
            </w:r>
          </w:p>
        </w:tc>
        <w:tc>
          <w:tcPr>
            <w:tcW w:w="588" w:type="pct"/>
            <w:vMerge/>
            <w:vAlign w:val="center"/>
          </w:tcPr>
          <w:p w14:paraId="37DDB1D3" w14:textId="77777777" w:rsidR="00E74CCA" w:rsidRPr="002F1CBE" w:rsidRDefault="00E74CCA" w:rsidP="00E74CCA">
            <w:pPr>
              <w:pStyle w:val="Tabletext0"/>
              <w:rPr>
                <w:lang w:val="en-US"/>
              </w:rPr>
            </w:pPr>
          </w:p>
        </w:tc>
      </w:tr>
      <w:tr w:rsidR="00E74CCA" w:rsidRPr="002F1CBE" w14:paraId="50F1D628" w14:textId="77777777" w:rsidTr="00E74CCA">
        <w:trPr>
          <w:trHeight w:val="285"/>
        </w:trPr>
        <w:tc>
          <w:tcPr>
            <w:tcW w:w="1615" w:type="pct"/>
            <w:shd w:val="clear" w:color="auto" w:fill="auto"/>
            <w:noWrap/>
            <w:vAlign w:val="center"/>
          </w:tcPr>
          <w:p w14:paraId="024AF718" w14:textId="76E8F948" w:rsidR="00E74CCA" w:rsidRPr="002F1CBE" w:rsidRDefault="00E74CCA" w:rsidP="00E74CCA">
            <w:pPr>
              <w:pStyle w:val="Tabletext0"/>
              <w:rPr>
                <w:lang w:val="en-US"/>
              </w:rPr>
            </w:pPr>
            <w:r>
              <w:rPr>
                <w:lang w:val="en-US"/>
              </w:rPr>
              <w:t>Asthenia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0F602B4" w14:textId="53EA03F5" w:rsidR="00E74CCA" w:rsidRDefault="00E74CCA" w:rsidP="00E74CCA">
            <w:pPr>
              <w:pStyle w:val="Tabletext0"/>
              <w:rPr>
                <w:color w:val="000000"/>
                <w:szCs w:val="22"/>
              </w:rPr>
            </w:pPr>
            <w:r>
              <w:rPr>
                <w:color w:val="000000"/>
                <w:szCs w:val="22"/>
              </w:rPr>
              <w:t>$7,950.87</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D26299" w14:textId="32241AD6" w:rsidR="00E74CCA" w:rsidRDefault="00E74CCA" w:rsidP="00E74CCA">
            <w:pPr>
              <w:pStyle w:val="Tabletext0"/>
              <w:rPr>
                <w:szCs w:val="22"/>
              </w:rPr>
            </w:pPr>
            <w:r>
              <w:rPr>
                <w:szCs w:val="22"/>
              </w:rPr>
              <w:t>$6,392.53</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4A1D62B2" w14:textId="478282C0" w:rsidR="00E74CCA" w:rsidRDefault="00E74CCA" w:rsidP="00E74CCA">
            <w:pPr>
              <w:pStyle w:val="Tabletext0"/>
              <w:rPr>
                <w:szCs w:val="22"/>
              </w:rPr>
            </w:pPr>
            <w:r>
              <w:rPr>
                <w:szCs w:val="22"/>
              </w:rPr>
              <w:t>$9,509.21</w:t>
            </w:r>
          </w:p>
        </w:tc>
        <w:tc>
          <w:tcPr>
            <w:tcW w:w="589" w:type="pct"/>
            <w:shd w:val="clear" w:color="auto" w:fill="auto"/>
            <w:noWrap/>
            <w:vAlign w:val="center"/>
          </w:tcPr>
          <w:p w14:paraId="64601BB5" w14:textId="0A48FE1E" w:rsidR="00E74CCA" w:rsidRPr="002F1CBE" w:rsidRDefault="00E74CCA" w:rsidP="00E74CCA">
            <w:pPr>
              <w:pStyle w:val="Tabletext0"/>
              <w:rPr>
                <w:lang w:val="en-US"/>
              </w:rPr>
            </w:pPr>
            <w:r>
              <w:rPr>
                <w:lang w:val="en-US"/>
              </w:rPr>
              <w:t>Normal</w:t>
            </w:r>
          </w:p>
        </w:tc>
        <w:tc>
          <w:tcPr>
            <w:tcW w:w="588" w:type="pct"/>
            <w:vMerge/>
            <w:vAlign w:val="center"/>
          </w:tcPr>
          <w:p w14:paraId="5613CED0" w14:textId="77777777" w:rsidR="00E74CCA" w:rsidRPr="002F1CBE" w:rsidRDefault="00E74CCA" w:rsidP="00E74CCA">
            <w:pPr>
              <w:pStyle w:val="Tabletext0"/>
              <w:rPr>
                <w:lang w:val="en-US"/>
              </w:rPr>
            </w:pPr>
          </w:p>
        </w:tc>
      </w:tr>
      <w:tr w:rsidR="00E74CCA" w:rsidRPr="002F1CBE" w14:paraId="70A8500B" w14:textId="70704906" w:rsidTr="00E74CCA">
        <w:trPr>
          <w:trHeight w:val="285"/>
        </w:trPr>
        <w:tc>
          <w:tcPr>
            <w:tcW w:w="1615" w:type="pct"/>
            <w:shd w:val="clear" w:color="auto" w:fill="auto"/>
            <w:noWrap/>
            <w:vAlign w:val="center"/>
          </w:tcPr>
          <w:p w14:paraId="768F26D6" w14:textId="4CE4C8C5" w:rsidR="00E74CCA" w:rsidRPr="002F1CBE" w:rsidRDefault="00E74CCA" w:rsidP="00E74CCA">
            <w:pPr>
              <w:pStyle w:val="Tabletext0"/>
              <w:rPr>
                <w:szCs w:val="22"/>
                <w:lang w:val="en-US"/>
              </w:rPr>
            </w:pPr>
            <w:r w:rsidRPr="002F1CBE">
              <w:rPr>
                <w:lang w:val="en-US"/>
              </w:rPr>
              <w:t>Peripheral sensory neuropathy</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6CD1E6FC" w14:textId="7FF705FA" w:rsidR="00E74CCA" w:rsidRPr="002F1CBE" w:rsidRDefault="00E74CCA" w:rsidP="00E74CCA">
            <w:pPr>
              <w:pStyle w:val="Tabletext0"/>
              <w:rPr>
                <w:szCs w:val="22"/>
                <w:lang w:val="en-US"/>
              </w:rPr>
            </w:pPr>
            <w:r>
              <w:rPr>
                <w:color w:val="000000"/>
                <w:szCs w:val="22"/>
              </w:rPr>
              <w:t>$8,734.90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974C81" w14:textId="42AD54E9" w:rsidR="00E74CCA" w:rsidRPr="002F1CBE" w:rsidRDefault="00E74CCA" w:rsidP="00E74CCA">
            <w:pPr>
              <w:pStyle w:val="Tabletext0"/>
              <w:rPr>
                <w:szCs w:val="22"/>
                <w:lang w:val="en-US"/>
              </w:rPr>
            </w:pPr>
            <w:r>
              <w:rPr>
                <w:szCs w:val="22"/>
              </w:rPr>
              <w:t>$7,022.89</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065ECD8E" w14:textId="0E9F49B0" w:rsidR="00E74CCA" w:rsidRPr="002F1CBE" w:rsidRDefault="00E74CCA" w:rsidP="00E74CCA">
            <w:pPr>
              <w:pStyle w:val="Tabletext0"/>
              <w:rPr>
                <w:szCs w:val="22"/>
                <w:lang w:val="en-US"/>
              </w:rPr>
            </w:pPr>
            <w:r>
              <w:rPr>
                <w:szCs w:val="22"/>
              </w:rPr>
              <w:t>$10,446.91</w:t>
            </w:r>
          </w:p>
        </w:tc>
        <w:tc>
          <w:tcPr>
            <w:tcW w:w="589" w:type="pct"/>
            <w:shd w:val="clear" w:color="auto" w:fill="auto"/>
            <w:noWrap/>
            <w:vAlign w:val="center"/>
          </w:tcPr>
          <w:p w14:paraId="7E006825" w14:textId="77777777" w:rsidR="00E74CCA" w:rsidRPr="002F1CBE" w:rsidRDefault="00E74CCA" w:rsidP="00E74CCA">
            <w:pPr>
              <w:pStyle w:val="Tabletext0"/>
              <w:rPr>
                <w:szCs w:val="22"/>
                <w:lang w:val="en-US"/>
              </w:rPr>
            </w:pPr>
            <w:r w:rsidRPr="002F1CBE">
              <w:rPr>
                <w:lang w:val="en-US"/>
              </w:rPr>
              <w:t>Normal</w:t>
            </w:r>
          </w:p>
        </w:tc>
        <w:tc>
          <w:tcPr>
            <w:tcW w:w="588" w:type="pct"/>
            <w:vMerge/>
            <w:vAlign w:val="center"/>
          </w:tcPr>
          <w:p w14:paraId="1EAE5B33" w14:textId="77777777" w:rsidR="00E74CCA" w:rsidRPr="002F1CBE" w:rsidRDefault="00E74CCA" w:rsidP="00E74CCA">
            <w:pPr>
              <w:pStyle w:val="Tabletext0"/>
              <w:rPr>
                <w:lang w:val="en-US"/>
              </w:rPr>
            </w:pPr>
          </w:p>
        </w:tc>
      </w:tr>
      <w:tr w:rsidR="00E74CCA" w:rsidRPr="002F1CBE" w14:paraId="1C155639" w14:textId="21ED7C49" w:rsidTr="00E74CCA">
        <w:trPr>
          <w:trHeight w:val="285"/>
        </w:trPr>
        <w:tc>
          <w:tcPr>
            <w:tcW w:w="1615" w:type="pct"/>
            <w:shd w:val="clear" w:color="auto" w:fill="auto"/>
            <w:noWrap/>
            <w:vAlign w:val="center"/>
          </w:tcPr>
          <w:p w14:paraId="0413B8E6" w14:textId="0FDA8CA7" w:rsidR="00E74CCA" w:rsidRPr="002F1CBE" w:rsidRDefault="00E74CCA" w:rsidP="00E74CCA">
            <w:pPr>
              <w:pStyle w:val="Tabletext0"/>
              <w:rPr>
                <w:szCs w:val="22"/>
                <w:lang w:val="en-US"/>
              </w:rPr>
            </w:pPr>
            <w:r w:rsidRPr="002F1CBE">
              <w:rPr>
                <w:lang w:val="en-US"/>
              </w:rPr>
              <w:t>Diarrhea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03A90F9F" w14:textId="4E52A07C" w:rsidR="00E74CCA" w:rsidRPr="002F1CBE" w:rsidRDefault="00E74CCA" w:rsidP="00E74CCA">
            <w:pPr>
              <w:pStyle w:val="Tabletext0"/>
              <w:rPr>
                <w:szCs w:val="22"/>
                <w:lang w:val="en-US"/>
              </w:rPr>
            </w:pPr>
            <w:r>
              <w:rPr>
                <w:color w:val="000000"/>
                <w:szCs w:val="22"/>
              </w:rPr>
              <w:t>$7,563.74</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C905DB" w14:textId="52E38944" w:rsidR="00E74CCA" w:rsidRPr="002F1CBE" w:rsidRDefault="00E74CCA" w:rsidP="00E74CCA">
            <w:pPr>
              <w:pStyle w:val="Tabletext0"/>
              <w:rPr>
                <w:szCs w:val="22"/>
                <w:lang w:val="en-US"/>
              </w:rPr>
            </w:pPr>
            <w:r>
              <w:rPr>
                <w:szCs w:val="22"/>
              </w:rPr>
              <w:t>$6,081.27</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45F253C9" w14:textId="7E15D5D5" w:rsidR="00E74CCA" w:rsidRPr="002F1CBE" w:rsidRDefault="00E74CCA" w:rsidP="00E74CCA">
            <w:pPr>
              <w:pStyle w:val="Tabletext0"/>
              <w:rPr>
                <w:szCs w:val="22"/>
                <w:lang w:val="en-US"/>
              </w:rPr>
            </w:pPr>
            <w:r>
              <w:rPr>
                <w:szCs w:val="22"/>
              </w:rPr>
              <w:t>$9,046.20</w:t>
            </w:r>
          </w:p>
        </w:tc>
        <w:tc>
          <w:tcPr>
            <w:tcW w:w="589" w:type="pct"/>
            <w:shd w:val="clear" w:color="auto" w:fill="auto"/>
            <w:noWrap/>
            <w:vAlign w:val="center"/>
          </w:tcPr>
          <w:p w14:paraId="7C852CD1" w14:textId="77777777" w:rsidR="00E74CCA" w:rsidRPr="002F1CBE" w:rsidRDefault="00E74CCA" w:rsidP="00E74CCA">
            <w:pPr>
              <w:pStyle w:val="Tabletext0"/>
              <w:rPr>
                <w:szCs w:val="22"/>
                <w:lang w:val="en-US"/>
              </w:rPr>
            </w:pPr>
            <w:r w:rsidRPr="002F1CBE">
              <w:rPr>
                <w:lang w:val="en-US"/>
              </w:rPr>
              <w:t>Normal</w:t>
            </w:r>
          </w:p>
        </w:tc>
        <w:tc>
          <w:tcPr>
            <w:tcW w:w="588" w:type="pct"/>
            <w:vMerge/>
            <w:vAlign w:val="center"/>
          </w:tcPr>
          <w:p w14:paraId="2EC5BE4F" w14:textId="77777777" w:rsidR="00E74CCA" w:rsidRPr="002F1CBE" w:rsidRDefault="00E74CCA" w:rsidP="00E74CCA">
            <w:pPr>
              <w:pStyle w:val="Tabletext0"/>
              <w:rPr>
                <w:lang w:val="en-US"/>
              </w:rPr>
            </w:pPr>
          </w:p>
        </w:tc>
      </w:tr>
      <w:tr w:rsidR="00E74CCA" w:rsidRPr="002F1CBE" w14:paraId="58476D76" w14:textId="7322A29B" w:rsidTr="00E74CCA">
        <w:trPr>
          <w:trHeight w:val="285"/>
        </w:trPr>
        <w:tc>
          <w:tcPr>
            <w:tcW w:w="1615" w:type="pct"/>
            <w:shd w:val="clear" w:color="auto" w:fill="auto"/>
            <w:noWrap/>
            <w:vAlign w:val="center"/>
          </w:tcPr>
          <w:p w14:paraId="79998BC4" w14:textId="26B94E4E" w:rsidR="00E74CCA" w:rsidRPr="002F1CBE" w:rsidRDefault="00E74CCA" w:rsidP="00E74CCA">
            <w:pPr>
              <w:pStyle w:val="Tabletext0"/>
              <w:rPr>
                <w:szCs w:val="22"/>
                <w:lang w:val="en-US"/>
              </w:rPr>
            </w:pPr>
            <w:r w:rsidRPr="002F1CBE">
              <w:rPr>
                <w:lang w:val="en-US"/>
              </w:rPr>
              <w:t>Leukopenia</w:t>
            </w:r>
          </w:p>
        </w:tc>
        <w:tc>
          <w:tcPr>
            <w:tcW w:w="736" w:type="pct"/>
            <w:tcBorders>
              <w:top w:val="single" w:sz="4" w:space="0" w:color="auto"/>
              <w:left w:val="single" w:sz="4" w:space="0" w:color="14ACA8"/>
              <w:bottom w:val="single" w:sz="4" w:space="0" w:color="auto"/>
              <w:right w:val="single" w:sz="4" w:space="0" w:color="auto"/>
            </w:tcBorders>
            <w:shd w:val="clear" w:color="auto" w:fill="auto"/>
            <w:noWrap/>
            <w:vAlign w:val="bottom"/>
          </w:tcPr>
          <w:p w14:paraId="1293CDD9" w14:textId="2DFDDEFA" w:rsidR="00E74CCA" w:rsidRPr="002F1CBE" w:rsidRDefault="00E74CCA" w:rsidP="00E74CCA">
            <w:pPr>
              <w:pStyle w:val="Tabletext0"/>
              <w:rPr>
                <w:szCs w:val="22"/>
                <w:lang w:val="en-US"/>
              </w:rPr>
            </w:pPr>
            <w:r>
              <w:rPr>
                <w:color w:val="000000"/>
                <w:szCs w:val="22"/>
              </w:rPr>
              <w:t>$7,085.52</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4CCA2F" w14:textId="7F5FF216" w:rsidR="00E74CCA" w:rsidRPr="002F1CBE" w:rsidRDefault="00E74CCA" w:rsidP="00E74CCA">
            <w:pPr>
              <w:pStyle w:val="Tabletext0"/>
              <w:rPr>
                <w:szCs w:val="22"/>
                <w:lang w:val="en-US"/>
              </w:rPr>
            </w:pPr>
            <w:r>
              <w:rPr>
                <w:szCs w:val="22"/>
              </w:rPr>
              <w:t>$5,696.78</w:t>
            </w:r>
          </w:p>
        </w:tc>
        <w:tc>
          <w:tcPr>
            <w:tcW w:w="736" w:type="pct"/>
            <w:tcBorders>
              <w:top w:val="single" w:sz="4" w:space="0" w:color="auto"/>
              <w:left w:val="single" w:sz="4" w:space="0" w:color="auto"/>
              <w:bottom w:val="single" w:sz="4" w:space="0" w:color="auto"/>
              <w:right w:val="single" w:sz="4" w:space="0" w:color="14ACA8"/>
            </w:tcBorders>
            <w:shd w:val="clear" w:color="auto" w:fill="auto"/>
            <w:noWrap/>
            <w:vAlign w:val="bottom"/>
          </w:tcPr>
          <w:p w14:paraId="5BF54A6F" w14:textId="1ED72AF5" w:rsidR="00E74CCA" w:rsidRPr="002F1CBE" w:rsidRDefault="00E74CCA" w:rsidP="00E74CCA">
            <w:pPr>
              <w:pStyle w:val="Tabletext0"/>
              <w:rPr>
                <w:szCs w:val="22"/>
                <w:lang w:val="en-US"/>
              </w:rPr>
            </w:pPr>
            <w:r>
              <w:rPr>
                <w:szCs w:val="22"/>
              </w:rPr>
              <w:t>$8,474.25</w:t>
            </w:r>
          </w:p>
        </w:tc>
        <w:tc>
          <w:tcPr>
            <w:tcW w:w="589" w:type="pct"/>
            <w:shd w:val="clear" w:color="auto" w:fill="auto"/>
            <w:noWrap/>
            <w:vAlign w:val="center"/>
          </w:tcPr>
          <w:p w14:paraId="6C356A99" w14:textId="77777777" w:rsidR="00E74CCA" w:rsidRPr="002F1CBE" w:rsidRDefault="00E74CCA" w:rsidP="00E74CCA">
            <w:pPr>
              <w:pStyle w:val="Tabletext0"/>
              <w:rPr>
                <w:szCs w:val="22"/>
                <w:lang w:val="en-US"/>
              </w:rPr>
            </w:pPr>
            <w:r w:rsidRPr="002F1CBE">
              <w:rPr>
                <w:lang w:val="en-US"/>
              </w:rPr>
              <w:t>Normal</w:t>
            </w:r>
          </w:p>
        </w:tc>
        <w:tc>
          <w:tcPr>
            <w:tcW w:w="588" w:type="pct"/>
            <w:vMerge/>
            <w:vAlign w:val="center"/>
          </w:tcPr>
          <w:p w14:paraId="12C50035" w14:textId="77777777" w:rsidR="00E74CCA" w:rsidRPr="002F1CBE" w:rsidRDefault="00E74CCA" w:rsidP="00E74CCA">
            <w:pPr>
              <w:pStyle w:val="Tabletext0"/>
              <w:rPr>
                <w:lang w:val="en-US"/>
              </w:rPr>
            </w:pPr>
          </w:p>
        </w:tc>
      </w:tr>
      <w:tr w:rsidR="00E74CCA" w:rsidRPr="002F1CBE" w14:paraId="5CE2E414" w14:textId="2AA5BA50" w:rsidTr="00A00B39">
        <w:trPr>
          <w:trHeight w:val="315"/>
        </w:trPr>
        <w:tc>
          <w:tcPr>
            <w:tcW w:w="5000" w:type="pct"/>
            <w:gridSpan w:val="6"/>
            <w:shd w:val="clear" w:color="auto" w:fill="auto"/>
            <w:noWrap/>
            <w:vAlign w:val="center"/>
            <w:hideMark/>
          </w:tcPr>
          <w:p w14:paraId="32E9465C" w14:textId="53BD75DE" w:rsidR="00E74CCA" w:rsidRPr="002F1CBE" w:rsidRDefault="00E74CCA" w:rsidP="00E74CCA">
            <w:pPr>
              <w:pStyle w:val="Tabletext0"/>
              <w:rPr>
                <w:b/>
                <w:szCs w:val="22"/>
                <w:lang w:val="en-US"/>
              </w:rPr>
            </w:pPr>
            <w:r w:rsidRPr="002F1CBE">
              <w:rPr>
                <w:b/>
                <w:szCs w:val="22"/>
                <w:lang w:val="en-US"/>
              </w:rPr>
              <w:t>Survival models – all histology, overall population</w:t>
            </w:r>
          </w:p>
        </w:tc>
      </w:tr>
      <w:tr w:rsidR="00E74CCA" w:rsidRPr="002F1CBE" w14:paraId="58C65C5B" w14:textId="3A3D1336" w:rsidTr="00A00B39">
        <w:trPr>
          <w:trHeight w:val="300"/>
        </w:trPr>
        <w:tc>
          <w:tcPr>
            <w:tcW w:w="5000" w:type="pct"/>
            <w:gridSpan w:val="6"/>
            <w:shd w:val="clear" w:color="auto" w:fill="auto"/>
            <w:noWrap/>
            <w:vAlign w:val="center"/>
            <w:hideMark/>
          </w:tcPr>
          <w:p w14:paraId="5416C5A6" w14:textId="26FAE703" w:rsidR="00E74CCA" w:rsidRPr="002F1CBE" w:rsidRDefault="00E74CCA" w:rsidP="00E74CCA">
            <w:pPr>
              <w:pStyle w:val="Tabletext0"/>
              <w:rPr>
                <w:b/>
                <w:i/>
                <w:szCs w:val="22"/>
                <w:lang w:val="en-US"/>
              </w:rPr>
            </w:pPr>
            <w:r w:rsidRPr="002F1CBE">
              <w:rPr>
                <w:b/>
                <w:i/>
                <w:szCs w:val="22"/>
                <w:lang w:val="en-US"/>
              </w:rPr>
              <w:t>PFS parametric curve fitting</w:t>
            </w:r>
          </w:p>
        </w:tc>
      </w:tr>
      <w:tr w:rsidR="00E74CCA" w:rsidRPr="002F1CBE" w14:paraId="2D89FE16" w14:textId="08A952A4" w:rsidTr="00A00B39">
        <w:trPr>
          <w:trHeight w:val="285"/>
        </w:trPr>
        <w:tc>
          <w:tcPr>
            <w:tcW w:w="5000" w:type="pct"/>
            <w:gridSpan w:val="6"/>
            <w:shd w:val="clear" w:color="auto" w:fill="auto"/>
            <w:noWrap/>
            <w:vAlign w:val="center"/>
            <w:hideMark/>
          </w:tcPr>
          <w:p w14:paraId="62D40F2E" w14:textId="5AC8CAF3" w:rsidR="00E74CCA" w:rsidRPr="002F1CBE" w:rsidRDefault="00E74CCA" w:rsidP="00E74CCA">
            <w:pPr>
              <w:pStyle w:val="Tabletext0"/>
              <w:rPr>
                <w:b/>
                <w:i/>
                <w:szCs w:val="22"/>
                <w:lang w:val="en-US"/>
              </w:rPr>
            </w:pPr>
            <w:r w:rsidRPr="002F1CBE">
              <w:rPr>
                <w:b/>
                <w:i/>
                <w:szCs w:val="22"/>
                <w:lang w:val="en-US"/>
              </w:rPr>
              <w:t>Pembrolizumab</w:t>
            </w:r>
          </w:p>
        </w:tc>
      </w:tr>
      <w:tr w:rsidR="00E74CCA" w:rsidRPr="002F1CBE" w14:paraId="0A5DA4C9" w14:textId="7C573AFD" w:rsidTr="00E74CCA">
        <w:trPr>
          <w:trHeight w:val="285"/>
        </w:trPr>
        <w:tc>
          <w:tcPr>
            <w:tcW w:w="1615" w:type="pct"/>
            <w:shd w:val="clear" w:color="auto" w:fill="auto"/>
            <w:noWrap/>
            <w:vAlign w:val="center"/>
            <w:hideMark/>
          </w:tcPr>
          <w:p w14:paraId="21E56F48" w14:textId="3F97C14F" w:rsidR="00E74CCA" w:rsidRPr="002F1CBE" w:rsidRDefault="00E74CCA" w:rsidP="00E74CCA">
            <w:pPr>
              <w:pStyle w:val="Tabletext0"/>
              <w:rPr>
                <w:szCs w:val="22"/>
                <w:lang w:val="en-US"/>
              </w:rPr>
            </w:pPr>
            <w:r w:rsidRPr="002F1CBE">
              <w:rPr>
                <w:szCs w:val="22"/>
                <w:lang w:val="en-US"/>
              </w:rPr>
              <w:t>Log logistic intercept</w:t>
            </w:r>
          </w:p>
        </w:tc>
        <w:tc>
          <w:tcPr>
            <w:tcW w:w="736" w:type="pct"/>
            <w:shd w:val="clear" w:color="auto" w:fill="auto"/>
            <w:noWrap/>
            <w:vAlign w:val="center"/>
            <w:hideMark/>
          </w:tcPr>
          <w:p w14:paraId="79EAD619" w14:textId="77777777" w:rsidR="00E74CCA" w:rsidRPr="002F1CBE" w:rsidRDefault="00E74CCA" w:rsidP="00E74CCA">
            <w:pPr>
              <w:pStyle w:val="Tabletext0"/>
              <w:rPr>
                <w:szCs w:val="22"/>
                <w:lang w:val="en-US"/>
              </w:rPr>
            </w:pPr>
            <w:r w:rsidRPr="002F1CBE">
              <w:rPr>
                <w:lang w:val="en-US"/>
              </w:rPr>
              <w:t>3.87</w:t>
            </w:r>
          </w:p>
        </w:tc>
        <w:tc>
          <w:tcPr>
            <w:tcW w:w="736" w:type="pct"/>
            <w:shd w:val="clear" w:color="auto" w:fill="auto"/>
            <w:noWrap/>
            <w:vAlign w:val="center"/>
            <w:hideMark/>
          </w:tcPr>
          <w:p w14:paraId="41247F15" w14:textId="77777777" w:rsidR="00E74CCA" w:rsidRPr="002F1CBE" w:rsidRDefault="00E74CCA" w:rsidP="00E74CCA">
            <w:pPr>
              <w:pStyle w:val="Tabletext0"/>
              <w:rPr>
                <w:szCs w:val="22"/>
                <w:lang w:val="en-US"/>
              </w:rPr>
            </w:pPr>
            <w:r w:rsidRPr="002F1CBE">
              <w:rPr>
                <w:szCs w:val="22"/>
                <w:lang w:val="en-US"/>
              </w:rPr>
              <w:t> </w:t>
            </w:r>
          </w:p>
        </w:tc>
        <w:tc>
          <w:tcPr>
            <w:tcW w:w="736" w:type="pct"/>
            <w:shd w:val="clear" w:color="auto" w:fill="auto"/>
            <w:noWrap/>
            <w:vAlign w:val="center"/>
            <w:hideMark/>
          </w:tcPr>
          <w:p w14:paraId="302C282A" w14:textId="77777777" w:rsidR="00E74CCA" w:rsidRPr="002F1CBE" w:rsidRDefault="00E74CCA" w:rsidP="00E74CCA">
            <w:pPr>
              <w:pStyle w:val="Tabletext0"/>
              <w:rPr>
                <w:szCs w:val="22"/>
                <w:lang w:val="en-US"/>
              </w:rPr>
            </w:pPr>
            <w:r w:rsidRPr="002F1CBE">
              <w:rPr>
                <w:szCs w:val="22"/>
                <w:lang w:val="en-US"/>
              </w:rPr>
              <w:t> </w:t>
            </w:r>
          </w:p>
        </w:tc>
        <w:tc>
          <w:tcPr>
            <w:tcW w:w="589" w:type="pct"/>
            <w:shd w:val="clear" w:color="auto" w:fill="auto"/>
            <w:noWrap/>
            <w:vAlign w:val="center"/>
            <w:hideMark/>
          </w:tcPr>
          <w:p w14:paraId="290D9D70"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Merge w:val="restart"/>
            <w:vAlign w:val="center"/>
          </w:tcPr>
          <w:p w14:paraId="397EEF9A" w14:textId="77A0CA9E" w:rsidR="00E74CCA" w:rsidRPr="002F1CBE" w:rsidRDefault="00E74CCA" w:rsidP="00E74CCA">
            <w:pPr>
              <w:pStyle w:val="Tabletext0"/>
              <w:rPr>
                <w:szCs w:val="22"/>
                <w:lang w:val="en-US"/>
              </w:rPr>
            </w:pPr>
            <w:r>
              <w:rPr>
                <w:szCs w:val="22"/>
                <w:lang w:val="en-US"/>
              </w:rPr>
              <w:t>KN-045</w:t>
            </w:r>
          </w:p>
        </w:tc>
      </w:tr>
      <w:tr w:rsidR="00E74CCA" w:rsidRPr="002F1CBE" w14:paraId="12BABE50" w14:textId="55BAABCE" w:rsidTr="00E74CCA">
        <w:trPr>
          <w:trHeight w:val="285"/>
        </w:trPr>
        <w:tc>
          <w:tcPr>
            <w:tcW w:w="1615" w:type="pct"/>
            <w:shd w:val="clear" w:color="auto" w:fill="auto"/>
            <w:noWrap/>
            <w:vAlign w:val="center"/>
            <w:hideMark/>
          </w:tcPr>
          <w:p w14:paraId="4587775B" w14:textId="3BDFD867" w:rsidR="00E74CCA" w:rsidRPr="002F1CBE" w:rsidRDefault="00E74CCA" w:rsidP="00E74CCA">
            <w:pPr>
              <w:pStyle w:val="Tabletext0"/>
              <w:rPr>
                <w:szCs w:val="22"/>
                <w:lang w:val="en-US"/>
              </w:rPr>
            </w:pPr>
            <w:r w:rsidRPr="002F1CBE">
              <w:rPr>
                <w:szCs w:val="22"/>
                <w:lang w:val="en-US"/>
              </w:rPr>
              <w:t>Log logistic log(scale)</w:t>
            </w:r>
          </w:p>
        </w:tc>
        <w:tc>
          <w:tcPr>
            <w:tcW w:w="736" w:type="pct"/>
            <w:shd w:val="clear" w:color="auto" w:fill="auto"/>
            <w:noWrap/>
            <w:vAlign w:val="center"/>
            <w:hideMark/>
          </w:tcPr>
          <w:p w14:paraId="78FAAAB5" w14:textId="77777777" w:rsidR="00E74CCA" w:rsidRPr="002F1CBE" w:rsidRDefault="00E74CCA" w:rsidP="00E74CCA">
            <w:pPr>
              <w:pStyle w:val="Tabletext0"/>
              <w:rPr>
                <w:szCs w:val="22"/>
                <w:lang w:val="en-US"/>
              </w:rPr>
            </w:pPr>
            <w:r w:rsidRPr="002F1CBE">
              <w:rPr>
                <w:lang w:val="en-US"/>
              </w:rPr>
              <w:t>0.10</w:t>
            </w:r>
          </w:p>
        </w:tc>
        <w:tc>
          <w:tcPr>
            <w:tcW w:w="736" w:type="pct"/>
            <w:shd w:val="clear" w:color="auto" w:fill="auto"/>
            <w:noWrap/>
            <w:vAlign w:val="center"/>
            <w:hideMark/>
          </w:tcPr>
          <w:p w14:paraId="4373DAFD" w14:textId="77777777" w:rsidR="00E74CCA" w:rsidRPr="002F1CBE" w:rsidRDefault="00E74CCA" w:rsidP="00E74CCA">
            <w:pPr>
              <w:pStyle w:val="Tabletext0"/>
              <w:rPr>
                <w:szCs w:val="22"/>
                <w:lang w:val="en-US"/>
              </w:rPr>
            </w:pPr>
            <w:r w:rsidRPr="002F1CBE">
              <w:rPr>
                <w:szCs w:val="22"/>
                <w:lang w:val="en-US"/>
              </w:rPr>
              <w:t> </w:t>
            </w:r>
          </w:p>
        </w:tc>
        <w:tc>
          <w:tcPr>
            <w:tcW w:w="736" w:type="pct"/>
            <w:shd w:val="clear" w:color="auto" w:fill="auto"/>
            <w:noWrap/>
            <w:vAlign w:val="center"/>
            <w:hideMark/>
          </w:tcPr>
          <w:p w14:paraId="4EA4F1DA" w14:textId="77777777" w:rsidR="00E74CCA" w:rsidRPr="002F1CBE" w:rsidRDefault="00E74CCA" w:rsidP="00E74CCA">
            <w:pPr>
              <w:pStyle w:val="Tabletext0"/>
              <w:rPr>
                <w:szCs w:val="22"/>
                <w:lang w:val="en-US"/>
              </w:rPr>
            </w:pPr>
            <w:r w:rsidRPr="002F1CBE">
              <w:rPr>
                <w:szCs w:val="22"/>
                <w:lang w:val="en-US"/>
              </w:rPr>
              <w:t> </w:t>
            </w:r>
          </w:p>
        </w:tc>
        <w:tc>
          <w:tcPr>
            <w:tcW w:w="589" w:type="pct"/>
            <w:shd w:val="clear" w:color="auto" w:fill="auto"/>
            <w:noWrap/>
            <w:vAlign w:val="center"/>
            <w:hideMark/>
          </w:tcPr>
          <w:p w14:paraId="28DF1F26"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Merge/>
            <w:vAlign w:val="center"/>
          </w:tcPr>
          <w:p w14:paraId="755DD4E6" w14:textId="77777777" w:rsidR="00E74CCA" w:rsidRPr="002F1CBE" w:rsidRDefault="00E74CCA" w:rsidP="00E74CCA">
            <w:pPr>
              <w:pStyle w:val="Tabletext0"/>
              <w:rPr>
                <w:szCs w:val="22"/>
                <w:lang w:val="en-US"/>
              </w:rPr>
            </w:pPr>
          </w:p>
        </w:tc>
      </w:tr>
      <w:tr w:rsidR="00E74CCA" w:rsidRPr="002F1CBE" w14:paraId="2C917878" w14:textId="2BBD7E4E" w:rsidTr="00E74CCA">
        <w:trPr>
          <w:trHeight w:val="285"/>
        </w:trPr>
        <w:tc>
          <w:tcPr>
            <w:tcW w:w="1615" w:type="pct"/>
            <w:shd w:val="clear" w:color="auto" w:fill="auto"/>
            <w:noWrap/>
            <w:vAlign w:val="center"/>
            <w:hideMark/>
          </w:tcPr>
          <w:p w14:paraId="2123BDCF" w14:textId="157DC60E" w:rsidR="00E74CCA" w:rsidRPr="002F1CBE" w:rsidRDefault="00E74CCA" w:rsidP="00E74CCA">
            <w:pPr>
              <w:pStyle w:val="Tabletext0"/>
              <w:rPr>
                <w:szCs w:val="22"/>
                <w:lang w:val="en-US"/>
              </w:rPr>
            </w:pPr>
            <w:r w:rsidRPr="002F1CBE">
              <w:rPr>
                <w:szCs w:val="22"/>
                <w:lang w:val="en-US"/>
              </w:rPr>
              <w:t>Log logistic shape</w:t>
            </w:r>
          </w:p>
        </w:tc>
        <w:tc>
          <w:tcPr>
            <w:tcW w:w="736" w:type="pct"/>
            <w:shd w:val="clear" w:color="auto" w:fill="auto"/>
            <w:noWrap/>
            <w:vAlign w:val="center"/>
            <w:hideMark/>
          </w:tcPr>
          <w:p w14:paraId="73357142" w14:textId="77777777" w:rsidR="00E74CCA" w:rsidRPr="002F1CBE" w:rsidRDefault="00E74CCA" w:rsidP="00E74CCA">
            <w:pPr>
              <w:pStyle w:val="Tabletext0"/>
              <w:rPr>
                <w:szCs w:val="22"/>
                <w:lang w:val="en-US"/>
              </w:rPr>
            </w:pPr>
            <w:r w:rsidRPr="002F1CBE">
              <w:rPr>
                <w:lang w:val="en-US"/>
              </w:rPr>
              <w:t>0.00</w:t>
            </w:r>
          </w:p>
        </w:tc>
        <w:tc>
          <w:tcPr>
            <w:tcW w:w="736" w:type="pct"/>
            <w:shd w:val="clear" w:color="auto" w:fill="auto"/>
            <w:noWrap/>
            <w:vAlign w:val="center"/>
            <w:hideMark/>
          </w:tcPr>
          <w:p w14:paraId="6446E09E" w14:textId="77777777" w:rsidR="00E74CCA" w:rsidRPr="002F1CBE" w:rsidRDefault="00E74CCA" w:rsidP="00E74CCA">
            <w:pPr>
              <w:pStyle w:val="Tabletext0"/>
              <w:rPr>
                <w:szCs w:val="22"/>
                <w:lang w:val="en-US"/>
              </w:rPr>
            </w:pPr>
            <w:r w:rsidRPr="002F1CBE">
              <w:rPr>
                <w:szCs w:val="22"/>
                <w:lang w:val="en-US"/>
              </w:rPr>
              <w:t> </w:t>
            </w:r>
          </w:p>
        </w:tc>
        <w:tc>
          <w:tcPr>
            <w:tcW w:w="736" w:type="pct"/>
            <w:shd w:val="clear" w:color="auto" w:fill="auto"/>
            <w:noWrap/>
            <w:vAlign w:val="center"/>
            <w:hideMark/>
          </w:tcPr>
          <w:p w14:paraId="0E24001E" w14:textId="77777777" w:rsidR="00E74CCA" w:rsidRPr="002F1CBE" w:rsidRDefault="00E74CCA" w:rsidP="00E74CCA">
            <w:pPr>
              <w:pStyle w:val="Tabletext0"/>
              <w:rPr>
                <w:szCs w:val="22"/>
                <w:lang w:val="en-US"/>
              </w:rPr>
            </w:pPr>
            <w:r w:rsidRPr="002F1CBE">
              <w:rPr>
                <w:szCs w:val="22"/>
                <w:lang w:val="en-US"/>
              </w:rPr>
              <w:t> </w:t>
            </w:r>
          </w:p>
        </w:tc>
        <w:tc>
          <w:tcPr>
            <w:tcW w:w="589" w:type="pct"/>
            <w:shd w:val="clear" w:color="auto" w:fill="auto"/>
            <w:noWrap/>
            <w:vAlign w:val="center"/>
            <w:hideMark/>
          </w:tcPr>
          <w:p w14:paraId="162535E6"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Merge/>
            <w:vAlign w:val="center"/>
          </w:tcPr>
          <w:p w14:paraId="1FA34ED4" w14:textId="77777777" w:rsidR="00E74CCA" w:rsidRPr="002F1CBE" w:rsidRDefault="00E74CCA" w:rsidP="00E74CCA">
            <w:pPr>
              <w:pStyle w:val="Tabletext0"/>
              <w:rPr>
                <w:szCs w:val="22"/>
                <w:lang w:val="en-US"/>
              </w:rPr>
            </w:pPr>
          </w:p>
        </w:tc>
      </w:tr>
      <w:tr w:rsidR="00E74CCA" w:rsidRPr="002F1CBE" w14:paraId="7464F101" w14:textId="5713E259" w:rsidTr="00A00B39">
        <w:trPr>
          <w:trHeight w:val="285"/>
        </w:trPr>
        <w:tc>
          <w:tcPr>
            <w:tcW w:w="5000" w:type="pct"/>
            <w:gridSpan w:val="6"/>
            <w:shd w:val="clear" w:color="auto" w:fill="auto"/>
            <w:noWrap/>
            <w:vAlign w:val="center"/>
          </w:tcPr>
          <w:p w14:paraId="30DF472D" w14:textId="04803DE8" w:rsidR="00E74CCA" w:rsidRPr="002F1CBE" w:rsidRDefault="00E74CCA" w:rsidP="00E74CCA">
            <w:pPr>
              <w:pStyle w:val="Tabletext0"/>
              <w:rPr>
                <w:b/>
                <w:i/>
                <w:szCs w:val="22"/>
                <w:lang w:val="en-US"/>
              </w:rPr>
            </w:pPr>
            <w:r w:rsidRPr="002F1CBE">
              <w:rPr>
                <w:b/>
                <w:i/>
                <w:szCs w:val="22"/>
                <w:lang w:val="en-US"/>
              </w:rPr>
              <w:t>Paclitaxel + docetaxel</w:t>
            </w:r>
          </w:p>
        </w:tc>
      </w:tr>
      <w:tr w:rsidR="00E74CCA" w:rsidRPr="002F1CBE" w14:paraId="08ED26A3" w14:textId="00BA50D5" w:rsidTr="00E74CCA">
        <w:trPr>
          <w:trHeight w:val="285"/>
        </w:trPr>
        <w:tc>
          <w:tcPr>
            <w:tcW w:w="1615" w:type="pct"/>
            <w:shd w:val="clear" w:color="auto" w:fill="auto"/>
            <w:noWrap/>
            <w:vAlign w:val="center"/>
          </w:tcPr>
          <w:p w14:paraId="5F7E996A" w14:textId="1523CA60" w:rsidR="00E74CCA" w:rsidRPr="002F1CBE" w:rsidRDefault="00E74CCA" w:rsidP="00E74CCA">
            <w:pPr>
              <w:pStyle w:val="Tabletext0"/>
              <w:rPr>
                <w:lang w:val="en-US"/>
              </w:rPr>
            </w:pPr>
            <w:r>
              <w:rPr>
                <w:lang w:val="en-US"/>
              </w:rPr>
              <w:t>E</w:t>
            </w:r>
            <w:r w:rsidRPr="002F1CBE">
              <w:rPr>
                <w:lang w:val="en-US"/>
              </w:rPr>
              <w:t>xponential rate</w:t>
            </w:r>
          </w:p>
        </w:tc>
        <w:tc>
          <w:tcPr>
            <w:tcW w:w="736" w:type="pct"/>
            <w:shd w:val="clear" w:color="auto" w:fill="auto"/>
            <w:noWrap/>
            <w:vAlign w:val="center"/>
          </w:tcPr>
          <w:p w14:paraId="16D060A3" w14:textId="77777777" w:rsidR="00E74CCA" w:rsidRPr="002F1CBE" w:rsidRDefault="00E74CCA" w:rsidP="00E74CCA">
            <w:pPr>
              <w:pStyle w:val="Tabletext0"/>
              <w:rPr>
                <w:szCs w:val="22"/>
                <w:lang w:val="en-US"/>
              </w:rPr>
            </w:pPr>
            <w:r w:rsidRPr="002F1CBE">
              <w:rPr>
                <w:lang w:val="en-US"/>
              </w:rPr>
              <w:t>3.27</w:t>
            </w:r>
          </w:p>
        </w:tc>
        <w:tc>
          <w:tcPr>
            <w:tcW w:w="736" w:type="pct"/>
            <w:shd w:val="clear" w:color="auto" w:fill="auto"/>
            <w:noWrap/>
            <w:vAlign w:val="center"/>
          </w:tcPr>
          <w:p w14:paraId="5317FA9F" w14:textId="77777777" w:rsidR="00E74CCA" w:rsidRPr="002F1CBE" w:rsidRDefault="00E74CCA" w:rsidP="00E74CCA">
            <w:pPr>
              <w:pStyle w:val="Tabletext0"/>
              <w:rPr>
                <w:szCs w:val="22"/>
                <w:lang w:val="en-US"/>
              </w:rPr>
            </w:pPr>
          </w:p>
        </w:tc>
        <w:tc>
          <w:tcPr>
            <w:tcW w:w="736" w:type="pct"/>
            <w:shd w:val="clear" w:color="auto" w:fill="auto"/>
            <w:noWrap/>
            <w:vAlign w:val="center"/>
          </w:tcPr>
          <w:p w14:paraId="59F68272" w14:textId="77777777" w:rsidR="00E74CCA" w:rsidRPr="002F1CBE" w:rsidRDefault="00E74CCA" w:rsidP="00E74CCA">
            <w:pPr>
              <w:pStyle w:val="Tabletext0"/>
              <w:rPr>
                <w:szCs w:val="22"/>
                <w:lang w:val="en-US"/>
              </w:rPr>
            </w:pPr>
          </w:p>
        </w:tc>
        <w:tc>
          <w:tcPr>
            <w:tcW w:w="589" w:type="pct"/>
            <w:shd w:val="clear" w:color="auto" w:fill="auto"/>
            <w:noWrap/>
            <w:vAlign w:val="center"/>
          </w:tcPr>
          <w:p w14:paraId="60F743B3"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Align w:val="center"/>
          </w:tcPr>
          <w:p w14:paraId="06BBB9CC" w14:textId="2385DDD7" w:rsidR="00E74CCA" w:rsidRPr="002F1CBE" w:rsidRDefault="00E74CCA" w:rsidP="00E74CCA">
            <w:pPr>
              <w:pStyle w:val="Tabletext0"/>
              <w:rPr>
                <w:szCs w:val="22"/>
                <w:lang w:val="en-US"/>
              </w:rPr>
            </w:pPr>
            <w:r>
              <w:rPr>
                <w:szCs w:val="22"/>
                <w:lang w:val="en-US"/>
              </w:rPr>
              <w:t>KN-045</w:t>
            </w:r>
          </w:p>
        </w:tc>
      </w:tr>
      <w:tr w:rsidR="00E74CCA" w:rsidRPr="002F1CBE" w14:paraId="0DAAEDDE" w14:textId="6AD38659" w:rsidTr="00A00B39">
        <w:trPr>
          <w:trHeight w:val="300"/>
        </w:trPr>
        <w:tc>
          <w:tcPr>
            <w:tcW w:w="5000" w:type="pct"/>
            <w:gridSpan w:val="6"/>
            <w:shd w:val="clear" w:color="auto" w:fill="auto"/>
            <w:noWrap/>
            <w:vAlign w:val="center"/>
            <w:hideMark/>
          </w:tcPr>
          <w:p w14:paraId="4FD5F55C" w14:textId="5209C02E" w:rsidR="00E74CCA" w:rsidRPr="002F1CBE" w:rsidRDefault="00E74CCA" w:rsidP="00E74CCA">
            <w:pPr>
              <w:pStyle w:val="Tabletext0"/>
              <w:rPr>
                <w:b/>
                <w:i/>
                <w:szCs w:val="22"/>
                <w:lang w:val="en-US"/>
              </w:rPr>
            </w:pPr>
            <w:r w:rsidRPr="002F1CBE">
              <w:rPr>
                <w:b/>
                <w:i/>
                <w:szCs w:val="22"/>
                <w:lang w:val="en-US"/>
              </w:rPr>
              <w:t>OS parametric curve fitting </w:t>
            </w:r>
          </w:p>
        </w:tc>
      </w:tr>
      <w:tr w:rsidR="00E74CCA" w:rsidRPr="002F1CBE" w14:paraId="102E82DB" w14:textId="5E32B7BE" w:rsidTr="00A00B39">
        <w:trPr>
          <w:trHeight w:val="285"/>
        </w:trPr>
        <w:tc>
          <w:tcPr>
            <w:tcW w:w="5000" w:type="pct"/>
            <w:gridSpan w:val="6"/>
            <w:shd w:val="clear" w:color="auto" w:fill="auto"/>
            <w:noWrap/>
            <w:vAlign w:val="center"/>
            <w:hideMark/>
          </w:tcPr>
          <w:p w14:paraId="5ABFCE63" w14:textId="3DAB4775" w:rsidR="00E74CCA" w:rsidRPr="002F1CBE" w:rsidRDefault="00E74CCA" w:rsidP="00E74CCA">
            <w:pPr>
              <w:pStyle w:val="Tabletext0"/>
              <w:rPr>
                <w:b/>
                <w:i/>
                <w:szCs w:val="22"/>
                <w:lang w:val="en-US"/>
              </w:rPr>
            </w:pPr>
            <w:r w:rsidRPr="002F1CBE">
              <w:rPr>
                <w:b/>
                <w:i/>
                <w:szCs w:val="22"/>
                <w:lang w:val="en-US"/>
              </w:rPr>
              <w:t xml:space="preserve">Pembrolizumab </w:t>
            </w:r>
          </w:p>
        </w:tc>
      </w:tr>
      <w:tr w:rsidR="00E74CCA" w:rsidRPr="002F1CBE" w14:paraId="5FD1BD7B" w14:textId="0B5D880E" w:rsidTr="00E74CCA">
        <w:trPr>
          <w:trHeight w:val="285"/>
        </w:trPr>
        <w:tc>
          <w:tcPr>
            <w:tcW w:w="1615" w:type="pct"/>
            <w:shd w:val="clear" w:color="auto" w:fill="auto"/>
            <w:noWrap/>
            <w:vAlign w:val="center"/>
            <w:hideMark/>
          </w:tcPr>
          <w:p w14:paraId="635EC7B9" w14:textId="19177CB3" w:rsidR="00E74CCA" w:rsidRPr="002F1CBE" w:rsidRDefault="00E74CCA" w:rsidP="00E74CCA">
            <w:pPr>
              <w:pStyle w:val="Tabletext0"/>
              <w:rPr>
                <w:szCs w:val="22"/>
                <w:lang w:val="en-US"/>
              </w:rPr>
            </w:pPr>
            <w:r w:rsidRPr="002F1CBE">
              <w:rPr>
                <w:szCs w:val="22"/>
                <w:lang w:val="en-US"/>
              </w:rPr>
              <w:t>Log logistic intercept</w:t>
            </w:r>
          </w:p>
        </w:tc>
        <w:tc>
          <w:tcPr>
            <w:tcW w:w="736" w:type="pct"/>
            <w:shd w:val="clear" w:color="auto" w:fill="auto"/>
            <w:noWrap/>
            <w:vAlign w:val="center"/>
            <w:hideMark/>
          </w:tcPr>
          <w:p w14:paraId="4620FEF1" w14:textId="77777777" w:rsidR="00E74CCA" w:rsidRPr="002F1CBE" w:rsidRDefault="00E74CCA" w:rsidP="00E74CCA">
            <w:pPr>
              <w:pStyle w:val="Tabletext0"/>
              <w:rPr>
                <w:szCs w:val="22"/>
                <w:lang w:val="en-US"/>
              </w:rPr>
            </w:pPr>
            <w:r w:rsidRPr="002F1CBE">
              <w:rPr>
                <w:szCs w:val="22"/>
                <w:lang w:val="en-US"/>
              </w:rPr>
              <w:t>4.12 </w:t>
            </w:r>
          </w:p>
        </w:tc>
        <w:tc>
          <w:tcPr>
            <w:tcW w:w="736" w:type="pct"/>
            <w:shd w:val="clear" w:color="auto" w:fill="auto"/>
            <w:noWrap/>
            <w:vAlign w:val="center"/>
            <w:hideMark/>
          </w:tcPr>
          <w:p w14:paraId="7AE12B41" w14:textId="77777777" w:rsidR="00E74CCA" w:rsidRPr="002F1CBE" w:rsidRDefault="00E74CCA" w:rsidP="00E74CCA">
            <w:pPr>
              <w:pStyle w:val="Tabletext0"/>
              <w:rPr>
                <w:szCs w:val="22"/>
                <w:lang w:val="en-US"/>
              </w:rPr>
            </w:pPr>
            <w:r w:rsidRPr="002F1CBE">
              <w:rPr>
                <w:szCs w:val="22"/>
                <w:lang w:val="en-US"/>
              </w:rPr>
              <w:t> </w:t>
            </w:r>
          </w:p>
        </w:tc>
        <w:tc>
          <w:tcPr>
            <w:tcW w:w="736" w:type="pct"/>
            <w:shd w:val="clear" w:color="auto" w:fill="auto"/>
            <w:noWrap/>
            <w:vAlign w:val="center"/>
            <w:hideMark/>
          </w:tcPr>
          <w:p w14:paraId="2B45564C" w14:textId="77777777" w:rsidR="00E74CCA" w:rsidRPr="002F1CBE" w:rsidRDefault="00E74CCA" w:rsidP="00E74CCA">
            <w:pPr>
              <w:pStyle w:val="Tabletext0"/>
              <w:rPr>
                <w:szCs w:val="22"/>
                <w:lang w:val="en-US"/>
              </w:rPr>
            </w:pPr>
            <w:r w:rsidRPr="002F1CBE">
              <w:rPr>
                <w:szCs w:val="22"/>
                <w:lang w:val="en-US"/>
              </w:rPr>
              <w:t> </w:t>
            </w:r>
          </w:p>
        </w:tc>
        <w:tc>
          <w:tcPr>
            <w:tcW w:w="589" w:type="pct"/>
            <w:shd w:val="clear" w:color="auto" w:fill="auto"/>
            <w:noWrap/>
            <w:vAlign w:val="center"/>
            <w:hideMark/>
          </w:tcPr>
          <w:p w14:paraId="1E0C7ADA"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Merge w:val="restart"/>
            <w:vAlign w:val="center"/>
          </w:tcPr>
          <w:p w14:paraId="1E393DA1" w14:textId="5470D475" w:rsidR="00E74CCA" w:rsidRPr="002F1CBE" w:rsidRDefault="00E74CCA" w:rsidP="00E74CCA">
            <w:pPr>
              <w:pStyle w:val="Tabletext0"/>
              <w:rPr>
                <w:szCs w:val="22"/>
                <w:lang w:val="en-US"/>
              </w:rPr>
            </w:pPr>
            <w:r>
              <w:rPr>
                <w:szCs w:val="22"/>
                <w:lang w:val="en-US"/>
              </w:rPr>
              <w:t>KN-045</w:t>
            </w:r>
          </w:p>
        </w:tc>
      </w:tr>
      <w:tr w:rsidR="00E74CCA" w:rsidRPr="002F1CBE" w14:paraId="77116374" w14:textId="14FE1A57" w:rsidTr="00E74CCA">
        <w:trPr>
          <w:trHeight w:val="285"/>
        </w:trPr>
        <w:tc>
          <w:tcPr>
            <w:tcW w:w="1615" w:type="pct"/>
            <w:shd w:val="clear" w:color="auto" w:fill="auto"/>
            <w:noWrap/>
            <w:vAlign w:val="center"/>
            <w:hideMark/>
          </w:tcPr>
          <w:p w14:paraId="0C5F120C" w14:textId="35179EDE" w:rsidR="00E74CCA" w:rsidRPr="002F1CBE" w:rsidRDefault="00E74CCA" w:rsidP="00E74CCA">
            <w:pPr>
              <w:pStyle w:val="Tabletext0"/>
              <w:rPr>
                <w:szCs w:val="22"/>
                <w:lang w:val="en-US"/>
              </w:rPr>
            </w:pPr>
            <w:r w:rsidRPr="002F1CBE">
              <w:rPr>
                <w:szCs w:val="22"/>
                <w:lang w:val="en-US"/>
              </w:rPr>
              <w:t>Log logistic log(scale)</w:t>
            </w:r>
          </w:p>
        </w:tc>
        <w:tc>
          <w:tcPr>
            <w:tcW w:w="736" w:type="pct"/>
            <w:shd w:val="clear" w:color="auto" w:fill="auto"/>
            <w:noWrap/>
            <w:vAlign w:val="center"/>
            <w:hideMark/>
          </w:tcPr>
          <w:p w14:paraId="3643FB3A" w14:textId="77777777" w:rsidR="00E74CCA" w:rsidRPr="002F1CBE" w:rsidRDefault="00E74CCA" w:rsidP="00E74CCA">
            <w:pPr>
              <w:pStyle w:val="Tabletext0"/>
              <w:rPr>
                <w:szCs w:val="22"/>
                <w:lang w:val="en-US"/>
              </w:rPr>
            </w:pPr>
            <w:r w:rsidRPr="002F1CBE">
              <w:rPr>
                <w:szCs w:val="22"/>
                <w:lang w:val="en-US"/>
              </w:rPr>
              <w:t>0.05 </w:t>
            </w:r>
          </w:p>
        </w:tc>
        <w:tc>
          <w:tcPr>
            <w:tcW w:w="736" w:type="pct"/>
            <w:shd w:val="clear" w:color="auto" w:fill="auto"/>
            <w:noWrap/>
            <w:vAlign w:val="center"/>
            <w:hideMark/>
          </w:tcPr>
          <w:p w14:paraId="6909A1A1" w14:textId="77777777" w:rsidR="00E74CCA" w:rsidRPr="002F1CBE" w:rsidRDefault="00E74CCA" w:rsidP="00E74CCA">
            <w:pPr>
              <w:pStyle w:val="Tabletext0"/>
              <w:rPr>
                <w:szCs w:val="22"/>
                <w:lang w:val="en-US"/>
              </w:rPr>
            </w:pPr>
            <w:r w:rsidRPr="002F1CBE">
              <w:rPr>
                <w:szCs w:val="22"/>
                <w:lang w:val="en-US"/>
              </w:rPr>
              <w:t> </w:t>
            </w:r>
          </w:p>
        </w:tc>
        <w:tc>
          <w:tcPr>
            <w:tcW w:w="736" w:type="pct"/>
            <w:shd w:val="clear" w:color="auto" w:fill="auto"/>
            <w:noWrap/>
            <w:vAlign w:val="center"/>
            <w:hideMark/>
          </w:tcPr>
          <w:p w14:paraId="318A9B38" w14:textId="77777777" w:rsidR="00E74CCA" w:rsidRPr="002F1CBE" w:rsidRDefault="00E74CCA" w:rsidP="00E74CCA">
            <w:pPr>
              <w:pStyle w:val="Tabletext0"/>
              <w:rPr>
                <w:szCs w:val="22"/>
                <w:lang w:val="en-US"/>
              </w:rPr>
            </w:pPr>
            <w:r w:rsidRPr="002F1CBE">
              <w:rPr>
                <w:szCs w:val="22"/>
                <w:lang w:val="en-US"/>
              </w:rPr>
              <w:t> </w:t>
            </w:r>
          </w:p>
        </w:tc>
        <w:tc>
          <w:tcPr>
            <w:tcW w:w="589" w:type="pct"/>
            <w:shd w:val="clear" w:color="auto" w:fill="auto"/>
            <w:noWrap/>
            <w:vAlign w:val="center"/>
            <w:hideMark/>
          </w:tcPr>
          <w:p w14:paraId="2D71853E"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Merge/>
            <w:vAlign w:val="center"/>
          </w:tcPr>
          <w:p w14:paraId="73452EB4" w14:textId="77777777" w:rsidR="00E74CCA" w:rsidRPr="002F1CBE" w:rsidRDefault="00E74CCA" w:rsidP="00E74CCA">
            <w:pPr>
              <w:pStyle w:val="Tabletext0"/>
              <w:rPr>
                <w:szCs w:val="22"/>
                <w:lang w:val="en-US"/>
              </w:rPr>
            </w:pPr>
          </w:p>
        </w:tc>
      </w:tr>
      <w:tr w:rsidR="00E74CCA" w:rsidRPr="002F1CBE" w14:paraId="32C1D0FC" w14:textId="401DAAF3" w:rsidTr="00E74CCA">
        <w:trPr>
          <w:trHeight w:val="285"/>
        </w:trPr>
        <w:tc>
          <w:tcPr>
            <w:tcW w:w="1615" w:type="pct"/>
            <w:shd w:val="clear" w:color="auto" w:fill="auto"/>
            <w:noWrap/>
            <w:vAlign w:val="center"/>
            <w:hideMark/>
          </w:tcPr>
          <w:p w14:paraId="7121415D" w14:textId="66367B32" w:rsidR="00E74CCA" w:rsidRPr="002F1CBE" w:rsidRDefault="00E74CCA" w:rsidP="00E74CCA">
            <w:pPr>
              <w:pStyle w:val="Tabletext0"/>
              <w:rPr>
                <w:szCs w:val="22"/>
                <w:lang w:val="en-US"/>
              </w:rPr>
            </w:pPr>
            <w:r w:rsidRPr="002F1CBE">
              <w:rPr>
                <w:szCs w:val="22"/>
                <w:lang w:val="en-US"/>
              </w:rPr>
              <w:t>Log logistic shape</w:t>
            </w:r>
          </w:p>
        </w:tc>
        <w:tc>
          <w:tcPr>
            <w:tcW w:w="736" w:type="pct"/>
            <w:shd w:val="clear" w:color="auto" w:fill="auto"/>
            <w:noWrap/>
            <w:vAlign w:val="center"/>
            <w:hideMark/>
          </w:tcPr>
          <w:p w14:paraId="23D5801A" w14:textId="77777777" w:rsidR="00E74CCA" w:rsidRPr="002F1CBE" w:rsidRDefault="00E74CCA" w:rsidP="00E74CCA">
            <w:pPr>
              <w:pStyle w:val="Tabletext0"/>
              <w:rPr>
                <w:szCs w:val="22"/>
                <w:lang w:val="en-US"/>
              </w:rPr>
            </w:pPr>
            <w:r w:rsidRPr="002F1CBE">
              <w:rPr>
                <w:szCs w:val="22"/>
                <w:lang w:val="en-US"/>
              </w:rPr>
              <w:t>0.00 </w:t>
            </w:r>
          </w:p>
        </w:tc>
        <w:tc>
          <w:tcPr>
            <w:tcW w:w="736" w:type="pct"/>
            <w:shd w:val="clear" w:color="auto" w:fill="auto"/>
            <w:noWrap/>
            <w:vAlign w:val="center"/>
            <w:hideMark/>
          </w:tcPr>
          <w:p w14:paraId="50A02DE6" w14:textId="77777777" w:rsidR="00E74CCA" w:rsidRPr="002F1CBE" w:rsidRDefault="00E74CCA" w:rsidP="00E74CCA">
            <w:pPr>
              <w:pStyle w:val="Tabletext0"/>
              <w:rPr>
                <w:szCs w:val="22"/>
                <w:lang w:val="en-US"/>
              </w:rPr>
            </w:pPr>
            <w:r w:rsidRPr="002F1CBE">
              <w:rPr>
                <w:szCs w:val="22"/>
                <w:lang w:val="en-US"/>
              </w:rPr>
              <w:t> </w:t>
            </w:r>
          </w:p>
        </w:tc>
        <w:tc>
          <w:tcPr>
            <w:tcW w:w="736" w:type="pct"/>
            <w:shd w:val="clear" w:color="auto" w:fill="auto"/>
            <w:noWrap/>
            <w:vAlign w:val="center"/>
            <w:hideMark/>
          </w:tcPr>
          <w:p w14:paraId="2C0DC332" w14:textId="77777777" w:rsidR="00E74CCA" w:rsidRPr="002F1CBE" w:rsidRDefault="00E74CCA" w:rsidP="00E74CCA">
            <w:pPr>
              <w:pStyle w:val="Tabletext0"/>
              <w:rPr>
                <w:szCs w:val="22"/>
                <w:lang w:val="en-US"/>
              </w:rPr>
            </w:pPr>
            <w:r w:rsidRPr="002F1CBE">
              <w:rPr>
                <w:szCs w:val="22"/>
                <w:lang w:val="en-US"/>
              </w:rPr>
              <w:t> </w:t>
            </w:r>
          </w:p>
        </w:tc>
        <w:tc>
          <w:tcPr>
            <w:tcW w:w="589" w:type="pct"/>
            <w:shd w:val="clear" w:color="auto" w:fill="auto"/>
            <w:noWrap/>
            <w:vAlign w:val="center"/>
            <w:hideMark/>
          </w:tcPr>
          <w:p w14:paraId="27062B8F"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Merge/>
            <w:vAlign w:val="center"/>
          </w:tcPr>
          <w:p w14:paraId="4D33F3FC" w14:textId="77777777" w:rsidR="00E74CCA" w:rsidRPr="002F1CBE" w:rsidRDefault="00E74CCA" w:rsidP="00E74CCA">
            <w:pPr>
              <w:pStyle w:val="Tabletext0"/>
              <w:rPr>
                <w:szCs w:val="22"/>
                <w:lang w:val="en-US"/>
              </w:rPr>
            </w:pPr>
          </w:p>
        </w:tc>
      </w:tr>
      <w:tr w:rsidR="00E74CCA" w:rsidRPr="002F1CBE" w14:paraId="2021854B" w14:textId="5D23DDDE" w:rsidTr="00A00B39">
        <w:trPr>
          <w:trHeight w:val="285"/>
        </w:trPr>
        <w:tc>
          <w:tcPr>
            <w:tcW w:w="5000" w:type="pct"/>
            <w:gridSpan w:val="6"/>
            <w:shd w:val="clear" w:color="auto" w:fill="auto"/>
            <w:noWrap/>
            <w:vAlign w:val="center"/>
          </w:tcPr>
          <w:p w14:paraId="440366E3" w14:textId="7AA56DC0" w:rsidR="00E74CCA" w:rsidRPr="002F1CBE" w:rsidRDefault="00E74CCA" w:rsidP="00E74CCA">
            <w:pPr>
              <w:pStyle w:val="Tabletext0"/>
              <w:keepNext/>
              <w:rPr>
                <w:b/>
                <w:i/>
                <w:iCs/>
                <w:szCs w:val="22"/>
                <w:lang w:val="en-US"/>
              </w:rPr>
            </w:pPr>
            <w:r w:rsidRPr="002F1CBE">
              <w:rPr>
                <w:b/>
                <w:i/>
                <w:iCs/>
                <w:szCs w:val="22"/>
                <w:lang w:val="en-US"/>
              </w:rPr>
              <w:lastRenderedPageBreak/>
              <w:t>Paclitaxel + docetaxel</w:t>
            </w:r>
          </w:p>
        </w:tc>
      </w:tr>
      <w:tr w:rsidR="00E74CCA" w:rsidRPr="002F1CBE" w14:paraId="7558224B" w14:textId="518EF91E" w:rsidTr="00E74CCA">
        <w:trPr>
          <w:trHeight w:val="285"/>
        </w:trPr>
        <w:tc>
          <w:tcPr>
            <w:tcW w:w="1615" w:type="pct"/>
            <w:shd w:val="clear" w:color="auto" w:fill="auto"/>
            <w:noWrap/>
            <w:vAlign w:val="center"/>
          </w:tcPr>
          <w:p w14:paraId="4103628A" w14:textId="62CFA0E6" w:rsidR="00E74CCA" w:rsidRPr="002F1CBE" w:rsidRDefault="00E74CCA" w:rsidP="00E74CCA">
            <w:pPr>
              <w:pStyle w:val="Tabletext0"/>
              <w:rPr>
                <w:szCs w:val="22"/>
                <w:lang w:val="en-US"/>
              </w:rPr>
            </w:pPr>
            <w:r>
              <w:rPr>
                <w:lang w:val="en-US"/>
              </w:rPr>
              <w:t>E</w:t>
            </w:r>
            <w:r w:rsidRPr="002F1CBE">
              <w:rPr>
                <w:lang w:val="en-US"/>
              </w:rPr>
              <w:t>xponential intercept</w:t>
            </w:r>
          </w:p>
        </w:tc>
        <w:tc>
          <w:tcPr>
            <w:tcW w:w="736" w:type="pct"/>
            <w:shd w:val="clear" w:color="auto" w:fill="auto"/>
            <w:noWrap/>
            <w:vAlign w:val="center"/>
          </w:tcPr>
          <w:p w14:paraId="39E82F3C" w14:textId="77777777" w:rsidR="00E74CCA" w:rsidRPr="002F1CBE" w:rsidRDefault="00E74CCA" w:rsidP="00E74CCA">
            <w:pPr>
              <w:pStyle w:val="Tabletext0"/>
              <w:rPr>
                <w:szCs w:val="22"/>
                <w:lang w:val="en-US"/>
              </w:rPr>
            </w:pPr>
            <w:r w:rsidRPr="002F1CBE">
              <w:rPr>
                <w:lang w:val="en-US"/>
              </w:rPr>
              <w:t>4.01</w:t>
            </w:r>
          </w:p>
        </w:tc>
        <w:tc>
          <w:tcPr>
            <w:tcW w:w="736" w:type="pct"/>
            <w:shd w:val="clear" w:color="auto" w:fill="auto"/>
            <w:noWrap/>
            <w:vAlign w:val="center"/>
          </w:tcPr>
          <w:p w14:paraId="1B68E83E" w14:textId="77777777" w:rsidR="00E74CCA" w:rsidRPr="002F1CBE" w:rsidRDefault="00E74CCA" w:rsidP="00E74CCA">
            <w:pPr>
              <w:pStyle w:val="Tabletext0"/>
              <w:rPr>
                <w:szCs w:val="22"/>
                <w:lang w:val="en-US"/>
              </w:rPr>
            </w:pPr>
          </w:p>
        </w:tc>
        <w:tc>
          <w:tcPr>
            <w:tcW w:w="736" w:type="pct"/>
            <w:shd w:val="clear" w:color="auto" w:fill="auto"/>
            <w:noWrap/>
            <w:vAlign w:val="center"/>
          </w:tcPr>
          <w:p w14:paraId="22A24507" w14:textId="77777777" w:rsidR="00E74CCA" w:rsidRPr="002F1CBE" w:rsidRDefault="00E74CCA" w:rsidP="00E74CCA">
            <w:pPr>
              <w:pStyle w:val="Tabletext0"/>
              <w:rPr>
                <w:szCs w:val="22"/>
                <w:lang w:val="en-US"/>
              </w:rPr>
            </w:pPr>
          </w:p>
        </w:tc>
        <w:tc>
          <w:tcPr>
            <w:tcW w:w="589" w:type="pct"/>
            <w:shd w:val="clear" w:color="auto" w:fill="auto"/>
            <w:noWrap/>
            <w:vAlign w:val="center"/>
          </w:tcPr>
          <w:p w14:paraId="463EE15A"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Align w:val="center"/>
          </w:tcPr>
          <w:p w14:paraId="74F7C7E4" w14:textId="261B19E1" w:rsidR="00E74CCA" w:rsidRPr="002F1CBE" w:rsidRDefault="00E74CCA" w:rsidP="00E74CCA">
            <w:pPr>
              <w:pStyle w:val="Tabletext0"/>
              <w:rPr>
                <w:szCs w:val="22"/>
                <w:lang w:val="en-US"/>
              </w:rPr>
            </w:pPr>
            <w:r>
              <w:rPr>
                <w:szCs w:val="22"/>
                <w:lang w:val="en-US"/>
              </w:rPr>
              <w:t>KN-045</w:t>
            </w:r>
          </w:p>
        </w:tc>
      </w:tr>
      <w:tr w:rsidR="00E74CCA" w:rsidRPr="002F1CBE" w14:paraId="60C2C4ED" w14:textId="60BC676B" w:rsidTr="00A00B39">
        <w:trPr>
          <w:trHeight w:val="300"/>
        </w:trPr>
        <w:tc>
          <w:tcPr>
            <w:tcW w:w="5000" w:type="pct"/>
            <w:gridSpan w:val="6"/>
            <w:shd w:val="clear" w:color="auto" w:fill="auto"/>
            <w:noWrap/>
            <w:vAlign w:val="center"/>
            <w:hideMark/>
          </w:tcPr>
          <w:p w14:paraId="36D85BCC" w14:textId="16CAEE33" w:rsidR="00E74CCA" w:rsidRPr="002F1CBE" w:rsidRDefault="00E74CCA" w:rsidP="00E74CCA">
            <w:pPr>
              <w:pStyle w:val="Tabletext0"/>
              <w:rPr>
                <w:b/>
                <w:i/>
                <w:szCs w:val="22"/>
                <w:lang w:val="en-US"/>
              </w:rPr>
            </w:pPr>
            <w:r w:rsidRPr="002F1CBE">
              <w:rPr>
                <w:b/>
                <w:i/>
                <w:szCs w:val="22"/>
                <w:lang w:val="en-US"/>
              </w:rPr>
              <w:t>ToT parametric curve fitting</w:t>
            </w:r>
          </w:p>
        </w:tc>
      </w:tr>
      <w:tr w:rsidR="00E74CCA" w:rsidRPr="002F1CBE" w14:paraId="2D804433" w14:textId="2546787A" w:rsidTr="00A00B39">
        <w:trPr>
          <w:trHeight w:val="285"/>
        </w:trPr>
        <w:tc>
          <w:tcPr>
            <w:tcW w:w="5000" w:type="pct"/>
            <w:gridSpan w:val="6"/>
            <w:shd w:val="clear" w:color="auto" w:fill="auto"/>
            <w:noWrap/>
            <w:vAlign w:val="center"/>
          </w:tcPr>
          <w:p w14:paraId="1B88B238" w14:textId="35415B79" w:rsidR="00E74CCA" w:rsidRPr="002F1CBE" w:rsidRDefault="00E74CCA" w:rsidP="00E74CCA">
            <w:pPr>
              <w:pStyle w:val="Tabletext0"/>
              <w:rPr>
                <w:b/>
                <w:i/>
                <w:iCs/>
                <w:szCs w:val="22"/>
                <w:lang w:val="en-US"/>
              </w:rPr>
            </w:pPr>
            <w:r w:rsidRPr="002F1CBE">
              <w:rPr>
                <w:b/>
                <w:i/>
                <w:iCs/>
                <w:szCs w:val="22"/>
                <w:lang w:val="en-US"/>
              </w:rPr>
              <w:t>Paclitaxel + docetaxel</w:t>
            </w:r>
          </w:p>
        </w:tc>
      </w:tr>
      <w:tr w:rsidR="00E74CCA" w:rsidRPr="002F1CBE" w14:paraId="554598A4" w14:textId="6629D646" w:rsidTr="00E74CCA">
        <w:trPr>
          <w:trHeight w:val="285"/>
        </w:trPr>
        <w:tc>
          <w:tcPr>
            <w:tcW w:w="1615" w:type="pct"/>
            <w:shd w:val="clear" w:color="auto" w:fill="auto"/>
            <w:noWrap/>
            <w:vAlign w:val="center"/>
          </w:tcPr>
          <w:p w14:paraId="2CC52854" w14:textId="525C71FE" w:rsidR="00E74CCA" w:rsidRPr="002F1CBE" w:rsidRDefault="00E74CCA" w:rsidP="00E74CCA">
            <w:pPr>
              <w:pStyle w:val="Tabletext0"/>
              <w:rPr>
                <w:szCs w:val="22"/>
                <w:lang w:val="en-US"/>
              </w:rPr>
            </w:pPr>
            <w:r>
              <w:rPr>
                <w:lang w:val="en-US"/>
              </w:rPr>
              <w:t>G</w:t>
            </w:r>
            <w:r w:rsidRPr="002F1CBE">
              <w:rPr>
                <w:lang w:val="en-US"/>
              </w:rPr>
              <w:t>eneralized gamma intercept</w:t>
            </w:r>
          </w:p>
        </w:tc>
        <w:tc>
          <w:tcPr>
            <w:tcW w:w="736" w:type="pct"/>
            <w:shd w:val="clear" w:color="auto" w:fill="auto"/>
            <w:noWrap/>
            <w:vAlign w:val="center"/>
          </w:tcPr>
          <w:p w14:paraId="22A8E327" w14:textId="77777777" w:rsidR="00E74CCA" w:rsidRPr="002F1CBE" w:rsidRDefault="00E74CCA" w:rsidP="00E74CCA">
            <w:pPr>
              <w:pStyle w:val="Tabletext0"/>
              <w:rPr>
                <w:szCs w:val="22"/>
                <w:lang w:val="en-US"/>
              </w:rPr>
            </w:pPr>
            <w:r w:rsidRPr="002F1CBE">
              <w:rPr>
                <w:lang w:val="en-US"/>
              </w:rPr>
              <w:t>2.60</w:t>
            </w:r>
          </w:p>
        </w:tc>
        <w:tc>
          <w:tcPr>
            <w:tcW w:w="736" w:type="pct"/>
            <w:shd w:val="clear" w:color="auto" w:fill="auto"/>
            <w:noWrap/>
            <w:vAlign w:val="center"/>
          </w:tcPr>
          <w:p w14:paraId="441F1154" w14:textId="77777777" w:rsidR="00E74CCA" w:rsidRPr="002F1CBE" w:rsidRDefault="00E74CCA" w:rsidP="00E74CCA">
            <w:pPr>
              <w:pStyle w:val="Tabletext0"/>
              <w:rPr>
                <w:szCs w:val="22"/>
                <w:lang w:val="en-US"/>
              </w:rPr>
            </w:pPr>
          </w:p>
        </w:tc>
        <w:tc>
          <w:tcPr>
            <w:tcW w:w="736" w:type="pct"/>
            <w:shd w:val="clear" w:color="auto" w:fill="auto"/>
            <w:noWrap/>
            <w:vAlign w:val="center"/>
          </w:tcPr>
          <w:p w14:paraId="76E8AC43" w14:textId="77777777" w:rsidR="00E74CCA" w:rsidRPr="002F1CBE" w:rsidRDefault="00E74CCA" w:rsidP="00E74CCA">
            <w:pPr>
              <w:pStyle w:val="Tabletext0"/>
              <w:rPr>
                <w:szCs w:val="22"/>
                <w:lang w:val="en-US"/>
              </w:rPr>
            </w:pPr>
          </w:p>
        </w:tc>
        <w:tc>
          <w:tcPr>
            <w:tcW w:w="589" w:type="pct"/>
            <w:shd w:val="clear" w:color="auto" w:fill="auto"/>
            <w:noWrap/>
            <w:vAlign w:val="center"/>
          </w:tcPr>
          <w:p w14:paraId="572583FE"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Merge w:val="restart"/>
            <w:vAlign w:val="center"/>
          </w:tcPr>
          <w:p w14:paraId="6E0E23A7" w14:textId="728ED19E" w:rsidR="00E74CCA" w:rsidRPr="002F1CBE" w:rsidRDefault="00E74CCA" w:rsidP="00E74CCA">
            <w:pPr>
              <w:pStyle w:val="Tabletext0"/>
              <w:rPr>
                <w:szCs w:val="22"/>
                <w:lang w:val="en-US"/>
              </w:rPr>
            </w:pPr>
            <w:r>
              <w:rPr>
                <w:szCs w:val="22"/>
                <w:lang w:val="en-US"/>
              </w:rPr>
              <w:t>KN-045</w:t>
            </w:r>
          </w:p>
        </w:tc>
      </w:tr>
      <w:tr w:rsidR="00E74CCA" w:rsidRPr="002F1CBE" w14:paraId="2008E494" w14:textId="2F7AB0E9" w:rsidTr="00E74CCA">
        <w:trPr>
          <w:trHeight w:val="285"/>
        </w:trPr>
        <w:tc>
          <w:tcPr>
            <w:tcW w:w="1615" w:type="pct"/>
            <w:shd w:val="clear" w:color="auto" w:fill="auto"/>
            <w:noWrap/>
            <w:vAlign w:val="center"/>
          </w:tcPr>
          <w:p w14:paraId="69FD9E99" w14:textId="3F8E0054" w:rsidR="00E74CCA" w:rsidRPr="002F1CBE" w:rsidRDefault="00E74CCA" w:rsidP="00E74CCA">
            <w:pPr>
              <w:pStyle w:val="Tabletext0"/>
              <w:rPr>
                <w:szCs w:val="22"/>
                <w:lang w:val="en-US"/>
              </w:rPr>
            </w:pPr>
            <w:r>
              <w:rPr>
                <w:lang w:val="en-US"/>
              </w:rPr>
              <w:t>G</w:t>
            </w:r>
            <w:r w:rsidRPr="002F1CBE">
              <w:rPr>
                <w:lang w:val="en-US"/>
              </w:rPr>
              <w:t>eneralized gamma log(scale)</w:t>
            </w:r>
          </w:p>
        </w:tc>
        <w:tc>
          <w:tcPr>
            <w:tcW w:w="736" w:type="pct"/>
            <w:shd w:val="clear" w:color="auto" w:fill="auto"/>
            <w:noWrap/>
            <w:vAlign w:val="center"/>
          </w:tcPr>
          <w:p w14:paraId="41BA3750" w14:textId="77777777" w:rsidR="00E74CCA" w:rsidRPr="002F1CBE" w:rsidRDefault="00E74CCA" w:rsidP="00E74CCA">
            <w:pPr>
              <w:pStyle w:val="Tabletext0"/>
              <w:rPr>
                <w:szCs w:val="22"/>
                <w:lang w:val="en-US"/>
              </w:rPr>
            </w:pPr>
            <w:r w:rsidRPr="002F1CBE">
              <w:rPr>
                <w:lang w:val="en-US"/>
              </w:rPr>
              <w:t>0.03</w:t>
            </w:r>
          </w:p>
        </w:tc>
        <w:tc>
          <w:tcPr>
            <w:tcW w:w="736" w:type="pct"/>
            <w:shd w:val="clear" w:color="auto" w:fill="auto"/>
            <w:noWrap/>
            <w:vAlign w:val="center"/>
          </w:tcPr>
          <w:p w14:paraId="1FE8C8D6" w14:textId="77777777" w:rsidR="00E74CCA" w:rsidRPr="002F1CBE" w:rsidRDefault="00E74CCA" w:rsidP="00E74CCA">
            <w:pPr>
              <w:pStyle w:val="Tabletext0"/>
              <w:rPr>
                <w:szCs w:val="22"/>
                <w:lang w:val="en-US"/>
              </w:rPr>
            </w:pPr>
          </w:p>
        </w:tc>
        <w:tc>
          <w:tcPr>
            <w:tcW w:w="736" w:type="pct"/>
            <w:shd w:val="clear" w:color="auto" w:fill="auto"/>
            <w:noWrap/>
            <w:vAlign w:val="center"/>
          </w:tcPr>
          <w:p w14:paraId="406D8C3D" w14:textId="77777777" w:rsidR="00E74CCA" w:rsidRPr="002F1CBE" w:rsidRDefault="00E74CCA" w:rsidP="00E74CCA">
            <w:pPr>
              <w:pStyle w:val="Tabletext0"/>
              <w:rPr>
                <w:szCs w:val="22"/>
                <w:lang w:val="en-US"/>
              </w:rPr>
            </w:pPr>
          </w:p>
        </w:tc>
        <w:tc>
          <w:tcPr>
            <w:tcW w:w="589" w:type="pct"/>
            <w:shd w:val="clear" w:color="auto" w:fill="auto"/>
            <w:noWrap/>
            <w:vAlign w:val="center"/>
          </w:tcPr>
          <w:p w14:paraId="45A9D97A"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Merge/>
            <w:vAlign w:val="center"/>
          </w:tcPr>
          <w:p w14:paraId="10E19C36" w14:textId="77777777" w:rsidR="00E74CCA" w:rsidRPr="002F1CBE" w:rsidRDefault="00E74CCA" w:rsidP="00E74CCA">
            <w:pPr>
              <w:pStyle w:val="Tabletext0"/>
              <w:rPr>
                <w:szCs w:val="22"/>
                <w:lang w:val="en-US"/>
              </w:rPr>
            </w:pPr>
          </w:p>
        </w:tc>
      </w:tr>
      <w:tr w:rsidR="00E74CCA" w:rsidRPr="002F1CBE" w14:paraId="6DB754F1" w14:textId="3A32749F" w:rsidTr="00E74CCA">
        <w:trPr>
          <w:trHeight w:val="285"/>
        </w:trPr>
        <w:tc>
          <w:tcPr>
            <w:tcW w:w="1615" w:type="pct"/>
            <w:shd w:val="clear" w:color="auto" w:fill="auto"/>
            <w:noWrap/>
            <w:vAlign w:val="center"/>
          </w:tcPr>
          <w:p w14:paraId="1035D1A4" w14:textId="45AF754D" w:rsidR="00E74CCA" w:rsidRPr="002F1CBE" w:rsidRDefault="00E74CCA" w:rsidP="00E74CCA">
            <w:pPr>
              <w:pStyle w:val="Tabletext0"/>
              <w:rPr>
                <w:szCs w:val="22"/>
                <w:lang w:val="en-US"/>
              </w:rPr>
            </w:pPr>
            <w:r>
              <w:rPr>
                <w:lang w:val="en-US"/>
              </w:rPr>
              <w:t>G</w:t>
            </w:r>
            <w:r w:rsidRPr="002F1CBE">
              <w:rPr>
                <w:lang w:val="en-US"/>
              </w:rPr>
              <w:t>eneralized gamma shape</w:t>
            </w:r>
          </w:p>
        </w:tc>
        <w:tc>
          <w:tcPr>
            <w:tcW w:w="736" w:type="pct"/>
            <w:shd w:val="clear" w:color="auto" w:fill="auto"/>
            <w:noWrap/>
            <w:vAlign w:val="center"/>
          </w:tcPr>
          <w:p w14:paraId="7BB84C2D" w14:textId="77777777" w:rsidR="00E74CCA" w:rsidRPr="002F1CBE" w:rsidRDefault="00E74CCA" w:rsidP="00E74CCA">
            <w:pPr>
              <w:pStyle w:val="Tabletext0"/>
              <w:rPr>
                <w:szCs w:val="22"/>
                <w:lang w:val="en-US"/>
              </w:rPr>
            </w:pPr>
            <w:r w:rsidRPr="002F1CBE">
              <w:rPr>
                <w:lang w:val="en-US"/>
              </w:rPr>
              <w:t>1.52</w:t>
            </w:r>
          </w:p>
        </w:tc>
        <w:tc>
          <w:tcPr>
            <w:tcW w:w="736" w:type="pct"/>
            <w:shd w:val="clear" w:color="auto" w:fill="auto"/>
            <w:noWrap/>
            <w:vAlign w:val="center"/>
          </w:tcPr>
          <w:p w14:paraId="684F651D" w14:textId="77777777" w:rsidR="00E74CCA" w:rsidRPr="002F1CBE" w:rsidRDefault="00E74CCA" w:rsidP="00E74CCA">
            <w:pPr>
              <w:pStyle w:val="Tabletext0"/>
              <w:rPr>
                <w:szCs w:val="22"/>
                <w:lang w:val="en-US"/>
              </w:rPr>
            </w:pPr>
          </w:p>
        </w:tc>
        <w:tc>
          <w:tcPr>
            <w:tcW w:w="736" w:type="pct"/>
            <w:shd w:val="clear" w:color="auto" w:fill="auto"/>
            <w:noWrap/>
            <w:vAlign w:val="center"/>
          </w:tcPr>
          <w:p w14:paraId="48E6F2A9" w14:textId="77777777" w:rsidR="00E74CCA" w:rsidRPr="002F1CBE" w:rsidRDefault="00E74CCA" w:rsidP="00E74CCA">
            <w:pPr>
              <w:pStyle w:val="Tabletext0"/>
              <w:rPr>
                <w:szCs w:val="22"/>
                <w:lang w:val="en-US"/>
              </w:rPr>
            </w:pPr>
          </w:p>
        </w:tc>
        <w:tc>
          <w:tcPr>
            <w:tcW w:w="589" w:type="pct"/>
            <w:shd w:val="clear" w:color="auto" w:fill="auto"/>
            <w:noWrap/>
            <w:vAlign w:val="center"/>
          </w:tcPr>
          <w:p w14:paraId="5EF8112A" w14:textId="77777777" w:rsidR="00E74CCA" w:rsidRPr="002F1CBE" w:rsidRDefault="00E74CCA" w:rsidP="00E74CCA">
            <w:pPr>
              <w:pStyle w:val="Tabletext0"/>
              <w:rPr>
                <w:szCs w:val="22"/>
                <w:lang w:val="en-US"/>
              </w:rPr>
            </w:pPr>
            <w:r w:rsidRPr="002F1CBE">
              <w:rPr>
                <w:szCs w:val="22"/>
                <w:lang w:val="en-US"/>
              </w:rPr>
              <w:t>Multivariate normal</w:t>
            </w:r>
          </w:p>
        </w:tc>
        <w:tc>
          <w:tcPr>
            <w:tcW w:w="588" w:type="pct"/>
            <w:vMerge/>
            <w:vAlign w:val="center"/>
          </w:tcPr>
          <w:p w14:paraId="3CB0C9A9" w14:textId="77777777" w:rsidR="00E74CCA" w:rsidRPr="002F1CBE" w:rsidRDefault="00E74CCA" w:rsidP="00E74CCA">
            <w:pPr>
              <w:pStyle w:val="Tabletext0"/>
              <w:rPr>
                <w:szCs w:val="22"/>
                <w:lang w:val="en-US"/>
              </w:rPr>
            </w:pPr>
          </w:p>
        </w:tc>
      </w:tr>
      <w:tr w:rsidR="00E74CCA" w:rsidRPr="002F1CBE" w14:paraId="4987C19A" w14:textId="77777777" w:rsidTr="00D259BD">
        <w:trPr>
          <w:trHeight w:val="285"/>
        </w:trPr>
        <w:tc>
          <w:tcPr>
            <w:tcW w:w="5000" w:type="pct"/>
            <w:gridSpan w:val="6"/>
            <w:shd w:val="clear" w:color="auto" w:fill="auto"/>
            <w:noWrap/>
            <w:vAlign w:val="center"/>
          </w:tcPr>
          <w:p w14:paraId="770D050D" w14:textId="3E4F46A7" w:rsidR="00E74CCA" w:rsidRPr="002F1CBE" w:rsidRDefault="00E74CCA" w:rsidP="00E74CCA">
            <w:pPr>
              <w:pStyle w:val="Tabletext0"/>
              <w:rPr>
                <w:szCs w:val="22"/>
                <w:lang w:val="en-US"/>
              </w:rPr>
            </w:pPr>
            <w:r>
              <w:rPr>
                <w:b/>
                <w:szCs w:val="22"/>
                <w:lang w:val="en-US"/>
              </w:rPr>
              <w:t>Atezolizumab survival outcomes</w:t>
            </w:r>
          </w:p>
        </w:tc>
      </w:tr>
      <w:tr w:rsidR="00E74CCA" w:rsidRPr="002F1CBE" w14:paraId="12870FCB" w14:textId="77777777" w:rsidTr="00E74CCA">
        <w:trPr>
          <w:trHeight w:val="285"/>
        </w:trPr>
        <w:tc>
          <w:tcPr>
            <w:tcW w:w="1615" w:type="pct"/>
            <w:shd w:val="clear" w:color="auto" w:fill="auto"/>
            <w:noWrap/>
            <w:vAlign w:val="center"/>
          </w:tcPr>
          <w:p w14:paraId="296520F9" w14:textId="2815EDBB" w:rsidR="00E74CCA" w:rsidRDefault="00E74CCA" w:rsidP="00E74CCA">
            <w:pPr>
              <w:pStyle w:val="Tabletext0"/>
              <w:rPr>
                <w:lang w:val="en-US"/>
              </w:rPr>
            </w:pPr>
            <w:r>
              <w:rPr>
                <w:lang w:val="en-US"/>
              </w:rPr>
              <w:t>MAIC constant HR</w:t>
            </w:r>
          </w:p>
        </w:tc>
        <w:tc>
          <w:tcPr>
            <w:tcW w:w="736" w:type="pct"/>
            <w:shd w:val="clear" w:color="auto" w:fill="auto"/>
            <w:noWrap/>
            <w:vAlign w:val="center"/>
          </w:tcPr>
          <w:p w14:paraId="27AEA6A2" w14:textId="326444F2" w:rsidR="00E74CCA" w:rsidRPr="002F1CBE" w:rsidRDefault="00E74CCA" w:rsidP="00E74CCA">
            <w:pPr>
              <w:pStyle w:val="Tabletext0"/>
              <w:rPr>
                <w:lang w:val="en-US"/>
              </w:rPr>
            </w:pPr>
            <w:r>
              <w:rPr>
                <w:lang w:val="en-US"/>
              </w:rPr>
              <w:t>0.72</w:t>
            </w:r>
          </w:p>
        </w:tc>
        <w:tc>
          <w:tcPr>
            <w:tcW w:w="736" w:type="pct"/>
            <w:shd w:val="clear" w:color="auto" w:fill="auto"/>
            <w:noWrap/>
            <w:vAlign w:val="center"/>
          </w:tcPr>
          <w:p w14:paraId="723B54D6" w14:textId="541D20BD" w:rsidR="00E74CCA" w:rsidRPr="002F1CBE" w:rsidRDefault="00E74CCA" w:rsidP="00E74CCA">
            <w:pPr>
              <w:pStyle w:val="Tabletext0"/>
              <w:rPr>
                <w:szCs w:val="22"/>
                <w:lang w:val="en-US"/>
              </w:rPr>
            </w:pPr>
            <w:r>
              <w:rPr>
                <w:szCs w:val="22"/>
                <w:lang w:val="en-US"/>
              </w:rPr>
              <w:t>0.53</w:t>
            </w:r>
          </w:p>
        </w:tc>
        <w:tc>
          <w:tcPr>
            <w:tcW w:w="736" w:type="pct"/>
            <w:shd w:val="clear" w:color="auto" w:fill="auto"/>
            <w:noWrap/>
            <w:vAlign w:val="center"/>
          </w:tcPr>
          <w:p w14:paraId="69329A96" w14:textId="471ED393" w:rsidR="00E74CCA" w:rsidRPr="002F1CBE" w:rsidRDefault="00E74CCA" w:rsidP="00E74CCA">
            <w:pPr>
              <w:pStyle w:val="Tabletext0"/>
              <w:rPr>
                <w:szCs w:val="22"/>
                <w:lang w:val="en-US"/>
              </w:rPr>
            </w:pPr>
            <w:r>
              <w:rPr>
                <w:szCs w:val="22"/>
                <w:lang w:val="en-US"/>
              </w:rPr>
              <w:t>0.97</w:t>
            </w:r>
          </w:p>
        </w:tc>
        <w:tc>
          <w:tcPr>
            <w:tcW w:w="589" w:type="pct"/>
            <w:shd w:val="clear" w:color="auto" w:fill="auto"/>
            <w:noWrap/>
            <w:vAlign w:val="center"/>
          </w:tcPr>
          <w:p w14:paraId="55616EA4" w14:textId="5836D21E" w:rsidR="00E74CCA" w:rsidRPr="002F1CBE" w:rsidRDefault="00E74CCA" w:rsidP="00E74CCA">
            <w:pPr>
              <w:pStyle w:val="Tabletext0"/>
              <w:rPr>
                <w:szCs w:val="22"/>
                <w:lang w:val="en-US"/>
              </w:rPr>
            </w:pPr>
            <w:r>
              <w:rPr>
                <w:szCs w:val="22"/>
                <w:lang w:val="en-US"/>
              </w:rPr>
              <w:t>Lognormal</w:t>
            </w:r>
          </w:p>
        </w:tc>
        <w:tc>
          <w:tcPr>
            <w:tcW w:w="588" w:type="pct"/>
            <w:vMerge w:val="restart"/>
            <w:vAlign w:val="center"/>
          </w:tcPr>
          <w:p w14:paraId="15DE76FA" w14:textId="1A96F958" w:rsidR="00E74CCA" w:rsidRPr="002F1CBE" w:rsidRDefault="00E74CCA" w:rsidP="00E74CCA">
            <w:pPr>
              <w:pStyle w:val="Tabletext0"/>
              <w:rPr>
                <w:szCs w:val="22"/>
                <w:lang w:val="en-US"/>
              </w:rPr>
            </w:pPr>
            <w:r>
              <w:rPr>
                <w:szCs w:val="22"/>
                <w:lang w:val="en-US"/>
              </w:rPr>
              <w:t xml:space="preserve">Gelb et al </w:t>
            </w:r>
            <w:r>
              <w:rPr>
                <w:szCs w:val="22"/>
                <w:lang w:val="en-US"/>
              </w:rPr>
              <w:fldChar w:fldCharType="begin"/>
            </w:r>
            <w:r>
              <w:rPr>
                <w:szCs w:val="22"/>
                <w:lang w:val="en-US"/>
              </w:rPr>
              <w:instrText xml:space="preserve"> ADDIN EN.CITE &lt;EndNote&gt;&lt;Cite&gt;&lt;Author&gt;Gelb&lt;/Author&gt;&lt;Year&gt;2019&lt;/Year&gt;&lt;RecNum&gt;92&lt;/RecNum&gt;&lt;DisplayText&gt;[8]&lt;/DisplayText&gt;&lt;record&gt;&lt;rec-number&gt;92&lt;/rec-number&gt;&lt;foreign-keys&gt;&lt;key app="EN" db-id="sv0re5vpexw0fmexwr6x0t91xt9zt5dxfxvz" timestamp="1579516114"&gt;92&lt;/key&gt;&lt;/foreign-keys&gt;&lt;ref-type name="Conference Proceedings"&gt;40&lt;/ref-type&gt;&lt;contributors&gt;&lt;authors&gt;&lt;author&gt;Gelb, D.&lt;/author&gt;&lt;author&gt;Zhong, Y.&lt;/author&gt;&lt;author&gt;Perini, RF.&lt;/author&gt;&lt;author&gt;Godwin, JL.&lt;/author&gt;&lt;author&gt;Lai, Y.&lt;/author&gt;&lt;author&gt;Arndorfer, S.&lt;/author&gt;&lt;author&gt;Lorenzi, M.&lt;/author&gt;&lt;author&gt;Li, H.&lt;/author&gt;&lt;/authors&gt;&lt;/contributors&gt;&lt;titles&gt;&lt;title&gt;[P786] Network meta-analysis (NMA) and matching-adjusted indirect comparison (MAIC) of pembrolizumab (pembro) versus atezolizumab (atezo) for second-line (2L) locally advanced/metastatic urothelial carcinoma (mUC)&lt;/title&gt;&lt;secondary-title&gt;Society of Immunotherapy of Cancer&lt;/secondary-title&gt;&lt;/titles&gt;&lt;number&gt;P786&lt;/number&gt;&lt;dates&gt;&lt;year&gt;2019&lt;/year&gt;&lt;pub-dates&gt;&lt;date&gt;November 9&lt;/date&gt;&lt;/pub-dates&gt;&lt;/dates&gt;&lt;pub-location&gt;National Harbour, Maryland&lt;/pub-location&gt;&lt;publisher&gt;US&lt;/publisher&gt;&lt;urls&gt;&lt;/urls&gt;&lt;/record&gt;&lt;/Cite&gt;&lt;/EndNote&gt;</w:instrText>
            </w:r>
            <w:r>
              <w:rPr>
                <w:szCs w:val="22"/>
                <w:lang w:val="en-US"/>
              </w:rPr>
              <w:fldChar w:fldCharType="separate"/>
            </w:r>
            <w:r>
              <w:rPr>
                <w:noProof/>
                <w:szCs w:val="22"/>
                <w:lang w:val="en-US"/>
              </w:rPr>
              <w:t>[8]</w:t>
            </w:r>
            <w:r>
              <w:rPr>
                <w:szCs w:val="22"/>
                <w:lang w:val="en-US"/>
              </w:rPr>
              <w:fldChar w:fldCharType="end"/>
            </w:r>
          </w:p>
        </w:tc>
      </w:tr>
      <w:tr w:rsidR="00E74CCA" w:rsidRPr="002F1CBE" w14:paraId="73E4276B" w14:textId="77777777" w:rsidTr="00E74CCA">
        <w:trPr>
          <w:trHeight w:val="285"/>
        </w:trPr>
        <w:tc>
          <w:tcPr>
            <w:tcW w:w="1615" w:type="pct"/>
            <w:shd w:val="clear" w:color="auto" w:fill="auto"/>
            <w:noWrap/>
            <w:vAlign w:val="center"/>
          </w:tcPr>
          <w:p w14:paraId="2EB89BB1" w14:textId="7DFA2102" w:rsidR="00E74CCA" w:rsidRDefault="00E74CCA" w:rsidP="00E74CCA">
            <w:pPr>
              <w:pStyle w:val="Tabletext0"/>
              <w:rPr>
                <w:lang w:val="en-US"/>
              </w:rPr>
            </w:pPr>
            <w:r>
              <w:rPr>
                <w:lang w:val="en-US"/>
              </w:rPr>
              <w:t>NMA constant HR</w:t>
            </w:r>
          </w:p>
        </w:tc>
        <w:tc>
          <w:tcPr>
            <w:tcW w:w="736" w:type="pct"/>
            <w:shd w:val="clear" w:color="auto" w:fill="auto"/>
            <w:noWrap/>
            <w:vAlign w:val="center"/>
          </w:tcPr>
          <w:p w14:paraId="7B39B3C8" w14:textId="53CCB2E5" w:rsidR="00E74CCA" w:rsidRPr="002F1CBE" w:rsidRDefault="00E74CCA" w:rsidP="00E74CCA">
            <w:pPr>
              <w:pStyle w:val="Tabletext0"/>
              <w:rPr>
                <w:lang w:val="en-US"/>
              </w:rPr>
            </w:pPr>
            <w:r>
              <w:rPr>
                <w:lang w:val="en-US"/>
              </w:rPr>
              <w:t>0.83</w:t>
            </w:r>
          </w:p>
        </w:tc>
        <w:tc>
          <w:tcPr>
            <w:tcW w:w="736" w:type="pct"/>
            <w:shd w:val="clear" w:color="auto" w:fill="auto"/>
            <w:noWrap/>
            <w:vAlign w:val="center"/>
          </w:tcPr>
          <w:p w14:paraId="6FB301BB" w14:textId="0507D2BB" w:rsidR="00E74CCA" w:rsidRPr="002F1CBE" w:rsidRDefault="00E74CCA" w:rsidP="00E74CCA">
            <w:pPr>
              <w:pStyle w:val="Tabletext0"/>
              <w:rPr>
                <w:szCs w:val="22"/>
                <w:lang w:val="en-US"/>
              </w:rPr>
            </w:pPr>
            <w:r>
              <w:rPr>
                <w:szCs w:val="22"/>
                <w:lang w:val="en-US"/>
              </w:rPr>
              <w:t>0.63</w:t>
            </w:r>
          </w:p>
        </w:tc>
        <w:tc>
          <w:tcPr>
            <w:tcW w:w="736" w:type="pct"/>
            <w:shd w:val="clear" w:color="auto" w:fill="auto"/>
            <w:noWrap/>
            <w:vAlign w:val="center"/>
          </w:tcPr>
          <w:p w14:paraId="4156495C" w14:textId="25C4A76B" w:rsidR="00E74CCA" w:rsidRPr="002F1CBE" w:rsidRDefault="00E74CCA" w:rsidP="00E74CCA">
            <w:pPr>
              <w:pStyle w:val="Tabletext0"/>
              <w:rPr>
                <w:szCs w:val="22"/>
                <w:lang w:val="en-US"/>
              </w:rPr>
            </w:pPr>
            <w:r>
              <w:rPr>
                <w:szCs w:val="22"/>
                <w:lang w:val="en-US"/>
              </w:rPr>
              <w:t>1.07</w:t>
            </w:r>
          </w:p>
        </w:tc>
        <w:tc>
          <w:tcPr>
            <w:tcW w:w="589" w:type="pct"/>
            <w:shd w:val="clear" w:color="auto" w:fill="auto"/>
            <w:noWrap/>
            <w:vAlign w:val="center"/>
          </w:tcPr>
          <w:p w14:paraId="264933F4" w14:textId="7201A450" w:rsidR="00E74CCA" w:rsidRPr="002F1CBE" w:rsidRDefault="00E74CCA" w:rsidP="00E74CCA">
            <w:pPr>
              <w:pStyle w:val="Tabletext0"/>
              <w:rPr>
                <w:szCs w:val="22"/>
                <w:lang w:val="en-US"/>
              </w:rPr>
            </w:pPr>
            <w:r>
              <w:rPr>
                <w:szCs w:val="22"/>
                <w:lang w:val="en-US"/>
              </w:rPr>
              <w:t>Lognormal</w:t>
            </w:r>
          </w:p>
        </w:tc>
        <w:tc>
          <w:tcPr>
            <w:tcW w:w="588" w:type="pct"/>
            <w:vMerge/>
            <w:vAlign w:val="center"/>
          </w:tcPr>
          <w:p w14:paraId="615ACFD6" w14:textId="77777777" w:rsidR="00E74CCA" w:rsidRPr="002F1CBE" w:rsidRDefault="00E74CCA" w:rsidP="00E74CCA">
            <w:pPr>
              <w:pStyle w:val="Tabletext0"/>
              <w:rPr>
                <w:szCs w:val="22"/>
                <w:lang w:val="en-US"/>
              </w:rPr>
            </w:pPr>
          </w:p>
        </w:tc>
      </w:tr>
      <w:tr w:rsidR="00E74CCA" w:rsidRPr="002F1CBE" w14:paraId="6E7B2F58" w14:textId="65352053" w:rsidTr="00A00B39">
        <w:trPr>
          <w:trHeight w:val="285"/>
        </w:trPr>
        <w:tc>
          <w:tcPr>
            <w:tcW w:w="5000" w:type="pct"/>
            <w:gridSpan w:val="6"/>
            <w:shd w:val="clear" w:color="auto" w:fill="auto"/>
            <w:noWrap/>
            <w:vAlign w:val="center"/>
          </w:tcPr>
          <w:p w14:paraId="4225F861" w14:textId="39D42B0E" w:rsidR="00E74CCA" w:rsidRPr="002F1CBE" w:rsidRDefault="00E74CCA" w:rsidP="00E74CCA">
            <w:pPr>
              <w:pStyle w:val="Legend"/>
              <w:jc w:val="left"/>
              <w:rPr>
                <w:b/>
                <w:lang w:val="en-US"/>
              </w:rPr>
            </w:pPr>
            <w:r w:rsidRPr="002F1CBE">
              <w:rPr>
                <w:b/>
                <w:lang w:val="en-US"/>
              </w:rPr>
              <w:t>Key:</w:t>
            </w:r>
            <w:r w:rsidRPr="002F1CBE">
              <w:rPr>
                <w:lang w:val="en-US"/>
              </w:rPr>
              <w:t xml:space="preserve"> 2L, second-line; AE, adverse event; BSA, body surface area; </w:t>
            </w:r>
            <w:r>
              <w:rPr>
                <w:lang w:val="en-US"/>
              </w:rPr>
              <w:t xml:space="preserve">HR, hazard ratio; </w:t>
            </w:r>
            <w:r w:rsidRPr="002F1CBE">
              <w:rPr>
                <w:lang w:val="en-US"/>
              </w:rPr>
              <w:t xml:space="preserve">IV, intravenous; </w:t>
            </w:r>
            <w:r>
              <w:rPr>
                <w:lang w:val="en-US"/>
              </w:rPr>
              <w:t xml:space="preserve">MAIC, match-adjusted indirect comparison; NMA, network meta-analysis; </w:t>
            </w:r>
            <w:r w:rsidRPr="002F1CBE">
              <w:rPr>
                <w:lang w:val="en-US"/>
              </w:rPr>
              <w:t>OS, overall survival; PF, progression-free; PFS, progression-free survival; PP, post-progression; SA, sensitivity analysis; ToT, time on treatment.</w:t>
            </w:r>
          </w:p>
        </w:tc>
      </w:tr>
    </w:tbl>
    <w:p w14:paraId="79BC734B" w14:textId="77777777" w:rsidR="00B41BBB" w:rsidRDefault="00B41BBB" w:rsidP="004E0815">
      <w:pPr>
        <w:rPr>
          <w:lang w:val="en-US"/>
        </w:rPr>
        <w:sectPr w:rsidR="00B41BBB" w:rsidSect="00EC669A">
          <w:headerReference w:type="even" r:id="rId12"/>
          <w:headerReference w:type="default" r:id="rId13"/>
          <w:footerReference w:type="even" r:id="rId14"/>
          <w:footerReference w:type="default" r:id="rId15"/>
          <w:headerReference w:type="first" r:id="rId16"/>
          <w:footerReference w:type="first" r:id="rId17"/>
          <w:pgSz w:w="11906" w:h="16838"/>
          <w:pgMar w:top="2835" w:right="1134" w:bottom="1134" w:left="1134" w:header="1247" w:footer="567" w:gutter="0"/>
          <w:cols w:space="708"/>
          <w:docGrid w:linePitch="360"/>
        </w:sectPr>
      </w:pPr>
    </w:p>
    <w:p w14:paraId="67503CF8" w14:textId="77777777" w:rsidR="00844B12" w:rsidRDefault="00844B12" w:rsidP="008F5213">
      <w:pPr>
        <w:pStyle w:val="Heading3"/>
        <w:rPr>
          <w:lang w:val="en-US"/>
        </w:rPr>
      </w:pPr>
      <w:r>
        <w:rPr>
          <w:lang w:val="en-US"/>
        </w:rPr>
        <w:lastRenderedPageBreak/>
        <w:t>Curve selection</w:t>
      </w:r>
    </w:p>
    <w:p w14:paraId="7E3685FD" w14:textId="77777777" w:rsidR="00844B12" w:rsidRDefault="00844B12" w:rsidP="00844B12">
      <w:pPr>
        <w:rPr>
          <w:lang w:val="en-US"/>
        </w:rPr>
      </w:pPr>
      <w:r>
        <w:rPr>
          <w:b/>
          <w:u w:val="single"/>
          <w:lang w:val="en-US"/>
        </w:rPr>
        <w:t>Time on treatment</w:t>
      </w:r>
    </w:p>
    <w:p w14:paraId="38E85AB9" w14:textId="76A6FF37" w:rsidR="00844B12" w:rsidRDefault="00844B12" w:rsidP="00844B12">
      <w:pPr>
        <w:rPr>
          <w:lang w:val="en-US"/>
        </w:rPr>
      </w:pPr>
      <w:r>
        <w:rPr>
          <w:lang w:val="en-US"/>
        </w:rPr>
        <w:t xml:space="preserve">The parametric fittings for ToT in pembrolizumab did not capture well the time on treatment pattern with a protocol-specified 2 year stopping rule. Therefore, the model used the KM ToT directly for pembrolizumab (see </w:t>
      </w:r>
      <w:r>
        <w:rPr>
          <w:lang w:val="en-US"/>
        </w:rPr>
        <w:fldChar w:fldCharType="begin"/>
      </w:r>
      <w:r>
        <w:rPr>
          <w:lang w:val="en-US"/>
        </w:rPr>
        <w:instrText xml:space="preserve"> REF _Ref11659833 \h </w:instrText>
      </w:r>
      <w:r>
        <w:rPr>
          <w:lang w:val="en-US"/>
        </w:rPr>
      </w:r>
      <w:r>
        <w:rPr>
          <w:lang w:val="en-US"/>
        </w:rPr>
        <w:fldChar w:fldCharType="separate"/>
      </w:r>
      <w:r w:rsidR="00D80D85">
        <w:t xml:space="preserve">Supplementary Figure </w:t>
      </w:r>
      <w:r w:rsidR="00D80D85">
        <w:rPr>
          <w:noProof/>
        </w:rPr>
        <w:t>1</w:t>
      </w:r>
      <w:r>
        <w:rPr>
          <w:lang w:val="en-US"/>
        </w:rPr>
        <w:fldChar w:fldCharType="end"/>
      </w:r>
      <w:r>
        <w:rPr>
          <w:lang w:val="en-US"/>
        </w:rPr>
        <w:t xml:space="preserve">). </w:t>
      </w:r>
    </w:p>
    <w:p w14:paraId="6FF1B4CF" w14:textId="01F8A902" w:rsidR="00844B12" w:rsidRDefault="00844B12" w:rsidP="00844B12">
      <w:pPr>
        <w:pStyle w:val="Caption"/>
      </w:pPr>
      <w:bookmarkStart w:id="2" w:name="_Ref11659833"/>
      <w:r>
        <w:t xml:space="preserve">Supplementary Figure </w:t>
      </w:r>
      <w:fldSimple w:instr=" SEQ Figure \* ARABIC ">
        <w:r w:rsidR="00D80D85">
          <w:rPr>
            <w:noProof/>
          </w:rPr>
          <w:t>1</w:t>
        </w:r>
      </w:fldSimple>
      <w:bookmarkEnd w:id="2"/>
      <w:r>
        <w:t>: ToT KM data with standard parametric curve fittings - pembrolizumab</w:t>
      </w:r>
    </w:p>
    <w:p w14:paraId="399CB50D" w14:textId="77777777" w:rsidR="00AF45F0" w:rsidRDefault="00AF45F0" w:rsidP="00844B12">
      <w:pPr>
        <w:rPr>
          <w:lang w:val="en-US"/>
        </w:rPr>
      </w:pPr>
      <w:r>
        <w:rPr>
          <w:noProof/>
          <w:lang w:val="en-US"/>
        </w:rPr>
        <w:drawing>
          <wp:inline distT="0" distB="0" distL="0" distR="0" wp14:anchorId="6B9BB550" wp14:editId="3515354E">
            <wp:extent cx="4982400" cy="27657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2400" cy="2765764"/>
                    </a:xfrm>
                    <a:prstGeom prst="rect">
                      <a:avLst/>
                    </a:prstGeom>
                    <a:noFill/>
                  </pic:spPr>
                </pic:pic>
              </a:graphicData>
            </a:graphic>
          </wp:inline>
        </w:drawing>
      </w:r>
    </w:p>
    <w:p w14:paraId="1F04ED16" w14:textId="36277CE0" w:rsidR="00171FF3" w:rsidRDefault="00171FF3" w:rsidP="00171FF3">
      <w:pPr>
        <w:pStyle w:val="Legend"/>
        <w:rPr>
          <w:lang w:val="en-US"/>
        </w:rPr>
      </w:pPr>
      <w:r w:rsidRPr="00171FF3">
        <w:rPr>
          <w:b/>
          <w:lang w:val="en-US"/>
        </w:rPr>
        <w:t>Key:</w:t>
      </w:r>
      <w:r>
        <w:rPr>
          <w:lang w:val="en-US"/>
        </w:rPr>
        <w:t xml:space="preserve"> KM, Kaplan-Meier; ToT, time on treatment</w:t>
      </w:r>
    </w:p>
    <w:p w14:paraId="69BC1D48" w14:textId="35D08053" w:rsidR="00171FF3" w:rsidRDefault="00171FF3" w:rsidP="00171FF3">
      <w:pPr>
        <w:pStyle w:val="Legend"/>
        <w:rPr>
          <w:lang w:val="en-US"/>
        </w:rPr>
      </w:pPr>
      <w:r w:rsidRPr="00171FF3">
        <w:rPr>
          <w:b/>
          <w:lang w:val="en-US"/>
        </w:rPr>
        <w:t>Note:</w:t>
      </w:r>
      <w:r>
        <w:rPr>
          <w:lang w:val="en-US"/>
        </w:rPr>
        <w:t xml:space="preserve"> Stopping rule applied to the parametric curves (2-years). Generalised gamma did not converge. </w:t>
      </w:r>
    </w:p>
    <w:p w14:paraId="1AD7B1A4" w14:textId="1AFD5120" w:rsidR="00171FF3" w:rsidRDefault="00171FF3" w:rsidP="00171FF3">
      <w:pPr>
        <w:rPr>
          <w:lang w:val="en-US"/>
        </w:rPr>
      </w:pPr>
      <w:r>
        <w:rPr>
          <w:lang w:val="en-US"/>
        </w:rPr>
        <w:t>For the chemotherapy arm, the AIC and BIC combined with visual inspection were used to select the generalized gamma distribution (</w:t>
      </w:r>
      <w:r>
        <w:rPr>
          <w:lang w:val="en-US"/>
        </w:rPr>
        <w:fldChar w:fldCharType="begin"/>
      </w:r>
      <w:r>
        <w:rPr>
          <w:lang w:val="en-US"/>
        </w:rPr>
        <w:instrText xml:space="preserve"> REF _Ref11661115 \h </w:instrText>
      </w:r>
      <w:r>
        <w:rPr>
          <w:lang w:val="en-US"/>
        </w:rPr>
      </w:r>
      <w:r>
        <w:rPr>
          <w:lang w:val="en-US"/>
        </w:rPr>
        <w:fldChar w:fldCharType="separate"/>
      </w:r>
      <w:r w:rsidR="00D80D85">
        <w:t xml:space="preserve">Supplementary Figure </w:t>
      </w:r>
      <w:r w:rsidR="00D80D85">
        <w:rPr>
          <w:noProof/>
        </w:rPr>
        <w:t>2</w:t>
      </w:r>
      <w:r>
        <w:rPr>
          <w:lang w:val="en-US"/>
        </w:rPr>
        <w:fldChar w:fldCharType="end"/>
      </w:r>
      <w:r>
        <w:rPr>
          <w:lang w:val="en-US"/>
        </w:rPr>
        <w:t xml:space="preserve"> and </w:t>
      </w:r>
      <w:r>
        <w:rPr>
          <w:lang w:val="en-US"/>
        </w:rPr>
        <w:fldChar w:fldCharType="begin"/>
      </w:r>
      <w:r>
        <w:rPr>
          <w:lang w:val="en-US"/>
        </w:rPr>
        <w:instrText xml:space="preserve"> REF _Ref11661122 \h </w:instrText>
      </w:r>
      <w:r>
        <w:rPr>
          <w:lang w:val="en-US"/>
        </w:rPr>
      </w:r>
      <w:r>
        <w:rPr>
          <w:lang w:val="en-US"/>
        </w:rPr>
        <w:fldChar w:fldCharType="separate"/>
      </w:r>
      <w:r w:rsidR="00D80D85">
        <w:t xml:space="preserve">Supplementary Table </w:t>
      </w:r>
      <w:r w:rsidR="00D80D85">
        <w:rPr>
          <w:noProof/>
        </w:rPr>
        <w:t>2</w:t>
      </w:r>
      <w:r>
        <w:rPr>
          <w:lang w:val="en-US"/>
        </w:rPr>
        <w:fldChar w:fldCharType="end"/>
      </w:r>
      <w:r>
        <w:rPr>
          <w:lang w:val="en-US"/>
        </w:rPr>
        <w:t>)</w:t>
      </w:r>
    </w:p>
    <w:p w14:paraId="11AFDBCC" w14:textId="031E0176" w:rsidR="00171FF3" w:rsidRDefault="00171FF3" w:rsidP="00171FF3">
      <w:pPr>
        <w:pStyle w:val="Caption"/>
      </w:pPr>
      <w:bookmarkStart w:id="3" w:name="_Ref11661122"/>
      <w:r>
        <w:t xml:space="preserve">Supplementary Table </w:t>
      </w:r>
      <w:fldSimple w:instr=" SEQ Table \* ARABIC ">
        <w:r w:rsidR="00D80D85">
          <w:rPr>
            <w:noProof/>
          </w:rPr>
          <w:t>2</w:t>
        </w:r>
      </w:fldSimple>
      <w:bookmarkEnd w:id="3"/>
      <w:r>
        <w:t>: ToT – AIC and BIC statistics – chemotherapy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2347"/>
        <w:gridCol w:w="2345"/>
      </w:tblGrid>
      <w:tr w:rsidR="00171FF3" w:rsidRPr="00171FF3" w14:paraId="0B305D0D" w14:textId="77777777" w:rsidTr="00BC0AE8">
        <w:trPr>
          <w:trHeight w:val="288"/>
          <w:tblHeader/>
        </w:trPr>
        <w:tc>
          <w:tcPr>
            <w:tcW w:w="2563" w:type="pct"/>
            <w:shd w:val="clear" w:color="auto" w:fill="auto"/>
            <w:noWrap/>
            <w:vAlign w:val="bottom"/>
            <w:hideMark/>
          </w:tcPr>
          <w:p w14:paraId="4E3E539F" w14:textId="68CDFE86" w:rsidR="00171FF3" w:rsidRPr="00171FF3" w:rsidRDefault="00171FF3" w:rsidP="00171FF3">
            <w:pPr>
              <w:pStyle w:val="Tableheader"/>
              <w:rPr>
                <w:color w:val="auto"/>
              </w:rPr>
            </w:pPr>
            <w:r w:rsidRPr="00171FF3">
              <w:rPr>
                <w:color w:val="auto"/>
              </w:rPr>
              <w:t> Distribution</w:t>
            </w:r>
          </w:p>
        </w:tc>
        <w:tc>
          <w:tcPr>
            <w:tcW w:w="1219" w:type="pct"/>
            <w:shd w:val="clear" w:color="auto" w:fill="auto"/>
            <w:noWrap/>
            <w:vAlign w:val="bottom"/>
            <w:hideMark/>
          </w:tcPr>
          <w:p w14:paraId="481AE5C3" w14:textId="77777777" w:rsidR="00171FF3" w:rsidRPr="00171FF3" w:rsidRDefault="00171FF3" w:rsidP="00171FF3">
            <w:pPr>
              <w:pStyle w:val="Tableheader"/>
              <w:rPr>
                <w:color w:val="auto"/>
              </w:rPr>
            </w:pPr>
            <w:r w:rsidRPr="00171FF3">
              <w:rPr>
                <w:color w:val="auto"/>
              </w:rPr>
              <w:t>AIC</w:t>
            </w:r>
          </w:p>
        </w:tc>
        <w:tc>
          <w:tcPr>
            <w:tcW w:w="1218" w:type="pct"/>
            <w:shd w:val="clear" w:color="auto" w:fill="auto"/>
            <w:noWrap/>
            <w:vAlign w:val="bottom"/>
            <w:hideMark/>
          </w:tcPr>
          <w:p w14:paraId="4AED4301" w14:textId="77777777" w:rsidR="00171FF3" w:rsidRPr="00171FF3" w:rsidRDefault="00171FF3" w:rsidP="00171FF3">
            <w:pPr>
              <w:pStyle w:val="Tableheader"/>
              <w:rPr>
                <w:color w:val="auto"/>
              </w:rPr>
            </w:pPr>
            <w:r w:rsidRPr="00171FF3">
              <w:rPr>
                <w:color w:val="auto"/>
              </w:rPr>
              <w:t>BIC</w:t>
            </w:r>
          </w:p>
        </w:tc>
      </w:tr>
      <w:tr w:rsidR="00171FF3" w:rsidRPr="00171FF3" w14:paraId="1B630B16" w14:textId="77777777" w:rsidTr="00171FF3">
        <w:trPr>
          <w:trHeight w:val="288"/>
        </w:trPr>
        <w:tc>
          <w:tcPr>
            <w:tcW w:w="2563" w:type="pct"/>
            <w:shd w:val="clear" w:color="auto" w:fill="auto"/>
            <w:noWrap/>
            <w:vAlign w:val="bottom"/>
            <w:hideMark/>
          </w:tcPr>
          <w:p w14:paraId="596E6D79" w14:textId="77777777" w:rsidR="00171FF3" w:rsidRPr="00171FF3" w:rsidRDefault="00171FF3" w:rsidP="00171FF3">
            <w:pPr>
              <w:pStyle w:val="TableText"/>
            </w:pPr>
            <w:r w:rsidRPr="00171FF3">
              <w:t>Exponential</w:t>
            </w:r>
          </w:p>
        </w:tc>
        <w:tc>
          <w:tcPr>
            <w:tcW w:w="1219" w:type="pct"/>
            <w:shd w:val="clear" w:color="auto" w:fill="auto"/>
            <w:noWrap/>
            <w:vAlign w:val="bottom"/>
            <w:hideMark/>
          </w:tcPr>
          <w:p w14:paraId="7C6AAC2C" w14:textId="4FE1B458" w:rsidR="00171FF3" w:rsidRPr="00171FF3" w:rsidRDefault="00171FF3" w:rsidP="00171FF3">
            <w:pPr>
              <w:pStyle w:val="TableText"/>
            </w:pPr>
            <w:r w:rsidRPr="00171FF3">
              <w:t>1145.4</w:t>
            </w:r>
          </w:p>
        </w:tc>
        <w:tc>
          <w:tcPr>
            <w:tcW w:w="1218" w:type="pct"/>
            <w:shd w:val="clear" w:color="auto" w:fill="auto"/>
            <w:noWrap/>
            <w:vAlign w:val="bottom"/>
            <w:hideMark/>
          </w:tcPr>
          <w:p w14:paraId="235BFF6F" w14:textId="79C350D4" w:rsidR="00171FF3" w:rsidRPr="00171FF3" w:rsidRDefault="00171FF3" w:rsidP="00171FF3">
            <w:pPr>
              <w:pStyle w:val="TableText"/>
            </w:pPr>
            <w:r w:rsidRPr="00171FF3">
              <w:t>1148.5</w:t>
            </w:r>
          </w:p>
        </w:tc>
      </w:tr>
      <w:tr w:rsidR="00171FF3" w:rsidRPr="00171FF3" w14:paraId="57A92F18" w14:textId="77777777" w:rsidTr="00171FF3">
        <w:trPr>
          <w:trHeight w:val="288"/>
        </w:trPr>
        <w:tc>
          <w:tcPr>
            <w:tcW w:w="2563" w:type="pct"/>
            <w:shd w:val="clear" w:color="auto" w:fill="auto"/>
            <w:noWrap/>
            <w:vAlign w:val="bottom"/>
            <w:hideMark/>
          </w:tcPr>
          <w:p w14:paraId="41AD0297" w14:textId="77777777" w:rsidR="00171FF3" w:rsidRPr="00171FF3" w:rsidRDefault="00171FF3" w:rsidP="00171FF3">
            <w:pPr>
              <w:pStyle w:val="TableText"/>
            </w:pPr>
            <w:r w:rsidRPr="00171FF3">
              <w:t>Weibull</w:t>
            </w:r>
          </w:p>
        </w:tc>
        <w:tc>
          <w:tcPr>
            <w:tcW w:w="1219" w:type="pct"/>
            <w:shd w:val="clear" w:color="auto" w:fill="auto"/>
            <w:noWrap/>
            <w:vAlign w:val="bottom"/>
            <w:hideMark/>
          </w:tcPr>
          <w:p w14:paraId="25492C28" w14:textId="1D314962" w:rsidR="00171FF3" w:rsidRPr="00171FF3" w:rsidRDefault="00171FF3" w:rsidP="00171FF3">
            <w:pPr>
              <w:pStyle w:val="TableText"/>
            </w:pPr>
            <w:r w:rsidRPr="00171FF3">
              <w:t>1139.8</w:t>
            </w:r>
          </w:p>
        </w:tc>
        <w:tc>
          <w:tcPr>
            <w:tcW w:w="1218" w:type="pct"/>
            <w:shd w:val="clear" w:color="auto" w:fill="auto"/>
            <w:noWrap/>
            <w:vAlign w:val="bottom"/>
            <w:hideMark/>
          </w:tcPr>
          <w:p w14:paraId="032FB115" w14:textId="4ECCC514" w:rsidR="00171FF3" w:rsidRPr="00171FF3" w:rsidRDefault="00171FF3" w:rsidP="00171FF3">
            <w:pPr>
              <w:pStyle w:val="TableText"/>
            </w:pPr>
            <w:r w:rsidRPr="00171FF3">
              <w:t>1146</w:t>
            </w:r>
          </w:p>
        </w:tc>
      </w:tr>
      <w:tr w:rsidR="00171FF3" w:rsidRPr="00171FF3" w14:paraId="72773873" w14:textId="77777777" w:rsidTr="00171FF3">
        <w:trPr>
          <w:trHeight w:val="288"/>
        </w:trPr>
        <w:tc>
          <w:tcPr>
            <w:tcW w:w="2563" w:type="pct"/>
            <w:shd w:val="clear" w:color="auto" w:fill="auto"/>
            <w:noWrap/>
            <w:vAlign w:val="bottom"/>
            <w:hideMark/>
          </w:tcPr>
          <w:p w14:paraId="10809BF8" w14:textId="77777777" w:rsidR="00171FF3" w:rsidRPr="00171FF3" w:rsidRDefault="00171FF3" w:rsidP="00171FF3">
            <w:pPr>
              <w:pStyle w:val="TableText"/>
            </w:pPr>
            <w:r w:rsidRPr="00171FF3">
              <w:t>Gompertz</w:t>
            </w:r>
          </w:p>
        </w:tc>
        <w:tc>
          <w:tcPr>
            <w:tcW w:w="1219" w:type="pct"/>
            <w:shd w:val="clear" w:color="auto" w:fill="auto"/>
            <w:noWrap/>
            <w:vAlign w:val="bottom"/>
            <w:hideMark/>
          </w:tcPr>
          <w:p w14:paraId="30EC20F5" w14:textId="50BF054D" w:rsidR="00171FF3" w:rsidRPr="00171FF3" w:rsidRDefault="00171FF3" w:rsidP="00171FF3">
            <w:pPr>
              <w:pStyle w:val="TableText"/>
            </w:pPr>
            <w:r w:rsidRPr="00171FF3">
              <w:t>1147</w:t>
            </w:r>
          </w:p>
        </w:tc>
        <w:tc>
          <w:tcPr>
            <w:tcW w:w="1218" w:type="pct"/>
            <w:shd w:val="clear" w:color="auto" w:fill="auto"/>
            <w:noWrap/>
            <w:vAlign w:val="bottom"/>
            <w:hideMark/>
          </w:tcPr>
          <w:p w14:paraId="6DB922C1" w14:textId="38604D01" w:rsidR="00171FF3" w:rsidRPr="00171FF3" w:rsidRDefault="00171FF3" w:rsidP="00171FF3">
            <w:pPr>
              <w:pStyle w:val="TableText"/>
            </w:pPr>
            <w:r w:rsidRPr="00171FF3">
              <w:t>1153.2</w:t>
            </w:r>
          </w:p>
        </w:tc>
      </w:tr>
      <w:tr w:rsidR="00171FF3" w:rsidRPr="00171FF3" w14:paraId="4642B4DC" w14:textId="77777777" w:rsidTr="00171FF3">
        <w:trPr>
          <w:trHeight w:val="288"/>
        </w:trPr>
        <w:tc>
          <w:tcPr>
            <w:tcW w:w="2563" w:type="pct"/>
            <w:shd w:val="clear" w:color="auto" w:fill="auto"/>
            <w:noWrap/>
            <w:vAlign w:val="bottom"/>
            <w:hideMark/>
          </w:tcPr>
          <w:p w14:paraId="62BD9B2C" w14:textId="57AA7CE9" w:rsidR="00171FF3" w:rsidRPr="00171FF3" w:rsidRDefault="00171FF3" w:rsidP="00171FF3">
            <w:pPr>
              <w:pStyle w:val="TableText"/>
            </w:pPr>
            <w:r w:rsidRPr="00171FF3">
              <w:t>L</w:t>
            </w:r>
            <w:r w:rsidR="00BC0AE8">
              <w:t xml:space="preserve">og </w:t>
            </w:r>
            <w:r w:rsidRPr="00171FF3">
              <w:t>logistic</w:t>
            </w:r>
          </w:p>
        </w:tc>
        <w:tc>
          <w:tcPr>
            <w:tcW w:w="1219" w:type="pct"/>
            <w:shd w:val="clear" w:color="auto" w:fill="auto"/>
            <w:noWrap/>
            <w:vAlign w:val="bottom"/>
            <w:hideMark/>
          </w:tcPr>
          <w:p w14:paraId="1EF6C984" w14:textId="2AE74136" w:rsidR="00171FF3" w:rsidRPr="00171FF3" w:rsidRDefault="00171FF3" w:rsidP="00171FF3">
            <w:pPr>
              <w:pStyle w:val="TableText"/>
            </w:pPr>
            <w:r w:rsidRPr="00171FF3">
              <w:t>1184</w:t>
            </w:r>
          </w:p>
        </w:tc>
        <w:tc>
          <w:tcPr>
            <w:tcW w:w="1218" w:type="pct"/>
            <w:shd w:val="clear" w:color="auto" w:fill="auto"/>
            <w:noWrap/>
            <w:vAlign w:val="bottom"/>
            <w:hideMark/>
          </w:tcPr>
          <w:p w14:paraId="7C9DA152" w14:textId="76FAD114" w:rsidR="00171FF3" w:rsidRPr="00171FF3" w:rsidRDefault="00171FF3" w:rsidP="00171FF3">
            <w:pPr>
              <w:pStyle w:val="TableText"/>
            </w:pPr>
            <w:r w:rsidRPr="00171FF3">
              <w:t>1190.2</w:t>
            </w:r>
          </w:p>
        </w:tc>
      </w:tr>
      <w:tr w:rsidR="00171FF3" w:rsidRPr="00171FF3" w14:paraId="48E9AF0C" w14:textId="77777777" w:rsidTr="00171FF3">
        <w:trPr>
          <w:trHeight w:val="288"/>
        </w:trPr>
        <w:tc>
          <w:tcPr>
            <w:tcW w:w="2563" w:type="pct"/>
            <w:shd w:val="clear" w:color="auto" w:fill="auto"/>
            <w:noWrap/>
            <w:vAlign w:val="bottom"/>
            <w:hideMark/>
          </w:tcPr>
          <w:p w14:paraId="08212F52" w14:textId="472B6F74" w:rsidR="00171FF3" w:rsidRPr="00171FF3" w:rsidRDefault="00171FF3" w:rsidP="00171FF3">
            <w:pPr>
              <w:pStyle w:val="TableText"/>
            </w:pPr>
            <w:r w:rsidRPr="00171FF3">
              <w:t>L</w:t>
            </w:r>
            <w:r w:rsidR="00BC0AE8">
              <w:t xml:space="preserve">og </w:t>
            </w:r>
            <w:r w:rsidRPr="00171FF3">
              <w:t>normal</w:t>
            </w:r>
          </w:p>
        </w:tc>
        <w:tc>
          <w:tcPr>
            <w:tcW w:w="1219" w:type="pct"/>
            <w:shd w:val="clear" w:color="auto" w:fill="auto"/>
            <w:noWrap/>
            <w:vAlign w:val="bottom"/>
            <w:hideMark/>
          </w:tcPr>
          <w:p w14:paraId="7C2116A1" w14:textId="54853A9D" w:rsidR="00171FF3" w:rsidRPr="00171FF3" w:rsidRDefault="00171FF3" w:rsidP="00171FF3">
            <w:pPr>
              <w:pStyle w:val="TableText"/>
            </w:pPr>
            <w:r w:rsidRPr="00171FF3">
              <w:t>1193.6</w:t>
            </w:r>
          </w:p>
        </w:tc>
        <w:tc>
          <w:tcPr>
            <w:tcW w:w="1218" w:type="pct"/>
            <w:shd w:val="clear" w:color="auto" w:fill="auto"/>
            <w:noWrap/>
            <w:vAlign w:val="bottom"/>
            <w:hideMark/>
          </w:tcPr>
          <w:p w14:paraId="1C6E2763" w14:textId="5FBDC2C1" w:rsidR="00171FF3" w:rsidRPr="00171FF3" w:rsidRDefault="00171FF3" w:rsidP="00171FF3">
            <w:pPr>
              <w:pStyle w:val="TableText"/>
            </w:pPr>
            <w:r w:rsidRPr="00171FF3">
              <w:t>1199.8</w:t>
            </w:r>
          </w:p>
        </w:tc>
      </w:tr>
      <w:tr w:rsidR="00171FF3" w:rsidRPr="00171FF3" w14:paraId="301D8363" w14:textId="77777777" w:rsidTr="00171FF3">
        <w:trPr>
          <w:trHeight w:val="288"/>
        </w:trPr>
        <w:tc>
          <w:tcPr>
            <w:tcW w:w="2563" w:type="pct"/>
            <w:shd w:val="clear" w:color="auto" w:fill="auto"/>
            <w:noWrap/>
            <w:vAlign w:val="bottom"/>
            <w:hideMark/>
          </w:tcPr>
          <w:p w14:paraId="47ED2E09" w14:textId="0D499AF2" w:rsidR="00171FF3" w:rsidRPr="00171FF3" w:rsidRDefault="00171FF3" w:rsidP="00171FF3">
            <w:pPr>
              <w:pStyle w:val="TableText"/>
            </w:pPr>
            <w:r w:rsidRPr="00171FF3">
              <w:t>Gen</w:t>
            </w:r>
            <w:r w:rsidR="00BC0AE8">
              <w:t xml:space="preserve">eralised </w:t>
            </w:r>
            <w:r w:rsidRPr="00171FF3">
              <w:t>Gamma</w:t>
            </w:r>
          </w:p>
        </w:tc>
        <w:tc>
          <w:tcPr>
            <w:tcW w:w="1219" w:type="pct"/>
            <w:shd w:val="clear" w:color="auto" w:fill="auto"/>
            <w:noWrap/>
            <w:vAlign w:val="bottom"/>
            <w:hideMark/>
          </w:tcPr>
          <w:p w14:paraId="710BDE77" w14:textId="33C6EC48" w:rsidR="00171FF3" w:rsidRPr="00266517" w:rsidRDefault="00171FF3" w:rsidP="00171FF3">
            <w:pPr>
              <w:pStyle w:val="TableText"/>
              <w:rPr>
                <w:b/>
              </w:rPr>
            </w:pPr>
            <w:r w:rsidRPr="00266517">
              <w:rPr>
                <w:b/>
              </w:rPr>
              <w:t>1134.2</w:t>
            </w:r>
          </w:p>
        </w:tc>
        <w:tc>
          <w:tcPr>
            <w:tcW w:w="1218" w:type="pct"/>
            <w:shd w:val="clear" w:color="auto" w:fill="auto"/>
            <w:noWrap/>
            <w:vAlign w:val="bottom"/>
            <w:hideMark/>
          </w:tcPr>
          <w:p w14:paraId="6F627B35" w14:textId="0A3044CA" w:rsidR="00171FF3" w:rsidRPr="00266517" w:rsidRDefault="00171FF3" w:rsidP="00171FF3">
            <w:pPr>
              <w:pStyle w:val="TableText"/>
              <w:rPr>
                <w:b/>
              </w:rPr>
            </w:pPr>
            <w:r w:rsidRPr="00266517">
              <w:rPr>
                <w:b/>
              </w:rPr>
              <w:t>1143.6</w:t>
            </w:r>
          </w:p>
        </w:tc>
      </w:tr>
      <w:tr w:rsidR="00171FF3" w:rsidRPr="00171FF3" w14:paraId="5BAB4353" w14:textId="77777777" w:rsidTr="00171FF3">
        <w:trPr>
          <w:trHeight w:val="288"/>
        </w:trPr>
        <w:tc>
          <w:tcPr>
            <w:tcW w:w="5000" w:type="pct"/>
            <w:gridSpan w:val="3"/>
            <w:shd w:val="clear" w:color="auto" w:fill="auto"/>
            <w:noWrap/>
            <w:vAlign w:val="bottom"/>
          </w:tcPr>
          <w:p w14:paraId="10A9C305" w14:textId="212C6E6D" w:rsidR="00171FF3" w:rsidRPr="00171FF3" w:rsidRDefault="00171FF3" w:rsidP="00171FF3">
            <w:pPr>
              <w:pStyle w:val="Legend"/>
            </w:pPr>
            <w:r w:rsidRPr="00171FF3">
              <w:rPr>
                <w:b/>
              </w:rPr>
              <w:t>Key:</w:t>
            </w:r>
            <w:r>
              <w:t xml:space="preserve"> AIC, Akaike information criterion; BIC, Bayesian information criterion; ToT, time on treatment.</w:t>
            </w:r>
          </w:p>
        </w:tc>
      </w:tr>
    </w:tbl>
    <w:p w14:paraId="78B0AFBA" w14:textId="77777777" w:rsidR="00171FF3" w:rsidRPr="00171FF3" w:rsidRDefault="00171FF3" w:rsidP="00171FF3"/>
    <w:p w14:paraId="0F1CB290" w14:textId="72D51AFB" w:rsidR="00171FF3" w:rsidRDefault="00171FF3" w:rsidP="00171FF3">
      <w:pPr>
        <w:pStyle w:val="Caption"/>
      </w:pPr>
      <w:bookmarkStart w:id="4" w:name="_Ref11661115"/>
      <w:r>
        <w:t xml:space="preserve">Supplementary Figure </w:t>
      </w:r>
      <w:fldSimple w:instr=" SEQ Figure \* ARABIC ">
        <w:r w:rsidR="00D80D85">
          <w:rPr>
            <w:noProof/>
          </w:rPr>
          <w:t>2</w:t>
        </w:r>
      </w:fldSimple>
      <w:bookmarkEnd w:id="4"/>
      <w:r>
        <w:t xml:space="preserve">: ToT KM data with standard parametric curve fittings </w:t>
      </w:r>
      <w:r w:rsidR="00BC0AE8">
        <w:t>–</w:t>
      </w:r>
      <w:r>
        <w:t xml:space="preserve"> </w:t>
      </w:r>
      <w:r w:rsidR="00BC0AE8">
        <w:t>chemotherapy</w:t>
      </w:r>
    </w:p>
    <w:p w14:paraId="36F8CDA9" w14:textId="281CD9BD" w:rsidR="00BC0AE8" w:rsidRPr="00BC0AE8" w:rsidRDefault="00BC0AE8" w:rsidP="00BC0AE8">
      <w:r>
        <w:rPr>
          <w:noProof/>
        </w:rPr>
        <w:drawing>
          <wp:inline distT="0" distB="0" distL="0" distR="0" wp14:anchorId="1EF9A671" wp14:editId="0F8AB7CA">
            <wp:extent cx="4982400" cy="289651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2400" cy="2896511"/>
                    </a:xfrm>
                    <a:prstGeom prst="rect">
                      <a:avLst/>
                    </a:prstGeom>
                    <a:noFill/>
                  </pic:spPr>
                </pic:pic>
              </a:graphicData>
            </a:graphic>
          </wp:inline>
        </w:drawing>
      </w:r>
    </w:p>
    <w:p w14:paraId="46674975" w14:textId="77777777" w:rsidR="00171FF3" w:rsidRDefault="00171FF3" w:rsidP="00171FF3">
      <w:pPr>
        <w:pStyle w:val="Legend"/>
        <w:rPr>
          <w:lang w:val="en-US"/>
        </w:rPr>
      </w:pPr>
    </w:p>
    <w:p w14:paraId="77CC5FB4" w14:textId="77777777" w:rsidR="00BC0AE8" w:rsidRDefault="00BC0AE8" w:rsidP="00BC0AE8">
      <w:pPr>
        <w:pStyle w:val="Legend"/>
        <w:rPr>
          <w:lang w:val="en-US"/>
        </w:rPr>
      </w:pPr>
      <w:r w:rsidRPr="00171FF3">
        <w:rPr>
          <w:b/>
          <w:lang w:val="en-US"/>
        </w:rPr>
        <w:t>Key:</w:t>
      </w:r>
      <w:r>
        <w:rPr>
          <w:lang w:val="en-US"/>
        </w:rPr>
        <w:t xml:space="preserve"> KM, Kaplan-Meier; ToT, time on treatment</w:t>
      </w:r>
    </w:p>
    <w:p w14:paraId="61D060D3" w14:textId="77777777" w:rsidR="00BC0AE8" w:rsidRDefault="00BC0AE8" w:rsidP="00171FF3">
      <w:pPr>
        <w:pStyle w:val="Legend"/>
        <w:rPr>
          <w:lang w:val="en-US"/>
        </w:rPr>
      </w:pPr>
    </w:p>
    <w:p w14:paraId="7E9AAC01" w14:textId="77777777" w:rsidR="00266517" w:rsidRDefault="00266517" w:rsidP="00266517">
      <w:pPr>
        <w:rPr>
          <w:b/>
          <w:u w:val="single"/>
          <w:lang w:val="en-US"/>
        </w:rPr>
      </w:pPr>
      <w:r w:rsidRPr="00266517">
        <w:rPr>
          <w:b/>
          <w:u w:val="single"/>
          <w:lang w:val="en-US"/>
        </w:rPr>
        <w:t>Progression-free survival</w:t>
      </w:r>
    </w:p>
    <w:p w14:paraId="5A9DD9B4" w14:textId="1FB4F8C5" w:rsidR="00266517" w:rsidRPr="00266517" w:rsidRDefault="00266517" w:rsidP="00266517">
      <w:pPr>
        <w:rPr>
          <w:rStyle w:val="CommentReference"/>
          <w:rFonts w:cs="Arial"/>
          <w:color w:val="000000" w:themeColor="text1"/>
          <w:sz w:val="24"/>
          <w:szCs w:val="22"/>
          <w:lang w:val="en-US"/>
        </w:rPr>
      </w:pPr>
      <w:r w:rsidRPr="00266517">
        <w:rPr>
          <w:rStyle w:val="CommentReference"/>
          <w:rFonts w:cs="Arial"/>
          <w:color w:val="000000" w:themeColor="text1"/>
          <w:sz w:val="24"/>
          <w:szCs w:val="22"/>
          <w:lang w:val="en-US"/>
        </w:rPr>
        <w:t xml:space="preserve">The KM of PFS shows a significant drop in PFS up until Week 15. This could be attributed to the first two radiography tests conducted on Week 9 (+/- 1 week) and Week 15 (+/- 1 week); after this the PFS remains relatively steady. As a result, and based on the cumulative hazard plot and the log cumulative hazard plot, Week 15 was used for the base case analysis, where KM data were used directly for the first 15 weeks of model time horizon, and parametric functions were fitted from then onwards. </w:t>
      </w:r>
    </w:p>
    <w:p w14:paraId="1611A97C" w14:textId="77777777" w:rsidR="00266517" w:rsidRDefault="00266517" w:rsidP="00266517">
      <w:pPr>
        <w:rPr>
          <w:b/>
          <w:u w:val="single"/>
          <w:lang w:val="en-US"/>
        </w:rPr>
      </w:pPr>
    </w:p>
    <w:p w14:paraId="3E9FB2D8" w14:textId="11965AE8" w:rsidR="00266517" w:rsidRPr="006054DE" w:rsidRDefault="00266517" w:rsidP="00266517">
      <w:pPr>
        <w:rPr>
          <w:rStyle w:val="CommentReference"/>
          <w:rFonts w:cs="Arial"/>
          <w:color w:val="000000" w:themeColor="text1"/>
          <w:lang w:val="en-US"/>
        </w:rPr>
      </w:pPr>
      <w:r w:rsidRPr="006054DE">
        <w:rPr>
          <w:lang w:val="en-US"/>
        </w:rPr>
        <w:t xml:space="preserve">Based on the AIC and BIC and visual inspection, the log-logistic parametric function was selected as the base case for the pembrolizumab arm. For the </w:t>
      </w:r>
      <w:r>
        <w:rPr>
          <w:lang w:val="en-US"/>
        </w:rPr>
        <w:t>chemotherapy</w:t>
      </w:r>
      <w:r w:rsidRPr="006054DE">
        <w:rPr>
          <w:lang w:val="en-US"/>
        </w:rPr>
        <w:t xml:space="preserve"> arm, the exponential parametric function was applied to extrapolate PFS outcomes</w:t>
      </w:r>
      <w:r>
        <w:rPr>
          <w:lang w:val="en-US"/>
        </w:rPr>
        <w:t xml:space="preserve"> (</w:t>
      </w:r>
      <w:r>
        <w:rPr>
          <w:lang w:val="en-US"/>
        </w:rPr>
        <w:fldChar w:fldCharType="begin"/>
      </w:r>
      <w:r>
        <w:rPr>
          <w:lang w:val="en-US"/>
        </w:rPr>
        <w:instrText xml:space="preserve"> REF _Ref11661882 \h </w:instrText>
      </w:r>
      <w:r>
        <w:rPr>
          <w:lang w:val="en-US"/>
        </w:rPr>
      </w:r>
      <w:r>
        <w:rPr>
          <w:lang w:val="en-US"/>
        </w:rPr>
        <w:fldChar w:fldCharType="separate"/>
      </w:r>
      <w:r w:rsidR="00D80D85">
        <w:t xml:space="preserve">Supplementary Table </w:t>
      </w:r>
      <w:r w:rsidR="00D80D85">
        <w:rPr>
          <w:noProof/>
        </w:rPr>
        <w:t>3</w:t>
      </w:r>
      <w:r>
        <w:rPr>
          <w:lang w:val="en-US"/>
        </w:rPr>
        <w:fldChar w:fldCharType="end"/>
      </w:r>
      <w:r>
        <w:rPr>
          <w:lang w:val="en-US"/>
        </w:rPr>
        <w:t xml:space="preserve">, </w:t>
      </w:r>
      <w:r>
        <w:rPr>
          <w:lang w:val="en-US"/>
        </w:rPr>
        <w:fldChar w:fldCharType="begin"/>
      </w:r>
      <w:r>
        <w:rPr>
          <w:lang w:val="en-US"/>
        </w:rPr>
        <w:instrText xml:space="preserve"> REF _Ref11661888 \h </w:instrText>
      </w:r>
      <w:r>
        <w:rPr>
          <w:lang w:val="en-US"/>
        </w:rPr>
      </w:r>
      <w:r>
        <w:rPr>
          <w:lang w:val="en-US"/>
        </w:rPr>
        <w:fldChar w:fldCharType="separate"/>
      </w:r>
      <w:r w:rsidR="00D80D85">
        <w:t xml:space="preserve">Supplementary Figure </w:t>
      </w:r>
      <w:r w:rsidR="00D80D85">
        <w:rPr>
          <w:noProof/>
        </w:rPr>
        <w:t>3</w:t>
      </w:r>
      <w:r>
        <w:rPr>
          <w:lang w:val="en-US"/>
        </w:rPr>
        <w:fldChar w:fldCharType="end"/>
      </w:r>
      <w:r>
        <w:rPr>
          <w:lang w:val="en-US"/>
        </w:rPr>
        <w:t xml:space="preserve"> and </w:t>
      </w:r>
      <w:r>
        <w:rPr>
          <w:lang w:val="en-US"/>
        </w:rPr>
        <w:fldChar w:fldCharType="begin"/>
      </w:r>
      <w:r>
        <w:rPr>
          <w:lang w:val="en-US"/>
        </w:rPr>
        <w:instrText xml:space="preserve"> REF _Ref11661889 \h </w:instrText>
      </w:r>
      <w:r>
        <w:rPr>
          <w:lang w:val="en-US"/>
        </w:rPr>
      </w:r>
      <w:r>
        <w:rPr>
          <w:lang w:val="en-US"/>
        </w:rPr>
        <w:fldChar w:fldCharType="separate"/>
      </w:r>
      <w:r w:rsidR="00D80D85">
        <w:t xml:space="preserve">Supplementary Figure </w:t>
      </w:r>
      <w:r w:rsidR="00D80D85">
        <w:rPr>
          <w:noProof/>
        </w:rPr>
        <w:t>4</w:t>
      </w:r>
      <w:r>
        <w:rPr>
          <w:lang w:val="en-US"/>
        </w:rPr>
        <w:fldChar w:fldCharType="end"/>
      </w:r>
      <w:r>
        <w:rPr>
          <w:lang w:val="en-US"/>
        </w:rPr>
        <w:t>)</w:t>
      </w:r>
      <w:r w:rsidRPr="006054DE">
        <w:rPr>
          <w:lang w:val="en-US"/>
        </w:rPr>
        <w:t>.</w:t>
      </w:r>
    </w:p>
    <w:p w14:paraId="46BFCA20" w14:textId="77777777" w:rsidR="00266517" w:rsidRDefault="00266517" w:rsidP="00266517">
      <w:pPr>
        <w:rPr>
          <w:b/>
          <w:u w:val="single"/>
          <w:lang w:val="en-US"/>
        </w:rPr>
      </w:pPr>
    </w:p>
    <w:p w14:paraId="46BA1939" w14:textId="502A416F" w:rsidR="00266517" w:rsidRDefault="00266517" w:rsidP="00266517">
      <w:pPr>
        <w:pStyle w:val="Caption"/>
      </w:pPr>
      <w:bookmarkStart w:id="5" w:name="_Ref11661882"/>
      <w:r>
        <w:t xml:space="preserve">Supplementary Table </w:t>
      </w:r>
      <w:r w:rsidR="00D67538">
        <w:rPr>
          <w:noProof/>
        </w:rPr>
        <w:fldChar w:fldCharType="begin"/>
      </w:r>
      <w:r w:rsidR="00D67538">
        <w:rPr>
          <w:noProof/>
        </w:rPr>
        <w:instrText xml:space="preserve"> SEQ Table \* ARABIC </w:instrText>
      </w:r>
      <w:r w:rsidR="00D67538">
        <w:rPr>
          <w:noProof/>
        </w:rPr>
        <w:fldChar w:fldCharType="separate"/>
      </w:r>
      <w:r w:rsidR="00D80D85">
        <w:rPr>
          <w:noProof/>
        </w:rPr>
        <w:t>3</w:t>
      </w:r>
      <w:r w:rsidR="00D67538">
        <w:rPr>
          <w:noProof/>
        </w:rPr>
        <w:fldChar w:fldCharType="end"/>
      </w:r>
      <w:bookmarkEnd w:id="5"/>
      <w:r>
        <w:t xml:space="preserve">: PFS – AIC and BIC statistics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733"/>
        <w:gridCol w:w="1735"/>
        <w:gridCol w:w="1733"/>
        <w:gridCol w:w="1739"/>
      </w:tblGrid>
      <w:tr w:rsidR="00266517" w:rsidRPr="00171FF3" w14:paraId="1933F668" w14:textId="77777777" w:rsidTr="00266517">
        <w:trPr>
          <w:trHeight w:val="288"/>
          <w:tblHeader/>
        </w:trPr>
        <w:tc>
          <w:tcPr>
            <w:tcW w:w="1396" w:type="pct"/>
            <w:vMerge w:val="restart"/>
            <w:shd w:val="clear" w:color="auto" w:fill="auto"/>
            <w:noWrap/>
            <w:vAlign w:val="bottom"/>
          </w:tcPr>
          <w:p w14:paraId="5A9DB7D4" w14:textId="572822F3" w:rsidR="00266517" w:rsidRPr="00171FF3" w:rsidRDefault="00266517" w:rsidP="00D67538">
            <w:pPr>
              <w:pStyle w:val="Tableheader"/>
              <w:rPr>
                <w:color w:val="auto"/>
              </w:rPr>
            </w:pPr>
            <w:r w:rsidRPr="00171FF3">
              <w:rPr>
                <w:color w:val="auto"/>
              </w:rPr>
              <w:t> Distribution</w:t>
            </w:r>
          </w:p>
        </w:tc>
        <w:tc>
          <w:tcPr>
            <w:tcW w:w="1801" w:type="pct"/>
            <w:gridSpan w:val="2"/>
            <w:shd w:val="clear" w:color="auto" w:fill="auto"/>
            <w:noWrap/>
            <w:vAlign w:val="bottom"/>
          </w:tcPr>
          <w:p w14:paraId="3C3650A8" w14:textId="264ED332" w:rsidR="00266517" w:rsidRPr="00171FF3" w:rsidRDefault="00266517" w:rsidP="00D67538">
            <w:pPr>
              <w:pStyle w:val="Tableheader"/>
              <w:rPr>
                <w:color w:val="auto"/>
              </w:rPr>
            </w:pPr>
            <w:r>
              <w:rPr>
                <w:color w:val="auto"/>
              </w:rPr>
              <w:t>Pembrolizumab</w:t>
            </w:r>
          </w:p>
        </w:tc>
        <w:tc>
          <w:tcPr>
            <w:tcW w:w="1803" w:type="pct"/>
            <w:gridSpan w:val="2"/>
          </w:tcPr>
          <w:p w14:paraId="2D43B2ED" w14:textId="28E3989A" w:rsidR="00266517" w:rsidRPr="00171FF3" w:rsidRDefault="00266517" w:rsidP="00D67538">
            <w:pPr>
              <w:pStyle w:val="Tableheader"/>
              <w:rPr>
                <w:color w:val="auto"/>
              </w:rPr>
            </w:pPr>
            <w:r>
              <w:rPr>
                <w:color w:val="auto"/>
              </w:rPr>
              <w:t>Chemotherapy</w:t>
            </w:r>
          </w:p>
        </w:tc>
      </w:tr>
      <w:tr w:rsidR="00266517" w:rsidRPr="00171FF3" w14:paraId="2C826A0C" w14:textId="0B530EDA" w:rsidTr="00266517">
        <w:trPr>
          <w:trHeight w:val="288"/>
          <w:tblHeader/>
        </w:trPr>
        <w:tc>
          <w:tcPr>
            <w:tcW w:w="1396" w:type="pct"/>
            <w:vMerge/>
            <w:shd w:val="clear" w:color="auto" w:fill="auto"/>
            <w:noWrap/>
            <w:vAlign w:val="bottom"/>
            <w:hideMark/>
          </w:tcPr>
          <w:p w14:paraId="6C667340" w14:textId="73993235" w:rsidR="00266517" w:rsidRPr="00171FF3" w:rsidRDefault="00266517" w:rsidP="00266517">
            <w:pPr>
              <w:pStyle w:val="Tableheader"/>
              <w:rPr>
                <w:color w:val="auto"/>
              </w:rPr>
            </w:pPr>
          </w:p>
        </w:tc>
        <w:tc>
          <w:tcPr>
            <w:tcW w:w="900" w:type="pct"/>
            <w:tcBorders>
              <w:bottom w:val="single" w:sz="4" w:space="0" w:color="auto"/>
            </w:tcBorders>
            <w:shd w:val="clear" w:color="auto" w:fill="auto"/>
            <w:noWrap/>
            <w:vAlign w:val="bottom"/>
            <w:hideMark/>
          </w:tcPr>
          <w:p w14:paraId="31604C65" w14:textId="77777777" w:rsidR="00266517" w:rsidRPr="00171FF3" w:rsidRDefault="00266517" w:rsidP="00266517">
            <w:pPr>
              <w:pStyle w:val="Tableheader"/>
              <w:rPr>
                <w:color w:val="auto"/>
              </w:rPr>
            </w:pPr>
            <w:r w:rsidRPr="00171FF3">
              <w:rPr>
                <w:color w:val="auto"/>
              </w:rPr>
              <w:t>AIC</w:t>
            </w:r>
          </w:p>
        </w:tc>
        <w:tc>
          <w:tcPr>
            <w:tcW w:w="901" w:type="pct"/>
            <w:tcBorders>
              <w:bottom w:val="single" w:sz="4" w:space="0" w:color="auto"/>
            </w:tcBorders>
            <w:shd w:val="clear" w:color="auto" w:fill="auto"/>
            <w:noWrap/>
            <w:vAlign w:val="bottom"/>
            <w:hideMark/>
          </w:tcPr>
          <w:p w14:paraId="565F9921" w14:textId="77777777" w:rsidR="00266517" w:rsidRPr="00171FF3" w:rsidRDefault="00266517" w:rsidP="00266517">
            <w:pPr>
              <w:pStyle w:val="Tableheader"/>
              <w:rPr>
                <w:color w:val="auto"/>
              </w:rPr>
            </w:pPr>
            <w:r w:rsidRPr="00171FF3">
              <w:rPr>
                <w:color w:val="auto"/>
              </w:rPr>
              <w:t>BIC</w:t>
            </w:r>
          </w:p>
        </w:tc>
        <w:tc>
          <w:tcPr>
            <w:tcW w:w="900" w:type="pct"/>
            <w:tcBorders>
              <w:bottom w:val="single" w:sz="4" w:space="0" w:color="auto"/>
            </w:tcBorders>
            <w:vAlign w:val="bottom"/>
          </w:tcPr>
          <w:p w14:paraId="0C6D87A2" w14:textId="38CD8F96" w:rsidR="00266517" w:rsidRPr="00171FF3" w:rsidRDefault="00266517" w:rsidP="00266517">
            <w:pPr>
              <w:pStyle w:val="Tableheader"/>
              <w:rPr>
                <w:color w:val="auto"/>
              </w:rPr>
            </w:pPr>
            <w:r w:rsidRPr="00171FF3">
              <w:rPr>
                <w:color w:val="auto"/>
              </w:rPr>
              <w:t>AIC</w:t>
            </w:r>
          </w:p>
        </w:tc>
        <w:tc>
          <w:tcPr>
            <w:tcW w:w="903" w:type="pct"/>
            <w:tcBorders>
              <w:bottom w:val="single" w:sz="4" w:space="0" w:color="auto"/>
            </w:tcBorders>
            <w:vAlign w:val="bottom"/>
          </w:tcPr>
          <w:p w14:paraId="60F8FB6F" w14:textId="410A47B5" w:rsidR="00266517" w:rsidRPr="00171FF3" w:rsidRDefault="00266517" w:rsidP="00266517">
            <w:pPr>
              <w:pStyle w:val="Tableheader"/>
              <w:rPr>
                <w:color w:val="auto"/>
              </w:rPr>
            </w:pPr>
            <w:r w:rsidRPr="00171FF3">
              <w:rPr>
                <w:color w:val="auto"/>
              </w:rPr>
              <w:t>BIC</w:t>
            </w:r>
          </w:p>
        </w:tc>
      </w:tr>
      <w:tr w:rsidR="00266517" w:rsidRPr="00171FF3" w14:paraId="7F822229" w14:textId="4AD2CA42" w:rsidTr="00266517">
        <w:trPr>
          <w:trHeight w:val="288"/>
        </w:trPr>
        <w:tc>
          <w:tcPr>
            <w:tcW w:w="1396" w:type="pct"/>
            <w:shd w:val="clear" w:color="auto" w:fill="auto"/>
            <w:noWrap/>
            <w:vAlign w:val="bottom"/>
            <w:hideMark/>
          </w:tcPr>
          <w:p w14:paraId="222B06C8" w14:textId="77777777" w:rsidR="00266517" w:rsidRPr="00171FF3" w:rsidRDefault="00266517" w:rsidP="00266517">
            <w:pPr>
              <w:pStyle w:val="TableText"/>
            </w:pPr>
            <w:r w:rsidRPr="00171FF3">
              <w:t>Exponential</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67AFF7E0" w14:textId="5029244B" w:rsidR="00266517" w:rsidRPr="00266517" w:rsidRDefault="00266517" w:rsidP="00266517">
            <w:pPr>
              <w:pStyle w:val="TableText"/>
            </w:pPr>
            <w:r w:rsidRPr="00266517">
              <w:t>648.6</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548AE" w14:textId="30866EE6" w:rsidR="00266517" w:rsidRPr="00266517" w:rsidRDefault="00266517" w:rsidP="00266517">
            <w:pPr>
              <w:pStyle w:val="TableText"/>
            </w:pPr>
            <w:r w:rsidRPr="00266517">
              <w:t>651.2</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13A62643" w14:textId="5A4DE7E5" w:rsidR="00266517" w:rsidRPr="00266517" w:rsidRDefault="00266517" w:rsidP="00266517">
            <w:pPr>
              <w:pStyle w:val="TableText"/>
            </w:pPr>
            <w:r w:rsidRPr="00266517">
              <w:t>540.2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68169B79" w14:textId="79C62324" w:rsidR="00266517" w:rsidRPr="00266517" w:rsidRDefault="00266517" w:rsidP="00266517">
            <w:pPr>
              <w:pStyle w:val="TableText"/>
              <w:rPr>
                <w:b/>
              </w:rPr>
            </w:pPr>
            <w:r w:rsidRPr="00266517">
              <w:rPr>
                <w:b/>
              </w:rPr>
              <w:t>542.4</w:t>
            </w:r>
          </w:p>
        </w:tc>
      </w:tr>
      <w:tr w:rsidR="00266517" w:rsidRPr="00171FF3" w14:paraId="66595CC6" w14:textId="46576792" w:rsidTr="00266517">
        <w:trPr>
          <w:trHeight w:val="288"/>
        </w:trPr>
        <w:tc>
          <w:tcPr>
            <w:tcW w:w="1396" w:type="pct"/>
            <w:shd w:val="clear" w:color="auto" w:fill="auto"/>
            <w:noWrap/>
            <w:vAlign w:val="bottom"/>
            <w:hideMark/>
          </w:tcPr>
          <w:p w14:paraId="3E656EC3" w14:textId="77777777" w:rsidR="00266517" w:rsidRPr="00171FF3" w:rsidRDefault="00266517" w:rsidP="00266517">
            <w:pPr>
              <w:pStyle w:val="TableText"/>
            </w:pPr>
            <w:r w:rsidRPr="00171FF3">
              <w:lastRenderedPageBreak/>
              <w:t>Weibull</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54571005" w14:textId="6CDB1670" w:rsidR="00266517" w:rsidRPr="00266517" w:rsidRDefault="00266517" w:rsidP="00266517">
            <w:pPr>
              <w:pStyle w:val="TableText"/>
            </w:pPr>
            <w:r w:rsidRPr="00266517">
              <w:t>640.7</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E8036" w14:textId="7F8326B6" w:rsidR="00266517" w:rsidRPr="00266517" w:rsidRDefault="00266517" w:rsidP="00266517">
            <w:pPr>
              <w:pStyle w:val="TableText"/>
            </w:pPr>
            <w:r w:rsidRPr="00266517">
              <w:t>645.8</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222D141F" w14:textId="413F0BF2" w:rsidR="00266517" w:rsidRPr="00266517" w:rsidRDefault="00266517" w:rsidP="00266517">
            <w:pPr>
              <w:pStyle w:val="TableText"/>
              <w:rPr>
                <w:b/>
              </w:rPr>
            </w:pPr>
            <w:r w:rsidRPr="00266517">
              <w:rPr>
                <w:b/>
              </w:rPr>
              <w:t>538.3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3669B910" w14:textId="2ABA2419" w:rsidR="00266517" w:rsidRPr="00266517" w:rsidRDefault="00266517" w:rsidP="00266517">
            <w:pPr>
              <w:pStyle w:val="TableText"/>
            </w:pPr>
            <w:r w:rsidRPr="00266517">
              <w:t>542.8</w:t>
            </w:r>
          </w:p>
        </w:tc>
      </w:tr>
      <w:tr w:rsidR="00266517" w:rsidRPr="00171FF3" w14:paraId="67B7D05F" w14:textId="10ED5F73" w:rsidTr="00266517">
        <w:trPr>
          <w:trHeight w:val="288"/>
        </w:trPr>
        <w:tc>
          <w:tcPr>
            <w:tcW w:w="1396" w:type="pct"/>
            <w:shd w:val="clear" w:color="auto" w:fill="auto"/>
            <w:noWrap/>
            <w:vAlign w:val="bottom"/>
            <w:hideMark/>
          </w:tcPr>
          <w:p w14:paraId="0D490AE0" w14:textId="77777777" w:rsidR="00266517" w:rsidRPr="00171FF3" w:rsidRDefault="00266517" w:rsidP="00266517">
            <w:pPr>
              <w:pStyle w:val="TableText"/>
            </w:pPr>
            <w:r w:rsidRPr="00171FF3">
              <w:t>Gompertz</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4632D8EA" w14:textId="3C3415FC" w:rsidR="00266517" w:rsidRPr="00266517" w:rsidRDefault="00266517" w:rsidP="00266517">
            <w:pPr>
              <w:pStyle w:val="TableText"/>
            </w:pPr>
            <w:r w:rsidRPr="00266517">
              <w:t>639.8</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862EC" w14:textId="62D351E7" w:rsidR="00266517" w:rsidRPr="00266517" w:rsidRDefault="00266517" w:rsidP="00266517">
            <w:pPr>
              <w:pStyle w:val="TableText"/>
            </w:pPr>
            <w:r w:rsidRPr="00266517">
              <w:t>645</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7D7380F0" w14:textId="42079D1D" w:rsidR="00266517" w:rsidRPr="00266517" w:rsidRDefault="00266517" w:rsidP="00266517">
            <w:pPr>
              <w:pStyle w:val="TableText"/>
            </w:pPr>
            <w:r w:rsidRPr="00266517">
              <w:t>539.5</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53265FF0" w14:textId="392326B2" w:rsidR="00266517" w:rsidRPr="00266517" w:rsidRDefault="00266517" w:rsidP="00266517">
            <w:pPr>
              <w:pStyle w:val="TableText"/>
            </w:pPr>
            <w:r w:rsidRPr="00266517">
              <w:t>544</w:t>
            </w:r>
          </w:p>
        </w:tc>
      </w:tr>
      <w:tr w:rsidR="00266517" w:rsidRPr="00171FF3" w14:paraId="1C8B16CF" w14:textId="023B51A2" w:rsidTr="00266517">
        <w:trPr>
          <w:trHeight w:val="288"/>
        </w:trPr>
        <w:tc>
          <w:tcPr>
            <w:tcW w:w="1396" w:type="pct"/>
            <w:shd w:val="clear" w:color="auto" w:fill="auto"/>
            <w:noWrap/>
            <w:vAlign w:val="bottom"/>
            <w:hideMark/>
          </w:tcPr>
          <w:p w14:paraId="11C1C826" w14:textId="77777777" w:rsidR="00266517" w:rsidRPr="00171FF3" w:rsidRDefault="00266517" w:rsidP="00266517">
            <w:pPr>
              <w:pStyle w:val="TableText"/>
            </w:pPr>
            <w:r w:rsidRPr="00171FF3">
              <w:t>L</w:t>
            </w:r>
            <w:r>
              <w:t xml:space="preserve">og </w:t>
            </w:r>
            <w:r w:rsidRPr="00171FF3">
              <w:t>logistic</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5228020A" w14:textId="13DA74D8" w:rsidR="00266517" w:rsidRPr="00266517" w:rsidRDefault="00266517" w:rsidP="00266517">
            <w:pPr>
              <w:pStyle w:val="TableText"/>
              <w:rPr>
                <w:b/>
              </w:rPr>
            </w:pPr>
            <w:r w:rsidRPr="00266517">
              <w:rPr>
                <w:b/>
              </w:rPr>
              <w:t>639.2</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283A" w14:textId="190DCABF" w:rsidR="00266517" w:rsidRPr="00266517" w:rsidRDefault="00266517" w:rsidP="00266517">
            <w:pPr>
              <w:pStyle w:val="TableText"/>
              <w:rPr>
                <w:b/>
              </w:rPr>
            </w:pPr>
            <w:r w:rsidRPr="00266517">
              <w:rPr>
                <w:b/>
              </w:rPr>
              <w:t>644.3</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38B7665B" w14:textId="1490473E" w:rsidR="00266517" w:rsidRPr="00266517" w:rsidRDefault="00266517" w:rsidP="00266517">
            <w:pPr>
              <w:pStyle w:val="TableText"/>
            </w:pPr>
            <w:r w:rsidRPr="00266517">
              <w:t>542.1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6EDE74DE" w14:textId="7E09E16C" w:rsidR="00266517" w:rsidRPr="00266517" w:rsidRDefault="00266517" w:rsidP="00266517">
            <w:pPr>
              <w:pStyle w:val="TableText"/>
            </w:pPr>
            <w:r w:rsidRPr="00266517">
              <w:t>546.6</w:t>
            </w:r>
          </w:p>
        </w:tc>
      </w:tr>
      <w:tr w:rsidR="00266517" w:rsidRPr="00171FF3" w14:paraId="64C63D1B" w14:textId="67366840" w:rsidTr="00266517">
        <w:trPr>
          <w:trHeight w:val="288"/>
        </w:trPr>
        <w:tc>
          <w:tcPr>
            <w:tcW w:w="1396" w:type="pct"/>
            <w:shd w:val="clear" w:color="auto" w:fill="auto"/>
            <w:noWrap/>
            <w:vAlign w:val="bottom"/>
            <w:hideMark/>
          </w:tcPr>
          <w:p w14:paraId="1EF6BF98" w14:textId="77777777" w:rsidR="00266517" w:rsidRPr="00171FF3" w:rsidRDefault="00266517" w:rsidP="00266517">
            <w:pPr>
              <w:pStyle w:val="TableText"/>
            </w:pPr>
            <w:r w:rsidRPr="00171FF3">
              <w:t>L</w:t>
            </w:r>
            <w:r>
              <w:t xml:space="preserve">og </w:t>
            </w:r>
            <w:r w:rsidRPr="00171FF3">
              <w:t>normal</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7B20ED20" w14:textId="2E9C8E11" w:rsidR="00266517" w:rsidRPr="00266517" w:rsidRDefault="00266517" w:rsidP="00266517">
            <w:pPr>
              <w:pStyle w:val="TableText"/>
            </w:pPr>
            <w:r w:rsidRPr="00266517">
              <w:t>640.3</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5ECB2" w14:textId="55BF3753" w:rsidR="00266517" w:rsidRPr="00266517" w:rsidRDefault="00266517" w:rsidP="00266517">
            <w:pPr>
              <w:pStyle w:val="TableText"/>
            </w:pPr>
            <w:r w:rsidRPr="00266517">
              <w:t>645.4</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2D4A45FA" w14:textId="5C19EC83" w:rsidR="00266517" w:rsidRPr="00266517" w:rsidRDefault="00266517" w:rsidP="00266517">
            <w:pPr>
              <w:pStyle w:val="TableText"/>
            </w:pPr>
            <w:r w:rsidRPr="00266517">
              <w:t>543.9</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156B62C9" w14:textId="6993363A" w:rsidR="00266517" w:rsidRPr="00266517" w:rsidRDefault="00266517" w:rsidP="00266517">
            <w:pPr>
              <w:pStyle w:val="TableText"/>
            </w:pPr>
            <w:r w:rsidRPr="00266517">
              <w:t>548.4</w:t>
            </w:r>
          </w:p>
        </w:tc>
      </w:tr>
      <w:tr w:rsidR="00266517" w:rsidRPr="00171FF3" w14:paraId="7655EE72" w14:textId="53B98020" w:rsidTr="00266517">
        <w:trPr>
          <w:trHeight w:val="288"/>
        </w:trPr>
        <w:tc>
          <w:tcPr>
            <w:tcW w:w="1396" w:type="pct"/>
            <w:shd w:val="clear" w:color="auto" w:fill="auto"/>
            <w:noWrap/>
            <w:vAlign w:val="bottom"/>
            <w:hideMark/>
          </w:tcPr>
          <w:p w14:paraId="242329D9" w14:textId="77777777" w:rsidR="00266517" w:rsidRPr="00171FF3" w:rsidRDefault="00266517" w:rsidP="00266517">
            <w:pPr>
              <w:pStyle w:val="TableText"/>
            </w:pPr>
            <w:r w:rsidRPr="00171FF3">
              <w:t>Gen</w:t>
            </w:r>
            <w:r>
              <w:t xml:space="preserve">eralised </w:t>
            </w:r>
            <w:r w:rsidRPr="00171FF3">
              <w:t>Gamma</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74093907" w14:textId="40314531" w:rsidR="00266517" w:rsidRPr="00266517" w:rsidRDefault="00266517" w:rsidP="00266517">
            <w:pPr>
              <w:pStyle w:val="TableText"/>
            </w:pPr>
            <w:r w:rsidRPr="00266517">
              <w:t>641.4</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DC186" w14:textId="2F732101" w:rsidR="00266517" w:rsidRPr="00266517" w:rsidRDefault="00266517" w:rsidP="00266517">
            <w:pPr>
              <w:pStyle w:val="TableText"/>
            </w:pPr>
            <w:r w:rsidRPr="00266517">
              <w:t>649.1</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0E7533EE" w14:textId="4F944AB4" w:rsidR="00266517" w:rsidRPr="00266517" w:rsidRDefault="00266517" w:rsidP="00266517">
            <w:pPr>
              <w:pStyle w:val="TableText"/>
            </w:pPr>
            <w:r w:rsidRPr="00266517">
              <w:t>540.1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4155DEF1" w14:textId="0702A9FF" w:rsidR="00266517" w:rsidRPr="00266517" w:rsidRDefault="00266517" w:rsidP="00266517">
            <w:pPr>
              <w:pStyle w:val="TableText"/>
            </w:pPr>
            <w:r w:rsidRPr="00266517">
              <w:t>546.9</w:t>
            </w:r>
          </w:p>
        </w:tc>
      </w:tr>
      <w:tr w:rsidR="00266517" w:rsidRPr="00171FF3" w14:paraId="54674BDF" w14:textId="1656A735" w:rsidTr="00266517">
        <w:trPr>
          <w:trHeight w:val="288"/>
        </w:trPr>
        <w:tc>
          <w:tcPr>
            <w:tcW w:w="5000" w:type="pct"/>
            <w:gridSpan w:val="5"/>
            <w:shd w:val="clear" w:color="auto" w:fill="auto"/>
            <w:noWrap/>
            <w:vAlign w:val="bottom"/>
          </w:tcPr>
          <w:p w14:paraId="21AD2412" w14:textId="1F81DA90" w:rsidR="00266517" w:rsidRPr="00171FF3" w:rsidRDefault="00266517" w:rsidP="00266517">
            <w:pPr>
              <w:pStyle w:val="Legend"/>
              <w:rPr>
                <w:b/>
              </w:rPr>
            </w:pPr>
            <w:r w:rsidRPr="00171FF3">
              <w:rPr>
                <w:b/>
              </w:rPr>
              <w:t>Key:</w:t>
            </w:r>
            <w:r>
              <w:t xml:space="preserve"> AIC, Akaike information criterion; BIC, Bayesian information criterion; PFS, progression-free survival.</w:t>
            </w:r>
          </w:p>
        </w:tc>
      </w:tr>
    </w:tbl>
    <w:p w14:paraId="19D68E45" w14:textId="77777777" w:rsidR="00266517" w:rsidRPr="00171FF3" w:rsidRDefault="00266517" w:rsidP="00266517"/>
    <w:p w14:paraId="571CA1E4" w14:textId="64BC9D41" w:rsidR="00266517" w:rsidRDefault="00266517" w:rsidP="00266517">
      <w:pPr>
        <w:pStyle w:val="Caption"/>
      </w:pPr>
      <w:bookmarkStart w:id="6" w:name="_Ref11661888"/>
      <w:r>
        <w:t xml:space="preserve">Supplementary Figure </w:t>
      </w:r>
      <w:r w:rsidR="00D67538">
        <w:rPr>
          <w:noProof/>
        </w:rPr>
        <w:fldChar w:fldCharType="begin"/>
      </w:r>
      <w:r w:rsidR="00D67538">
        <w:rPr>
          <w:noProof/>
        </w:rPr>
        <w:instrText xml:space="preserve"> SEQ Figure \* ARABIC </w:instrText>
      </w:r>
      <w:r w:rsidR="00D67538">
        <w:rPr>
          <w:noProof/>
        </w:rPr>
        <w:fldChar w:fldCharType="separate"/>
      </w:r>
      <w:r w:rsidR="00D80D85">
        <w:rPr>
          <w:noProof/>
        </w:rPr>
        <w:t>3</w:t>
      </w:r>
      <w:r w:rsidR="00D67538">
        <w:rPr>
          <w:noProof/>
        </w:rPr>
        <w:fldChar w:fldCharType="end"/>
      </w:r>
      <w:bookmarkEnd w:id="6"/>
      <w:r>
        <w:t>: PFS KM data with standard parametric curve fittings – pembrolizumab</w:t>
      </w:r>
    </w:p>
    <w:p w14:paraId="007B83D8" w14:textId="2D7CE2D7" w:rsidR="00266517" w:rsidRPr="00BC0AE8" w:rsidRDefault="00266517" w:rsidP="00266517">
      <w:r>
        <w:rPr>
          <w:noProof/>
        </w:rPr>
        <w:drawing>
          <wp:inline distT="0" distB="0" distL="0" distR="0" wp14:anchorId="4F05D3DE" wp14:editId="4BAF9CAB">
            <wp:extent cx="4982400" cy="3003671"/>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2400" cy="3003671"/>
                    </a:xfrm>
                    <a:prstGeom prst="rect">
                      <a:avLst/>
                    </a:prstGeom>
                    <a:noFill/>
                  </pic:spPr>
                </pic:pic>
              </a:graphicData>
            </a:graphic>
          </wp:inline>
        </w:drawing>
      </w:r>
    </w:p>
    <w:p w14:paraId="1D7DAB0B" w14:textId="77777777" w:rsidR="00266517" w:rsidRDefault="00266517" w:rsidP="00266517">
      <w:pPr>
        <w:pStyle w:val="Legend"/>
        <w:rPr>
          <w:lang w:val="en-US"/>
        </w:rPr>
      </w:pPr>
    </w:p>
    <w:p w14:paraId="791799F6" w14:textId="2E85ECB7" w:rsidR="00266517" w:rsidRDefault="00266517" w:rsidP="00266517">
      <w:pPr>
        <w:pStyle w:val="Legend"/>
        <w:rPr>
          <w:lang w:val="en-US"/>
        </w:rPr>
      </w:pPr>
      <w:r w:rsidRPr="00171FF3">
        <w:rPr>
          <w:b/>
          <w:lang w:val="en-US"/>
        </w:rPr>
        <w:t>Key:</w:t>
      </w:r>
      <w:r>
        <w:rPr>
          <w:lang w:val="en-US"/>
        </w:rPr>
        <w:t xml:space="preserve"> KM, Kaplan-Meier; PFS, progression-free survival.</w:t>
      </w:r>
    </w:p>
    <w:p w14:paraId="247B323D" w14:textId="77777777" w:rsidR="00266517" w:rsidRDefault="00266517" w:rsidP="00266517">
      <w:pPr>
        <w:rPr>
          <w:b/>
          <w:u w:val="single"/>
          <w:lang w:val="en-US"/>
        </w:rPr>
      </w:pPr>
    </w:p>
    <w:p w14:paraId="25431CB0" w14:textId="1AF9B8A2" w:rsidR="00266517" w:rsidRDefault="00266517" w:rsidP="00266517">
      <w:pPr>
        <w:pStyle w:val="Caption"/>
      </w:pPr>
      <w:bookmarkStart w:id="7" w:name="_Ref11661889"/>
      <w:r>
        <w:lastRenderedPageBreak/>
        <w:t xml:space="preserve">Supplementary Figure </w:t>
      </w:r>
      <w:r w:rsidR="00D67538">
        <w:rPr>
          <w:noProof/>
        </w:rPr>
        <w:fldChar w:fldCharType="begin"/>
      </w:r>
      <w:r w:rsidR="00D67538">
        <w:rPr>
          <w:noProof/>
        </w:rPr>
        <w:instrText xml:space="preserve"> SEQ Figure \* ARABIC </w:instrText>
      </w:r>
      <w:r w:rsidR="00D67538">
        <w:rPr>
          <w:noProof/>
        </w:rPr>
        <w:fldChar w:fldCharType="separate"/>
      </w:r>
      <w:r w:rsidR="00D80D85">
        <w:rPr>
          <w:noProof/>
        </w:rPr>
        <w:t>4</w:t>
      </w:r>
      <w:r w:rsidR="00D67538">
        <w:rPr>
          <w:noProof/>
        </w:rPr>
        <w:fldChar w:fldCharType="end"/>
      </w:r>
      <w:bookmarkEnd w:id="7"/>
      <w:r>
        <w:t>: PFS KM data with standard parametric curve fittings – chemotherapy</w:t>
      </w:r>
    </w:p>
    <w:p w14:paraId="1AB04D34" w14:textId="267295B4" w:rsidR="00266517" w:rsidRPr="00BC0AE8" w:rsidRDefault="00266517" w:rsidP="00266517">
      <w:r>
        <w:rPr>
          <w:noProof/>
        </w:rPr>
        <w:drawing>
          <wp:inline distT="0" distB="0" distL="0" distR="0" wp14:anchorId="72744DF0" wp14:editId="32B0F1BA">
            <wp:extent cx="4982400" cy="3078359"/>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2400" cy="3078359"/>
                    </a:xfrm>
                    <a:prstGeom prst="rect">
                      <a:avLst/>
                    </a:prstGeom>
                    <a:noFill/>
                  </pic:spPr>
                </pic:pic>
              </a:graphicData>
            </a:graphic>
          </wp:inline>
        </w:drawing>
      </w:r>
    </w:p>
    <w:p w14:paraId="788E7F61" w14:textId="77777777" w:rsidR="00266517" w:rsidRDefault="00266517" w:rsidP="00266517">
      <w:pPr>
        <w:pStyle w:val="Legend"/>
        <w:rPr>
          <w:lang w:val="en-US"/>
        </w:rPr>
      </w:pPr>
    </w:p>
    <w:p w14:paraId="0DB9B4FC" w14:textId="77777777" w:rsidR="00266517" w:rsidRDefault="00266517" w:rsidP="00266517">
      <w:pPr>
        <w:pStyle w:val="Legend"/>
        <w:rPr>
          <w:lang w:val="en-US"/>
        </w:rPr>
      </w:pPr>
      <w:r w:rsidRPr="00171FF3">
        <w:rPr>
          <w:b/>
          <w:lang w:val="en-US"/>
        </w:rPr>
        <w:t>Key:</w:t>
      </w:r>
      <w:r>
        <w:rPr>
          <w:lang w:val="en-US"/>
        </w:rPr>
        <w:t xml:space="preserve"> KM, Kaplan-Meier; PFS, progression-free survival.</w:t>
      </w:r>
    </w:p>
    <w:p w14:paraId="1BE23ADA" w14:textId="77777777" w:rsidR="00266517" w:rsidRDefault="00266517" w:rsidP="00266517">
      <w:pPr>
        <w:rPr>
          <w:b/>
          <w:u w:val="single"/>
          <w:lang w:val="en-US"/>
        </w:rPr>
      </w:pPr>
    </w:p>
    <w:p w14:paraId="03098B0E" w14:textId="77777777" w:rsidR="00422812" w:rsidRDefault="00422812" w:rsidP="00266517">
      <w:pPr>
        <w:rPr>
          <w:b/>
          <w:u w:val="single"/>
          <w:lang w:val="en-US"/>
        </w:rPr>
      </w:pPr>
      <w:r>
        <w:rPr>
          <w:b/>
          <w:u w:val="single"/>
          <w:lang w:val="en-US"/>
        </w:rPr>
        <w:t>Overall survival</w:t>
      </w:r>
    </w:p>
    <w:p w14:paraId="1497B235" w14:textId="72248857" w:rsidR="001E7052" w:rsidRDefault="001E7052" w:rsidP="00266517">
      <w:pPr>
        <w:rPr>
          <w:rFonts w:cs="Arial"/>
          <w:lang w:val="en-US"/>
        </w:rPr>
      </w:pPr>
      <w:r w:rsidRPr="006054DE">
        <w:rPr>
          <w:rFonts w:cs="Arial"/>
          <w:lang w:val="en-US"/>
        </w:rPr>
        <w:t xml:space="preserve">In the model base case, the log-logistic parametric function was used after the cut-off point </w:t>
      </w:r>
      <w:r>
        <w:rPr>
          <w:rFonts w:cs="Arial"/>
          <w:lang w:val="en-US"/>
        </w:rPr>
        <w:t xml:space="preserve">(32-weeks) </w:t>
      </w:r>
      <w:r w:rsidRPr="006054DE">
        <w:rPr>
          <w:rFonts w:cs="Arial"/>
          <w:lang w:val="en-US"/>
        </w:rPr>
        <w:t xml:space="preserve">for the pembrolizumab based </w:t>
      </w:r>
      <w:r w:rsidRPr="006054DE">
        <w:rPr>
          <w:rStyle w:val="CommentReference"/>
          <w:rFonts w:cs="Arial"/>
          <w:color w:val="000000" w:themeColor="text1"/>
          <w:sz w:val="22"/>
          <w:szCs w:val="22"/>
          <w:lang w:val="en-US"/>
        </w:rPr>
        <w:t>on the AIC, the BIC and visual inspection</w:t>
      </w:r>
      <w:r w:rsidRPr="006054DE">
        <w:rPr>
          <w:rFonts w:cs="Arial"/>
          <w:lang w:val="en-US"/>
        </w:rPr>
        <w:t xml:space="preserve">. For the usual care arm, the exponential parametric function was used after the cut-off </w:t>
      </w:r>
      <w:r>
        <w:rPr>
          <w:rFonts w:cs="Arial"/>
          <w:lang w:val="en-US"/>
        </w:rPr>
        <w:t xml:space="preserve">(32-weeks) </w:t>
      </w:r>
      <w:r w:rsidRPr="006054DE">
        <w:rPr>
          <w:rFonts w:cs="Arial"/>
          <w:lang w:val="en-US"/>
        </w:rPr>
        <w:t>based on BIC and visual inspection</w:t>
      </w:r>
      <w:r>
        <w:rPr>
          <w:rFonts w:cs="Arial"/>
          <w:lang w:val="en-US"/>
        </w:rPr>
        <w:t xml:space="preserve"> (</w:t>
      </w:r>
      <w:r>
        <w:rPr>
          <w:rFonts w:cs="Arial"/>
          <w:lang w:val="en-US"/>
        </w:rPr>
        <w:fldChar w:fldCharType="begin"/>
      </w:r>
      <w:r>
        <w:rPr>
          <w:rFonts w:cs="Arial"/>
          <w:lang w:val="en-US"/>
        </w:rPr>
        <w:instrText xml:space="preserve"> REF _Ref11662243 \h </w:instrText>
      </w:r>
      <w:r>
        <w:rPr>
          <w:rFonts w:cs="Arial"/>
          <w:lang w:val="en-US"/>
        </w:rPr>
      </w:r>
      <w:r>
        <w:rPr>
          <w:rFonts w:cs="Arial"/>
          <w:lang w:val="en-US"/>
        </w:rPr>
        <w:fldChar w:fldCharType="separate"/>
      </w:r>
      <w:r w:rsidR="00D80D85">
        <w:t xml:space="preserve">Supplementary Table </w:t>
      </w:r>
      <w:r w:rsidR="00D80D85">
        <w:rPr>
          <w:noProof/>
        </w:rPr>
        <w:t>4</w:t>
      </w:r>
      <w:r>
        <w:rPr>
          <w:rFonts w:cs="Arial"/>
          <w:lang w:val="en-US"/>
        </w:rPr>
        <w:fldChar w:fldCharType="end"/>
      </w:r>
      <w:r>
        <w:rPr>
          <w:rFonts w:cs="Arial"/>
          <w:lang w:val="en-US"/>
        </w:rPr>
        <w:t xml:space="preserve">, </w:t>
      </w:r>
      <w:r>
        <w:rPr>
          <w:rFonts w:cs="Arial"/>
          <w:lang w:val="en-US"/>
        </w:rPr>
        <w:fldChar w:fldCharType="begin"/>
      </w:r>
      <w:r>
        <w:rPr>
          <w:rFonts w:cs="Arial"/>
          <w:lang w:val="en-US"/>
        </w:rPr>
        <w:instrText xml:space="preserve"> REF _Ref11662249 \h </w:instrText>
      </w:r>
      <w:r>
        <w:rPr>
          <w:rFonts w:cs="Arial"/>
          <w:lang w:val="en-US"/>
        </w:rPr>
      </w:r>
      <w:r>
        <w:rPr>
          <w:rFonts w:cs="Arial"/>
          <w:lang w:val="en-US"/>
        </w:rPr>
        <w:fldChar w:fldCharType="separate"/>
      </w:r>
      <w:r w:rsidR="00D80D85">
        <w:t xml:space="preserve">Supplementary Figure </w:t>
      </w:r>
      <w:r w:rsidR="00D80D85">
        <w:rPr>
          <w:noProof/>
        </w:rPr>
        <w:t>5</w:t>
      </w:r>
      <w:r>
        <w:rPr>
          <w:rFonts w:cs="Arial"/>
          <w:lang w:val="en-US"/>
        </w:rPr>
        <w:fldChar w:fldCharType="end"/>
      </w:r>
      <w:r>
        <w:rPr>
          <w:rFonts w:cs="Arial"/>
          <w:lang w:val="en-US"/>
        </w:rPr>
        <w:t xml:space="preserve"> and </w:t>
      </w:r>
      <w:r>
        <w:rPr>
          <w:rFonts w:cs="Arial"/>
          <w:lang w:val="en-US"/>
        </w:rPr>
        <w:fldChar w:fldCharType="begin"/>
      </w:r>
      <w:r>
        <w:rPr>
          <w:rFonts w:cs="Arial"/>
          <w:lang w:val="en-US"/>
        </w:rPr>
        <w:instrText xml:space="preserve"> REF _Ref11662250 \h </w:instrText>
      </w:r>
      <w:r>
        <w:rPr>
          <w:rFonts w:cs="Arial"/>
          <w:lang w:val="en-US"/>
        </w:rPr>
      </w:r>
      <w:r>
        <w:rPr>
          <w:rFonts w:cs="Arial"/>
          <w:lang w:val="en-US"/>
        </w:rPr>
        <w:fldChar w:fldCharType="separate"/>
      </w:r>
      <w:r w:rsidR="00D80D85">
        <w:t xml:space="preserve">Supplementary Figure </w:t>
      </w:r>
      <w:r w:rsidR="00D80D85">
        <w:rPr>
          <w:noProof/>
        </w:rPr>
        <w:t>6</w:t>
      </w:r>
      <w:r>
        <w:rPr>
          <w:rFonts w:cs="Arial"/>
          <w:lang w:val="en-US"/>
        </w:rPr>
        <w:fldChar w:fldCharType="end"/>
      </w:r>
      <w:r>
        <w:rPr>
          <w:rFonts w:cs="Arial"/>
          <w:lang w:val="en-US"/>
        </w:rPr>
        <w:t>)</w:t>
      </w:r>
      <w:r w:rsidRPr="006054DE">
        <w:rPr>
          <w:rFonts w:cs="Arial"/>
          <w:lang w:val="en-US"/>
        </w:rPr>
        <w:t>.</w:t>
      </w:r>
    </w:p>
    <w:p w14:paraId="1A9C5075" w14:textId="7E8F72BE" w:rsidR="001E7052" w:rsidRDefault="001E7052" w:rsidP="001E7052">
      <w:pPr>
        <w:pStyle w:val="Caption"/>
      </w:pPr>
      <w:bookmarkStart w:id="8" w:name="_Ref11662243"/>
      <w:r>
        <w:t xml:space="preserve">Supplementary Table </w:t>
      </w:r>
      <w:r w:rsidR="00D67538">
        <w:rPr>
          <w:noProof/>
        </w:rPr>
        <w:fldChar w:fldCharType="begin"/>
      </w:r>
      <w:r w:rsidR="00D67538">
        <w:rPr>
          <w:noProof/>
        </w:rPr>
        <w:instrText xml:space="preserve"> SEQ Table \* ARABIC </w:instrText>
      </w:r>
      <w:r w:rsidR="00D67538">
        <w:rPr>
          <w:noProof/>
        </w:rPr>
        <w:fldChar w:fldCharType="separate"/>
      </w:r>
      <w:r w:rsidR="00D80D85">
        <w:rPr>
          <w:noProof/>
        </w:rPr>
        <w:t>4</w:t>
      </w:r>
      <w:r w:rsidR="00D67538">
        <w:rPr>
          <w:noProof/>
        </w:rPr>
        <w:fldChar w:fldCharType="end"/>
      </w:r>
      <w:bookmarkEnd w:id="8"/>
      <w:r>
        <w:t xml:space="preserve">: OS – AIC and BIC statistics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733"/>
        <w:gridCol w:w="1735"/>
        <w:gridCol w:w="1733"/>
        <w:gridCol w:w="1739"/>
      </w:tblGrid>
      <w:tr w:rsidR="001E7052" w:rsidRPr="00171FF3" w14:paraId="12F12BEE" w14:textId="77777777" w:rsidTr="00D67538">
        <w:trPr>
          <w:trHeight w:val="288"/>
          <w:tblHeader/>
        </w:trPr>
        <w:tc>
          <w:tcPr>
            <w:tcW w:w="1396" w:type="pct"/>
            <w:vMerge w:val="restart"/>
            <w:shd w:val="clear" w:color="auto" w:fill="auto"/>
            <w:noWrap/>
            <w:vAlign w:val="bottom"/>
          </w:tcPr>
          <w:p w14:paraId="79C74AA1" w14:textId="77777777" w:rsidR="001E7052" w:rsidRPr="00171FF3" w:rsidRDefault="001E7052" w:rsidP="00D67538">
            <w:pPr>
              <w:pStyle w:val="Tableheader"/>
              <w:rPr>
                <w:color w:val="auto"/>
              </w:rPr>
            </w:pPr>
            <w:r w:rsidRPr="00171FF3">
              <w:rPr>
                <w:color w:val="auto"/>
              </w:rPr>
              <w:t> Distribution</w:t>
            </w:r>
          </w:p>
        </w:tc>
        <w:tc>
          <w:tcPr>
            <w:tcW w:w="1801" w:type="pct"/>
            <w:gridSpan w:val="2"/>
            <w:shd w:val="clear" w:color="auto" w:fill="auto"/>
            <w:noWrap/>
            <w:vAlign w:val="bottom"/>
          </w:tcPr>
          <w:p w14:paraId="6D86F02E" w14:textId="77777777" w:rsidR="001E7052" w:rsidRPr="00171FF3" w:rsidRDefault="001E7052" w:rsidP="00D67538">
            <w:pPr>
              <w:pStyle w:val="Tableheader"/>
              <w:rPr>
                <w:color w:val="auto"/>
              </w:rPr>
            </w:pPr>
            <w:r>
              <w:rPr>
                <w:color w:val="auto"/>
              </w:rPr>
              <w:t>Pembrolizumab</w:t>
            </w:r>
          </w:p>
        </w:tc>
        <w:tc>
          <w:tcPr>
            <w:tcW w:w="1803" w:type="pct"/>
            <w:gridSpan w:val="2"/>
          </w:tcPr>
          <w:p w14:paraId="6CB911EA" w14:textId="77777777" w:rsidR="001E7052" w:rsidRPr="00171FF3" w:rsidRDefault="001E7052" w:rsidP="00D67538">
            <w:pPr>
              <w:pStyle w:val="Tableheader"/>
              <w:rPr>
                <w:color w:val="auto"/>
              </w:rPr>
            </w:pPr>
            <w:r>
              <w:rPr>
                <w:color w:val="auto"/>
              </w:rPr>
              <w:t>Chemotherapy</w:t>
            </w:r>
          </w:p>
        </w:tc>
      </w:tr>
      <w:tr w:rsidR="001E7052" w:rsidRPr="00171FF3" w14:paraId="5A9B18BD" w14:textId="77777777" w:rsidTr="001E7052">
        <w:trPr>
          <w:trHeight w:val="288"/>
          <w:tblHeader/>
        </w:trPr>
        <w:tc>
          <w:tcPr>
            <w:tcW w:w="1396" w:type="pct"/>
            <w:vMerge/>
            <w:shd w:val="clear" w:color="auto" w:fill="auto"/>
            <w:noWrap/>
            <w:vAlign w:val="bottom"/>
            <w:hideMark/>
          </w:tcPr>
          <w:p w14:paraId="492F0EEB" w14:textId="77777777" w:rsidR="001E7052" w:rsidRPr="00171FF3" w:rsidRDefault="001E7052" w:rsidP="00D67538">
            <w:pPr>
              <w:pStyle w:val="Tableheader"/>
              <w:rPr>
                <w:color w:val="auto"/>
              </w:rPr>
            </w:pPr>
          </w:p>
        </w:tc>
        <w:tc>
          <w:tcPr>
            <w:tcW w:w="900" w:type="pct"/>
            <w:tcBorders>
              <w:bottom w:val="single" w:sz="4" w:space="0" w:color="auto"/>
            </w:tcBorders>
            <w:shd w:val="clear" w:color="auto" w:fill="auto"/>
            <w:noWrap/>
            <w:vAlign w:val="bottom"/>
            <w:hideMark/>
          </w:tcPr>
          <w:p w14:paraId="2D5C35D3" w14:textId="77777777" w:rsidR="001E7052" w:rsidRPr="00171FF3" w:rsidRDefault="001E7052" w:rsidP="00D67538">
            <w:pPr>
              <w:pStyle w:val="Tableheader"/>
              <w:rPr>
                <w:color w:val="auto"/>
              </w:rPr>
            </w:pPr>
            <w:r w:rsidRPr="00171FF3">
              <w:rPr>
                <w:color w:val="auto"/>
              </w:rPr>
              <w:t>AIC</w:t>
            </w:r>
          </w:p>
        </w:tc>
        <w:tc>
          <w:tcPr>
            <w:tcW w:w="901" w:type="pct"/>
            <w:tcBorders>
              <w:bottom w:val="single" w:sz="4" w:space="0" w:color="auto"/>
            </w:tcBorders>
            <w:shd w:val="clear" w:color="auto" w:fill="auto"/>
            <w:noWrap/>
            <w:vAlign w:val="bottom"/>
            <w:hideMark/>
          </w:tcPr>
          <w:p w14:paraId="45899B12" w14:textId="77777777" w:rsidR="001E7052" w:rsidRPr="00171FF3" w:rsidRDefault="001E7052" w:rsidP="00D67538">
            <w:pPr>
              <w:pStyle w:val="Tableheader"/>
              <w:rPr>
                <w:color w:val="auto"/>
              </w:rPr>
            </w:pPr>
            <w:r w:rsidRPr="00171FF3">
              <w:rPr>
                <w:color w:val="auto"/>
              </w:rPr>
              <w:t>BIC</w:t>
            </w:r>
          </w:p>
        </w:tc>
        <w:tc>
          <w:tcPr>
            <w:tcW w:w="900" w:type="pct"/>
            <w:tcBorders>
              <w:bottom w:val="single" w:sz="4" w:space="0" w:color="auto"/>
            </w:tcBorders>
            <w:vAlign w:val="bottom"/>
          </w:tcPr>
          <w:p w14:paraId="4B0EDCF4" w14:textId="77777777" w:rsidR="001E7052" w:rsidRPr="00171FF3" w:rsidRDefault="001E7052" w:rsidP="00D67538">
            <w:pPr>
              <w:pStyle w:val="Tableheader"/>
              <w:rPr>
                <w:color w:val="auto"/>
              </w:rPr>
            </w:pPr>
            <w:r w:rsidRPr="00171FF3">
              <w:rPr>
                <w:color w:val="auto"/>
              </w:rPr>
              <w:t>AIC</w:t>
            </w:r>
          </w:p>
        </w:tc>
        <w:tc>
          <w:tcPr>
            <w:tcW w:w="903" w:type="pct"/>
            <w:tcBorders>
              <w:bottom w:val="single" w:sz="4" w:space="0" w:color="auto"/>
            </w:tcBorders>
            <w:vAlign w:val="bottom"/>
          </w:tcPr>
          <w:p w14:paraId="143F4733" w14:textId="77777777" w:rsidR="001E7052" w:rsidRPr="00171FF3" w:rsidRDefault="001E7052" w:rsidP="00D67538">
            <w:pPr>
              <w:pStyle w:val="Tableheader"/>
              <w:rPr>
                <w:color w:val="auto"/>
              </w:rPr>
            </w:pPr>
            <w:r w:rsidRPr="00171FF3">
              <w:rPr>
                <w:color w:val="auto"/>
              </w:rPr>
              <w:t>BIC</w:t>
            </w:r>
          </w:p>
        </w:tc>
      </w:tr>
      <w:tr w:rsidR="001E7052" w:rsidRPr="00171FF3" w14:paraId="2EDA2E00" w14:textId="77777777" w:rsidTr="001E7052">
        <w:trPr>
          <w:trHeight w:val="288"/>
        </w:trPr>
        <w:tc>
          <w:tcPr>
            <w:tcW w:w="1396" w:type="pct"/>
            <w:shd w:val="clear" w:color="auto" w:fill="auto"/>
            <w:noWrap/>
            <w:vAlign w:val="bottom"/>
            <w:hideMark/>
          </w:tcPr>
          <w:p w14:paraId="0B10E0C2" w14:textId="77777777" w:rsidR="001E7052" w:rsidRPr="00171FF3" w:rsidRDefault="001E7052" w:rsidP="001E7052">
            <w:pPr>
              <w:pStyle w:val="TableText"/>
            </w:pPr>
            <w:r w:rsidRPr="00171FF3">
              <w:t>Exponential</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218B1AA4" w14:textId="7E7F07EA" w:rsidR="001E7052" w:rsidRPr="001E7052" w:rsidRDefault="001E7052" w:rsidP="001E7052">
            <w:pPr>
              <w:pStyle w:val="TableText"/>
            </w:pPr>
            <w:r w:rsidRPr="001E7052">
              <w:t>1019.3</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9C6D7" w14:textId="725D0553" w:rsidR="001E7052" w:rsidRPr="001E7052" w:rsidRDefault="001E7052" w:rsidP="001E7052">
            <w:pPr>
              <w:pStyle w:val="TableText"/>
            </w:pPr>
            <w:r w:rsidRPr="001E7052">
              <w:t>1022.3</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709E07F6" w14:textId="2926D574" w:rsidR="001E7052" w:rsidRPr="001E7052" w:rsidRDefault="001E7052" w:rsidP="001E7052">
            <w:pPr>
              <w:pStyle w:val="TableText"/>
            </w:pPr>
            <w:r w:rsidRPr="001E7052">
              <w:t>482.5</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79A44AE5" w14:textId="53F98588" w:rsidR="001E7052" w:rsidRPr="001E7052" w:rsidRDefault="001E7052" w:rsidP="001E7052">
            <w:pPr>
              <w:pStyle w:val="TableText"/>
              <w:rPr>
                <w:b/>
              </w:rPr>
            </w:pPr>
            <w:r w:rsidRPr="001E7052">
              <w:rPr>
                <w:b/>
              </w:rPr>
              <w:t>484.8</w:t>
            </w:r>
          </w:p>
        </w:tc>
      </w:tr>
      <w:tr w:rsidR="001E7052" w:rsidRPr="00171FF3" w14:paraId="13947025" w14:textId="77777777" w:rsidTr="001E7052">
        <w:trPr>
          <w:trHeight w:val="288"/>
        </w:trPr>
        <w:tc>
          <w:tcPr>
            <w:tcW w:w="1396" w:type="pct"/>
            <w:shd w:val="clear" w:color="auto" w:fill="auto"/>
            <w:noWrap/>
            <w:vAlign w:val="bottom"/>
            <w:hideMark/>
          </w:tcPr>
          <w:p w14:paraId="032384C1" w14:textId="77777777" w:rsidR="001E7052" w:rsidRPr="00171FF3" w:rsidRDefault="001E7052" w:rsidP="001E7052">
            <w:pPr>
              <w:pStyle w:val="TableText"/>
            </w:pPr>
            <w:r w:rsidRPr="00171FF3">
              <w:t>Weibull</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04A88FEC" w14:textId="6BD4BBD6" w:rsidR="001E7052" w:rsidRPr="001E7052" w:rsidRDefault="001E7052" w:rsidP="001E7052">
            <w:pPr>
              <w:pStyle w:val="TableText"/>
            </w:pPr>
            <w:r w:rsidRPr="001E7052">
              <w:t>1014</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5FFDE" w14:textId="66042E7D" w:rsidR="001E7052" w:rsidRPr="001E7052" w:rsidRDefault="001E7052" w:rsidP="001E7052">
            <w:pPr>
              <w:pStyle w:val="TableText"/>
            </w:pPr>
            <w:r w:rsidRPr="001E7052">
              <w:t>1020.1</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6855BBC8" w14:textId="48890197" w:rsidR="001E7052" w:rsidRPr="001E7052" w:rsidRDefault="001E7052" w:rsidP="001E7052">
            <w:pPr>
              <w:pStyle w:val="TableText"/>
            </w:pPr>
            <w:r w:rsidRPr="001E7052">
              <w:t>482.8</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3C11D7E6" w14:textId="13085E41" w:rsidR="001E7052" w:rsidRPr="001E7052" w:rsidRDefault="001E7052" w:rsidP="001E7052">
            <w:pPr>
              <w:pStyle w:val="TableText"/>
            </w:pPr>
            <w:r w:rsidRPr="001E7052">
              <w:t>487.4</w:t>
            </w:r>
          </w:p>
        </w:tc>
      </w:tr>
      <w:tr w:rsidR="001E7052" w:rsidRPr="00171FF3" w14:paraId="03EA35D6" w14:textId="77777777" w:rsidTr="001E7052">
        <w:trPr>
          <w:trHeight w:val="288"/>
        </w:trPr>
        <w:tc>
          <w:tcPr>
            <w:tcW w:w="1396" w:type="pct"/>
            <w:shd w:val="clear" w:color="auto" w:fill="auto"/>
            <w:noWrap/>
            <w:vAlign w:val="bottom"/>
            <w:hideMark/>
          </w:tcPr>
          <w:p w14:paraId="409EE9E6" w14:textId="77777777" w:rsidR="001E7052" w:rsidRPr="00171FF3" w:rsidRDefault="001E7052" w:rsidP="001E7052">
            <w:pPr>
              <w:pStyle w:val="TableText"/>
            </w:pPr>
            <w:r w:rsidRPr="00171FF3">
              <w:t>Gompertz</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2B7FE7B6" w14:textId="2B7D934A" w:rsidR="001E7052" w:rsidRPr="001E7052" w:rsidRDefault="001E7052" w:rsidP="001E7052">
            <w:pPr>
              <w:pStyle w:val="TableText"/>
            </w:pPr>
            <w:r w:rsidRPr="001E7052">
              <w:t>1013.5</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EBB6" w14:textId="04643661" w:rsidR="001E7052" w:rsidRPr="001E7052" w:rsidRDefault="001E7052" w:rsidP="001E7052">
            <w:pPr>
              <w:pStyle w:val="TableText"/>
            </w:pPr>
            <w:r w:rsidRPr="001E7052">
              <w:t>1019.6</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56A7809B" w14:textId="085C9A60" w:rsidR="001E7052" w:rsidRPr="001E7052" w:rsidRDefault="001E7052" w:rsidP="001E7052">
            <w:pPr>
              <w:pStyle w:val="TableText"/>
              <w:rPr>
                <w:b/>
              </w:rPr>
            </w:pPr>
            <w:r w:rsidRPr="001E7052">
              <w:rPr>
                <w:b/>
              </w:rPr>
              <w:t>480.9</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72FD8BD4" w14:textId="4E4E6E59" w:rsidR="001E7052" w:rsidRPr="001E7052" w:rsidRDefault="001E7052" w:rsidP="001E7052">
            <w:pPr>
              <w:pStyle w:val="TableText"/>
            </w:pPr>
            <w:r w:rsidRPr="001E7052">
              <w:t>485.5</w:t>
            </w:r>
          </w:p>
        </w:tc>
      </w:tr>
      <w:tr w:rsidR="001E7052" w:rsidRPr="00171FF3" w14:paraId="6F0F56F7" w14:textId="77777777" w:rsidTr="001E7052">
        <w:trPr>
          <w:trHeight w:val="288"/>
        </w:trPr>
        <w:tc>
          <w:tcPr>
            <w:tcW w:w="1396" w:type="pct"/>
            <w:shd w:val="clear" w:color="auto" w:fill="auto"/>
            <w:noWrap/>
            <w:vAlign w:val="bottom"/>
            <w:hideMark/>
          </w:tcPr>
          <w:p w14:paraId="4B2002EC" w14:textId="77777777" w:rsidR="001E7052" w:rsidRPr="00171FF3" w:rsidRDefault="001E7052" w:rsidP="001E7052">
            <w:pPr>
              <w:pStyle w:val="TableText"/>
            </w:pPr>
            <w:r w:rsidRPr="00171FF3">
              <w:t>L</w:t>
            </w:r>
            <w:r>
              <w:t xml:space="preserve">og </w:t>
            </w:r>
            <w:r w:rsidRPr="00171FF3">
              <w:t>logistic</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261CE9B5" w14:textId="3910FE2D" w:rsidR="001E7052" w:rsidRPr="001E7052" w:rsidRDefault="001E7052" w:rsidP="001E7052">
            <w:pPr>
              <w:pStyle w:val="TableText"/>
              <w:rPr>
                <w:b/>
              </w:rPr>
            </w:pPr>
            <w:r w:rsidRPr="001E7052">
              <w:rPr>
                <w:b/>
              </w:rPr>
              <w:t>1013.4</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E93A7" w14:textId="35F3055C" w:rsidR="001E7052" w:rsidRPr="001E7052" w:rsidRDefault="001E7052" w:rsidP="001E7052">
            <w:pPr>
              <w:pStyle w:val="TableText"/>
              <w:rPr>
                <w:b/>
              </w:rPr>
            </w:pPr>
            <w:r w:rsidRPr="001E7052">
              <w:rPr>
                <w:b/>
              </w:rPr>
              <w:t>1019.5</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01B351C7" w14:textId="4D6421EE" w:rsidR="001E7052" w:rsidRPr="001E7052" w:rsidRDefault="001E7052" w:rsidP="001E7052">
            <w:pPr>
              <w:pStyle w:val="TableText"/>
              <w:rPr>
                <w:b/>
              </w:rPr>
            </w:pPr>
            <w:r w:rsidRPr="001E7052">
              <w:rPr>
                <w:b/>
              </w:rPr>
              <w:t>480.9</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5754E62E" w14:textId="7DF4FC85" w:rsidR="001E7052" w:rsidRPr="001E7052" w:rsidRDefault="001E7052" w:rsidP="001E7052">
            <w:pPr>
              <w:pStyle w:val="TableText"/>
            </w:pPr>
            <w:r w:rsidRPr="001E7052">
              <w:t>485.5</w:t>
            </w:r>
          </w:p>
        </w:tc>
      </w:tr>
      <w:tr w:rsidR="001E7052" w:rsidRPr="00171FF3" w14:paraId="3AABA3C3" w14:textId="77777777" w:rsidTr="001E7052">
        <w:trPr>
          <w:trHeight w:val="288"/>
        </w:trPr>
        <w:tc>
          <w:tcPr>
            <w:tcW w:w="1396" w:type="pct"/>
            <w:shd w:val="clear" w:color="auto" w:fill="auto"/>
            <w:noWrap/>
            <w:vAlign w:val="bottom"/>
            <w:hideMark/>
          </w:tcPr>
          <w:p w14:paraId="3A8833EC" w14:textId="77777777" w:rsidR="001E7052" w:rsidRPr="00171FF3" w:rsidRDefault="001E7052" w:rsidP="001E7052">
            <w:pPr>
              <w:pStyle w:val="TableText"/>
            </w:pPr>
            <w:r w:rsidRPr="00171FF3">
              <w:t>L</w:t>
            </w:r>
            <w:r>
              <w:t xml:space="preserve">og </w:t>
            </w:r>
            <w:r w:rsidRPr="00171FF3">
              <w:t>normal</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163CB7AF" w14:textId="68BB286A" w:rsidR="001E7052" w:rsidRPr="001E7052" w:rsidRDefault="001E7052" w:rsidP="001E7052">
            <w:pPr>
              <w:pStyle w:val="TableText"/>
            </w:pPr>
            <w:r w:rsidRPr="001E7052">
              <w:t>1017.8</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F6AF9" w14:textId="7D817BBA" w:rsidR="001E7052" w:rsidRPr="001E7052" w:rsidRDefault="001E7052" w:rsidP="001E7052">
            <w:pPr>
              <w:pStyle w:val="TableText"/>
            </w:pPr>
            <w:r w:rsidRPr="001E7052">
              <w:t>1023.9</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1197A75B" w14:textId="22078419" w:rsidR="001E7052" w:rsidRPr="001E7052" w:rsidRDefault="001E7052" w:rsidP="001E7052">
            <w:pPr>
              <w:pStyle w:val="TableText"/>
            </w:pPr>
            <w:r w:rsidRPr="001E7052">
              <w:t>483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01FBF9D2" w14:textId="24A6C7FD" w:rsidR="001E7052" w:rsidRPr="001E7052" w:rsidRDefault="001E7052" w:rsidP="001E7052">
            <w:pPr>
              <w:pStyle w:val="TableText"/>
            </w:pPr>
            <w:r w:rsidRPr="001E7052">
              <w:t>487.6</w:t>
            </w:r>
          </w:p>
        </w:tc>
      </w:tr>
      <w:tr w:rsidR="001E7052" w:rsidRPr="00171FF3" w14:paraId="3D2947D9" w14:textId="77777777" w:rsidTr="001E7052">
        <w:trPr>
          <w:trHeight w:val="288"/>
        </w:trPr>
        <w:tc>
          <w:tcPr>
            <w:tcW w:w="1396" w:type="pct"/>
            <w:shd w:val="clear" w:color="auto" w:fill="auto"/>
            <w:noWrap/>
            <w:vAlign w:val="bottom"/>
            <w:hideMark/>
          </w:tcPr>
          <w:p w14:paraId="65B64BB4" w14:textId="77777777" w:rsidR="001E7052" w:rsidRPr="00171FF3" w:rsidRDefault="001E7052" w:rsidP="001E7052">
            <w:pPr>
              <w:pStyle w:val="TableText"/>
            </w:pPr>
            <w:r w:rsidRPr="00171FF3">
              <w:t>Gen</w:t>
            </w:r>
            <w:r>
              <w:t xml:space="preserve">eralised </w:t>
            </w:r>
            <w:r w:rsidRPr="00171FF3">
              <w:t>Gamma</w:t>
            </w:r>
          </w:p>
        </w:tc>
        <w:tc>
          <w:tcPr>
            <w:tcW w:w="900" w:type="pct"/>
            <w:tcBorders>
              <w:top w:val="single" w:sz="4" w:space="0" w:color="auto"/>
              <w:left w:val="single" w:sz="4" w:space="0" w:color="14ACA8"/>
              <w:bottom w:val="single" w:sz="4" w:space="0" w:color="auto"/>
              <w:right w:val="single" w:sz="4" w:space="0" w:color="auto"/>
            </w:tcBorders>
            <w:shd w:val="clear" w:color="auto" w:fill="auto"/>
            <w:noWrap/>
            <w:vAlign w:val="bottom"/>
            <w:hideMark/>
          </w:tcPr>
          <w:p w14:paraId="1D831D65" w14:textId="6F4BAE0E" w:rsidR="001E7052" w:rsidRPr="001E7052" w:rsidRDefault="001E7052" w:rsidP="001E7052">
            <w:pPr>
              <w:pStyle w:val="TableText"/>
            </w:pPr>
            <w:r w:rsidRPr="001E7052">
              <w:t>1015.5</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B7FD6" w14:textId="41AA15F1" w:rsidR="001E7052" w:rsidRPr="001E7052" w:rsidRDefault="001E7052" w:rsidP="001E7052">
            <w:pPr>
              <w:pStyle w:val="TableText"/>
            </w:pPr>
            <w:r w:rsidRPr="001E7052">
              <w:t>1024.7</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36340DE8" w14:textId="64DA1F65" w:rsidR="001E7052" w:rsidRPr="001E7052" w:rsidRDefault="001E7052" w:rsidP="001E7052">
            <w:pPr>
              <w:pStyle w:val="TableText"/>
            </w:pPr>
            <w:r w:rsidRPr="001E7052">
              <w:t>483.5</w:t>
            </w:r>
          </w:p>
        </w:tc>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14:paraId="06065CF8" w14:textId="7A22F92A" w:rsidR="001E7052" w:rsidRPr="001E7052" w:rsidRDefault="001E7052" w:rsidP="001E7052">
            <w:pPr>
              <w:pStyle w:val="TableText"/>
            </w:pPr>
            <w:r w:rsidRPr="001E7052">
              <w:t>490.3</w:t>
            </w:r>
          </w:p>
        </w:tc>
      </w:tr>
      <w:tr w:rsidR="001E7052" w:rsidRPr="00171FF3" w14:paraId="2C2A9706" w14:textId="77777777" w:rsidTr="00D67538">
        <w:trPr>
          <w:trHeight w:val="288"/>
        </w:trPr>
        <w:tc>
          <w:tcPr>
            <w:tcW w:w="5000" w:type="pct"/>
            <w:gridSpan w:val="5"/>
            <w:shd w:val="clear" w:color="auto" w:fill="auto"/>
            <w:noWrap/>
            <w:vAlign w:val="bottom"/>
          </w:tcPr>
          <w:p w14:paraId="73B61AAF" w14:textId="3CDCCF5F" w:rsidR="001E7052" w:rsidRPr="00171FF3" w:rsidRDefault="001E7052" w:rsidP="001E7052">
            <w:pPr>
              <w:pStyle w:val="Legend"/>
              <w:rPr>
                <w:b/>
              </w:rPr>
            </w:pPr>
            <w:r w:rsidRPr="00171FF3">
              <w:rPr>
                <w:b/>
              </w:rPr>
              <w:t>Key:</w:t>
            </w:r>
            <w:r>
              <w:t xml:space="preserve"> AIC, Akaike information criterion; BIC, Bayesian information criterion; OS, overall survival.</w:t>
            </w:r>
          </w:p>
        </w:tc>
      </w:tr>
    </w:tbl>
    <w:p w14:paraId="78F086EF" w14:textId="77777777" w:rsidR="001E7052" w:rsidRPr="00171FF3" w:rsidRDefault="001E7052" w:rsidP="001E7052"/>
    <w:p w14:paraId="3E758326" w14:textId="204BA230" w:rsidR="001E7052" w:rsidRDefault="001E7052" w:rsidP="001E7052">
      <w:pPr>
        <w:pStyle w:val="Caption"/>
      </w:pPr>
      <w:bookmarkStart w:id="9" w:name="_Ref11662249"/>
      <w:r>
        <w:t xml:space="preserve">Supplementary Figure </w:t>
      </w:r>
      <w:r w:rsidR="00D67538">
        <w:rPr>
          <w:noProof/>
        </w:rPr>
        <w:fldChar w:fldCharType="begin"/>
      </w:r>
      <w:r w:rsidR="00D67538">
        <w:rPr>
          <w:noProof/>
        </w:rPr>
        <w:instrText xml:space="preserve"> SEQ Figure \* ARABIC </w:instrText>
      </w:r>
      <w:r w:rsidR="00D67538">
        <w:rPr>
          <w:noProof/>
        </w:rPr>
        <w:fldChar w:fldCharType="separate"/>
      </w:r>
      <w:r w:rsidR="00D80D85">
        <w:rPr>
          <w:noProof/>
        </w:rPr>
        <w:t>5</w:t>
      </w:r>
      <w:r w:rsidR="00D67538">
        <w:rPr>
          <w:noProof/>
        </w:rPr>
        <w:fldChar w:fldCharType="end"/>
      </w:r>
      <w:bookmarkEnd w:id="9"/>
      <w:r>
        <w:t>: OS KM data with standard parametric curve fittings – pembrolizumab</w:t>
      </w:r>
    </w:p>
    <w:p w14:paraId="3D351A41" w14:textId="517F2FFD" w:rsidR="001E7052" w:rsidRPr="00BC0AE8" w:rsidRDefault="001E7052" w:rsidP="001E7052">
      <w:r>
        <w:rPr>
          <w:noProof/>
        </w:rPr>
        <w:drawing>
          <wp:inline distT="0" distB="0" distL="0" distR="0" wp14:anchorId="13C90BD1" wp14:editId="5693AFFD">
            <wp:extent cx="4981840" cy="2895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2531" cy="2896002"/>
                    </a:xfrm>
                    <a:prstGeom prst="rect">
                      <a:avLst/>
                    </a:prstGeom>
                    <a:noFill/>
                  </pic:spPr>
                </pic:pic>
              </a:graphicData>
            </a:graphic>
          </wp:inline>
        </w:drawing>
      </w:r>
    </w:p>
    <w:p w14:paraId="393CF419" w14:textId="77777777" w:rsidR="001E7052" w:rsidRDefault="001E7052" w:rsidP="001E7052">
      <w:pPr>
        <w:pStyle w:val="Legend"/>
        <w:rPr>
          <w:lang w:val="en-US"/>
        </w:rPr>
      </w:pPr>
    </w:p>
    <w:p w14:paraId="726D3DAB" w14:textId="23590ADE" w:rsidR="001E7052" w:rsidRDefault="001E7052" w:rsidP="001E7052">
      <w:pPr>
        <w:pStyle w:val="Legend"/>
        <w:rPr>
          <w:lang w:val="en-US"/>
        </w:rPr>
      </w:pPr>
      <w:r w:rsidRPr="00171FF3">
        <w:rPr>
          <w:b/>
          <w:lang w:val="en-US"/>
        </w:rPr>
        <w:t>Key:</w:t>
      </w:r>
      <w:r>
        <w:rPr>
          <w:lang w:val="en-US"/>
        </w:rPr>
        <w:t xml:space="preserve"> KM, Kaplan-Meier; OS, overall survival.</w:t>
      </w:r>
    </w:p>
    <w:p w14:paraId="3267C114" w14:textId="70125689" w:rsidR="001E7052" w:rsidRDefault="001E7052" w:rsidP="001E7052">
      <w:pPr>
        <w:pStyle w:val="Caption"/>
      </w:pPr>
      <w:bookmarkStart w:id="10" w:name="_Ref11662250"/>
      <w:r>
        <w:t xml:space="preserve">Supplementary Figure </w:t>
      </w:r>
      <w:r w:rsidR="00D67538">
        <w:rPr>
          <w:noProof/>
        </w:rPr>
        <w:fldChar w:fldCharType="begin"/>
      </w:r>
      <w:r w:rsidR="00D67538">
        <w:rPr>
          <w:noProof/>
        </w:rPr>
        <w:instrText xml:space="preserve"> SEQ Figure \* ARABIC </w:instrText>
      </w:r>
      <w:r w:rsidR="00D67538">
        <w:rPr>
          <w:noProof/>
        </w:rPr>
        <w:fldChar w:fldCharType="separate"/>
      </w:r>
      <w:r w:rsidR="00D80D85">
        <w:rPr>
          <w:noProof/>
        </w:rPr>
        <w:t>6</w:t>
      </w:r>
      <w:r w:rsidR="00D67538">
        <w:rPr>
          <w:noProof/>
        </w:rPr>
        <w:fldChar w:fldCharType="end"/>
      </w:r>
      <w:bookmarkEnd w:id="10"/>
      <w:r>
        <w:t>: OS KM data with standard parametric curve fittings – chemotherapy</w:t>
      </w:r>
    </w:p>
    <w:p w14:paraId="5166EE3D" w14:textId="2E7DEB2F" w:rsidR="001E7052" w:rsidRPr="00BC0AE8" w:rsidRDefault="001E7052" w:rsidP="001E7052">
      <w:r>
        <w:rPr>
          <w:noProof/>
        </w:rPr>
        <w:drawing>
          <wp:inline distT="0" distB="0" distL="0" distR="0" wp14:anchorId="4DE29AB9" wp14:editId="0FCCF9F5">
            <wp:extent cx="4981575" cy="3062172"/>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9477" cy="3067029"/>
                    </a:xfrm>
                    <a:prstGeom prst="rect">
                      <a:avLst/>
                    </a:prstGeom>
                    <a:noFill/>
                  </pic:spPr>
                </pic:pic>
              </a:graphicData>
            </a:graphic>
          </wp:inline>
        </w:drawing>
      </w:r>
    </w:p>
    <w:p w14:paraId="74CE690F" w14:textId="77777777" w:rsidR="001E7052" w:rsidRDefault="001E7052" w:rsidP="001E7052">
      <w:pPr>
        <w:pStyle w:val="Legend"/>
        <w:rPr>
          <w:lang w:val="en-US"/>
        </w:rPr>
      </w:pPr>
    </w:p>
    <w:p w14:paraId="2DA1488E" w14:textId="6D44F9A7" w:rsidR="001E7052" w:rsidRDefault="001E7052" w:rsidP="001E7052">
      <w:pPr>
        <w:pStyle w:val="Legend"/>
        <w:rPr>
          <w:lang w:val="en-US"/>
        </w:rPr>
      </w:pPr>
      <w:r w:rsidRPr="00171FF3">
        <w:rPr>
          <w:b/>
          <w:lang w:val="en-US"/>
        </w:rPr>
        <w:t>Key:</w:t>
      </w:r>
      <w:r>
        <w:rPr>
          <w:lang w:val="en-US"/>
        </w:rPr>
        <w:t xml:space="preserve"> KM, Kaplan-Meier; OS, overall survival.</w:t>
      </w:r>
    </w:p>
    <w:p w14:paraId="6BB56CC4" w14:textId="2106953B" w:rsidR="001E7052" w:rsidRPr="00422812" w:rsidRDefault="001E7052" w:rsidP="00266517">
      <w:pPr>
        <w:rPr>
          <w:lang w:val="en-US"/>
        </w:rPr>
        <w:sectPr w:rsidR="001E7052" w:rsidRPr="00422812" w:rsidSect="00EC669A">
          <w:pgSz w:w="11906" w:h="16838"/>
          <w:pgMar w:top="2835" w:right="1134" w:bottom="1134" w:left="1134" w:header="1134" w:footer="1134" w:gutter="0"/>
          <w:cols w:space="708"/>
          <w:docGrid w:linePitch="360"/>
        </w:sectPr>
      </w:pPr>
    </w:p>
    <w:p w14:paraId="4FD3F3F0" w14:textId="2A3C7085" w:rsidR="008F5213" w:rsidRPr="002F1CBE" w:rsidRDefault="008F5213" w:rsidP="008F5213">
      <w:pPr>
        <w:pStyle w:val="Heading3"/>
        <w:rPr>
          <w:lang w:val="en-US"/>
        </w:rPr>
      </w:pPr>
      <w:r>
        <w:rPr>
          <w:lang w:val="en-US"/>
        </w:rPr>
        <w:lastRenderedPageBreak/>
        <w:t>Validation</w:t>
      </w:r>
    </w:p>
    <w:p w14:paraId="114216E8" w14:textId="3AA6664D" w:rsidR="008F5213" w:rsidRPr="002F1CBE" w:rsidRDefault="008F5213" w:rsidP="008F5213">
      <w:pPr>
        <w:pStyle w:val="Caption"/>
        <w:rPr>
          <w:lang w:val="en-US"/>
        </w:rPr>
      </w:pPr>
      <w:r>
        <w:rPr>
          <w:lang w:val="en-US"/>
        </w:rPr>
        <w:t xml:space="preserve">Supplementary </w:t>
      </w:r>
      <w:r w:rsidRPr="002F1CBE">
        <w:rPr>
          <w:lang w:val="en-US"/>
        </w:rPr>
        <w:t xml:space="preserve">Figure </w:t>
      </w:r>
      <w:r w:rsidRPr="002F1CBE">
        <w:rPr>
          <w:lang w:val="en-US"/>
        </w:rPr>
        <w:fldChar w:fldCharType="begin"/>
      </w:r>
      <w:r w:rsidRPr="002F1CBE">
        <w:rPr>
          <w:lang w:val="en-US"/>
        </w:rPr>
        <w:instrText xml:space="preserve"> SEQ Figure \* ARABIC </w:instrText>
      </w:r>
      <w:r w:rsidRPr="002F1CBE">
        <w:rPr>
          <w:lang w:val="en-US"/>
        </w:rPr>
        <w:fldChar w:fldCharType="separate"/>
      </w:r>
      <w:r w:rsidR="00D80D85">
        <w:rPr>
          <w:noProof/>
          <w:lang w:val="en-US"/>
        </w:rPr>
        <w:t>7</w:t>
      </w:r>
      <w:r w:rsidRPr="002F1CBE">
        <w:rPr>
          <w:lang w:val="en-US"/>
        </w:rPr>
        <w:fldChar w:fldCharType="end"/>
      </w:r>
      <w:r w:rsidRPr="002F1CBE">
        <w:rPr>
          <w:lang w:val="en-US"/>
        </w:rPr>
        <w:t>: External validation of the chemotherapy survival arm</w:t>
      </w:r>
    </w:p>
    <w:p w14:paraId="2F757828" w14:textId="77777777" w:rsidR="008F5213" w:rsidRPr="00051E20" w:rsidRDefault="008F5213" w:rsidP="008F5213">
      <w:pPr>
        <w:rPr>
          <w:b/>
          <w:sz w:val="20"/>
          <w:lang w:val="en-US"/>
        </w:rPr>
      </w:pPr>
      <w:r w:rsidRPr="00051E20">
        <w:rPr>
          <w:b/>
          <w:sz w:val="20"/>
          <w:lang w:val="en-US"/>
        </w:rPr>
        <w:t>A.</w:t>
      </w:r>
    </w:p>
    <w:p w14:paraId="488F6103" w14:textId="77777777" w:rsidR="008F5213" w:rsidRPr="002F1CBE" w:rsidRDefault="008F5213" w:rsidP="008F5213">
      <w:pPr>
        <w:rPr>
          <w:lang w:val="en-US"/>
        </w:rPr>
      </w:pPr>
      <w:r>
        <w:rPr>
          <w:noProof/>
          <w:lang w:val="en-US"/>
        </w:rPr>
        <w:drawing>
          <wp:inline distT="0" distB="0" distL="0" distR="0" wp14:anchorId="5C543CF6" wp14:editId="26B3939E">
            <wp:extent cx="3555000" cy="21600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55000" cy="2160000"/>
                    </a:xfrm>
                    <a:prstGeom prst="rect">
                      <a:avLst/>
                    </a:prstGeom>
                    <a:noFill/>
                  </pic:spPr>
                </pic:pic>
              </a:graphicData>
            </a:graphic>
          </wp:inline>
        </w:drawing>
      </w:r>
    </w:p>
    <w:p w14:paraId="3F8978B2" w14:textId="77777777" w:rsidR="008F5213" w:rsidRPr="00051E20" w:rsidRDefault="008F5213" w:rsidP="008F5213">
      <w:pPr>
        <w:rPr>
          <w:b/>
          <w:sz w:val="20"/>
          <w:lang w:val="en-US"/>
        </w:rPr>
      </w:pPr>
      <w:r w:rsidRPr="00051E20">
        <w:rPr>
          <w:b/>
          <w:sz w:val="20"/>
          <w:lang w:val="en-US"/>
        </w:rPr>
        <w:t>B</w:t>
      </w:r>
    </w:p>
    <w:p w14:paraId="17E81EE1" w14:textId="77777777" w:rsidR="008F5213" w:rsidRPr="002F1CBE" w:rsidRDefault="008F5213" w:rsidP="008F5213">
      <w:pPr>
        <w:rPr>
          <w:lang w:val="en-US"/>
        </w:rPr>
      </w:pPr>
      <w:r w:rsidRPr="002F1CBE">
        <w:rPr>
          <w:noProof/>
          <w:lang w:val="en-US"/>
        </w:rPr>
        <w:drawing>
          <wp:inline distT="0" distB="0" distL="0" distR="0" wp14:anchorId="5232DD9A" wp14:editId="046C488C">
            <wp:extent cx="3558813" cy="21600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58813" cy="2160000"/>
                    </a:xfrm>
                    <a:prstGeom prst="rect">
                      <a:avLst/>
                    </a:prstGeom>
                    <a:noFill/>
                  </pic:spPr>
                </pic:pic>
              </a:graphicData>
            </a:graphic>
          </wp:inline>
        </w:drawing>
      </w:r>
    </w:p>
    <w:p w14:paraId="3EF56BE4" w14:textId="77777777" w:rsidR="008F5213" w:rsidRPr="00051E20" w:rsidRDefault="008F5213" w:rsidP="008F5213">
      <w:pPr>
        <w:rPr>
          <w:b/>
          <w:sz w:val="20"/>
          <w:lang w:val="en-US"/>
        </w:rPr>
      </w:pPr>
      <w:r w:rsidRPr="00051E20">
        <w:rPr>
          <w:b/>
          <w:sz w:val="20"/>
          <w:lang w:val="en-US"/>
        </w:rPr>
        <w:t>C</w:t>
      </w:r>
    </w:p>
    <w:p w14:paraId="6838CE9C" w14:textId="77777777" w:rsidR="008F5213" w:rsidRPr="002F1CBE" w:rsidRDefault="008F5213" w:rsidP="008F5213">
      <w:pPr>
        <w:rPr>
          <w:lang w:val="en-US"/>
        </w:rPr>
      </w:pPr>
      <w:r w:rsidRPr="002F1CBE">
        <w:rPr>
          <w:noProof/>
          <w:lang w:val="en-US"/>
        </w:rPr>
        <w:drawing>
          <wp:inline distT="0" distB="0" distL="0" distR="0" wp14:anchorId="4927D00A" wp14:editId="1764FDC8">
            <wp:extent cx="3555000" cy="21600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55000" cy="2160000"/>
                    </a:xfrm>
                    <a:prstGeom prst="rect">
                      <a:avLst/>
                    </a:prstGeom>
                    <a:noFill/>
                  </pic:spPr>
                </pic:pic>
              </a:graphicData>
            </a:graphic>
          </wp:inline>
        </w:drawing>
      </w:r>
    </w:p>
    <w:p w14:paraId="52DF51DC" w14:textId="06A37E5A" w:rsidR="008F5213" w:rsidRDefault="008F5213" w:rsidP="00EC669A">
      <w:pPr>
        <w:pStyle w:val="Legend"/>
        <w:rPr>
          <w:lang w:val="en-US"/>
        </w:rPr>
        <w:sectPr w:rsidR="008F5213" w:rsidSect="00EC669A">
          <w:pgSz w:w="11906" w:h="16838"/>
          <w:pgMar w:top="1134" w:right="1134" w:bottom="1134" w:left="1134" w:header="1134" w:footer="567" w:gutter="0"/>
          <w:cols w:space="708"/>
          <w:docGrid w:linePitch="360"/>
        </w:sectPr>
      </w:pPr>
      <w:r w:rsidRPr="002F1CBE">
        <w:rPr>
          <w:b/>
          <w:lang w:val="en-US"/>
        </w:rPr>
        <w:t>A</w:t>
      </w:r>
      <w:r w:rsidRPr="002F1CBE">
        <w:rPr>
          <w:lang w:val="en-US"/>
        </w:rPr>
        <w:t>, Retrospective cohort study using the SEER-Medicare data set of first-line and second-line bladder cancer patients receiving non-platinum chemotherapy regimen (Kamat et al.)</w:t>
      </w:r>
      <w:r w:rsidRPr="002F1CBE">
        <w:rPr>
          <w:lang w:val="en-US"/>
        </w:rPr>
        <w:fldChar w:fldCharType="begin"/>
      </w:r>
      <w:r w:rsidR="00D259BD">
        <w:rPr>
          <w:lang w:val="en-US"/>
        </w:rPr>
        <w:instrText xml:space="preserve"> ADDIN EN.CITE &lt;EndNote&gt;&lt;Cite&gt;&lt;Author&gt;Kamat&lt;/Author&gt;&lt;Year&gt;2017&lt;/Year&gt;&lt;RecNum&gt;16&lt;/RecNum&gt;&lt;DisplayText&gt;[9]&lt;/DisplayText&gt;&lt;record&gt;&lt;rec-number&gt;16&lt;/rec-number&gt;&lt;foreign-keys&gt;&lt;key app="EN" db-id="sv0re5vpexw0fmexwr6x0t91xt9zt5dxfxvz" timestamp="1526677280"&gt;16&lt;/key&gt;&lt;/foreign-keys&gt;&lt;ref-type name="Journal Article"&gt;17&lt;/ref-type&gt;&lt;contributors&gt;&lt;authors&gt;&lt;author&gt;Ashish M Kamat&lt;/author&gt;&lt;author&gt;Ziting Cao&lt;/author&gt;&lt;author&gt;Jinghua He&lt;/author&gt;&lt;author&gt;Yichen Zhong&lt;/author&gt;&lt;author&gt;Amishi Y Shah&lt;/author&gt;&lt;author&gt;Kyle Flannery &lt;/author&gt;&lt;/authors&gt;&lt;/contributors&gt;&lt;titles&gt;&lt;title&gt;Costs of Care for Patients Receiving Chemotherapy for Advanced Bladder Cancer&lt;/title&gt;&lt;secondary-title&gt;Journal of Clinical Pathways&lt;/secondary-title&gt;&lt;/titles&gt;&lt;periodical&gt;&lt;full-title&gt;Journal of Clinical Pathways&lt;/full-title&gt;&lt;/periodical&gt;&lt;pages&gt;63-70&lt;/pages&gt;&lt;volume&gt;3&lt;/volume&gt;&lt;number&gt;10&lt;/number&gt;&lt;dates&gt;&lt;year&gt;2017&lt;/year&gt;&lt;/dates&gt;&lt;urls&gt;&lt;related-urls&gt;&lt;url&gt;https://www.journalofclinicalpathways.com/article/costs-care-patients-receiving-chemotherapy-advanced-bladder-cancer&lt;/url&gt;&lt;/related-urls&gt;&lt;/urls&gt;&lt;/record&gt;&lt;/Cite&gt;&lt;/EndNote&gt;</w:instrText>
      </w:r>
      <w:r w:rsidRPr="002F1CBE">
        <w:rPr>
          <w:lang w:val="en-US"/>
        </w:rPr>
        <w:fldChar w:fldCharType="separate"/>
      </w:r>
      <w:r w:rsidR="00D259BD">
        <w:rPr>
          <w:noProof/>
          <w:lang w:val="en-US"/>
        </w:rPr>
        <w:t>[9]</w:t>
      </w:r>
      <w:r w:rsidRPr="002F1CBE">
        <w:rPr>
          <w:lang w:val="en-US"/>
        </w:rPr>
        <w:fldChar w:fldCharType="end"/>
      </w:r>
      <w:r w:rsidRPr="002F1CBE">
        <w:rPr>
          <w:lang w:val="en-US"/>
        </w:rPr>
        <w:t xml:space="preserve">; </w:t>
      </w:r>
      <w:r w:rsidRPr="002F1CBE">
        <w:rPr>
          <w:b/>
          <w:lang w:val="en-US"/>
        </w:rPr>
        <w:t>B</w:t>
      </w:r>
      <w:r w:rsidRPr="002F1CBE">
        <w:rPr>
          <w:lang w:val="en-US"/>
        </w:rPr>
        <w:t>, Phase II, double-blind, randomized trial on docetaxel plus vandetanib versus docetaxel plus placebo in metastatic urothelial cancer (Choueiri et al.)</w:t>
      </w:r>
      <w:r w:rsidRPr="002F1CBE">
        <w:rPr>
          <w:lang w:val="en-US"/>
        </w:rPr>
        <w:fldChar w:fldCharType="begin">
          <w:fldData xml:space="preserve">PEVuZE5vdGU+PENpdGU+PEF1dGhvcj5DaG91ZWlyaTwvQXV0aG9yPjxZZWFyPjIwMTI8L1llYXI+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IENsaW5pY2FsIE9uY29sb2d5PC9hYmJyLTE+PC9hbHQtcGVyaW9kaWNhbD48cGFnZXM+NTA3LTEy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</w:fldData>
        </w:fldChar>
      </w:r>
      <w:r w:rsidR="00D259BD">
        <w:rPr>
          <w:lang w:val="en-US"/>
        </w:rPr>
        <w:instrText xml:space="preserve"> ADDIN EN.CITE </w:instrText>
      </w:r>
      <w:r w:rsidR="00D259BD">
        <w:rPr>
          <w:lang w:val="en-US"/>
        </w:rPr>
        <w:fldChar w:fldCharType="begin">
          <w:fldData xml:space="preserve">PEVuZE5vdGU+PENpdGU+PEF1dGhvcj5DaG91ZWlyaTwvQXV0aG9yPjxZZWFyPjIwMTI8L1llYXI+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IENsaW5pY2FsIE9uY29sb2d5PC9hYmJyLTE+PC9hbHQtcGVyaW9kaWNhbD48cGFnZXM+NTA3LTEy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</w:fldData>
        </w:fldChar>
      </w:r>
      <w:r w:rsidR="00D259BD">
        <w:rPr>
          <w:lang w:val="en-US"/>
        </w:rPr>
        <w:instrText xml:space="preserve"> ADDIN EN.CITE.DATA </w:instrText>
      </w:r>
      <w:r w:rsidR="00D259BD">
        <w:rPr>
          <w:lang w:val="en-US"/>
        </w:rPr>
      </w:r>
      <w:r w:rsidR="00D259BD">
        <w:rPr>
          <w:lang w:val="en-US"/>
        </w:rPr>
        <w:fldChar w:fldCharType="end"/>
      </w:r>
      <w:r w:rsidRPr="002F1CBE">
        <w:rPr>
          <w:lang w:val="en-US"/>
        </w:rPr>
      </w:r>
      <w:r w:rsidRPr="002F1CBE">
        <w:rPr>
          <w:lang w:val="en-US"/>
        </w:rPr>
        <w:fldChar w:fldCharType="separate"/>
      </w:r>
      <w:r w:rsidR="00D259BD">
        <w:rPr>
          <w:noProof/>
          <w:lang w:val="en-US"/>
        </w:rPr>
        <w:t>[10]</w:t>
      </w:r>
      <w:r w:rsidRPr="002F1CBE">
        <w:rPr>
          <w:lang w:val="en-US"/>
        </w:rPr>
        <w:fldChar w:fldCharType="end"/>
      </w:r>
      <w:r w:rsidRPr="002F1CBE">
        <w:rPr>
          <w:lang w:val="en-US"/>
        </w:rPr>
        <w:t xml:space="preserve">; </w:t>
      </w:r>
      <w:r w:rsidRPr="002F1CBE">
        <w:rPr>
          <w:b/>
          <w:lang w:val="en-US"/>
        </w:rPr>
        <w:t>C</w:t>
      </w:r>
      <w:r w:rsidRPr="002F1CBE">
        <w:rPr>
          <w:lang w:val="en-US"/>
        </w:rPr>
        <w:t xml:space="preserve">, Open-label, Phase II, three-arm, randomized control trial on docetaxel versus docetaxel plus ramucirumab versus docetaxel plus icrucumab </w:t>
      </w:r>
      <w:r w:rsidRPr="002F1CBE">
        <w:rPr>
          <w:lang w:val="en-US"/>
        </w:rPr>
        <w:lastRenderedPageBreak/>
        <w:t>in second-line metastatic urothelial carcinoma (Petrylak et al.)</w:t>
      </w:r>
      <w:r w:rsidRPr="002F1CBE">
        <w:rPr>
          <w:lang w:val="en-US"/>
        </w:rPr>
        <w:fldChar w:fldCharType="begin">
          <w:fldData xml:space="preserve">PEVuZE5vdGU+PENpdGU+PEF1dGhvcj5QZXRyeWxhazwvQXV0aG9yPjxZZWFyPjIwMTY8L1llYXI+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bmNvbG9neTwvYWJici0xPjwvYWx0LXBlcmlvZGljYWw+PHBhZ2VzPjE1MDAtOTwvcGFnZXM+PHZv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</w:fldData>
        </w:fldChar>
      </w:r>
      <w:r w:rsidR="00D259BD">
        <w:rPr>
          <w:lang w:val="en-US"/>
        </w:rPr>
        <w:instrText xml:space="preserve"> ADDIN EN.CITE </w:instrText>
      </w:r>
      <w:r w:rsidR="00D259BD">
        <w:rPr>
          <w:lang w:val="en-US"/>
        </w:rPr>
        <w:fldChar w:fldCharType="begin">
          <w:fldData xml:space="preserve">PEVuZE5vdGU+PENpdGU+PEF1dGhvcj5QZXRyeWxhazwvQXV0aG9yPjxZZWFyPjIwMTY8L1llYXI+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bmNvbG9neTwvYWJici0xPjwvYWx0LXBlcmlvZGljYWw+PHBhZ2VzPjE1MDAtOTwvcGFnZXM+PHZv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</w:fldData>
        </w:fldChar>
      </w:r>
      <w:r w:rsidR="00D259BD">
        <w:rPr>
          <w:lang w:val="en-US"/>
        </w:rPr>
        <w:instrText xml:space="preserve"> ADDIN EN.CITE.DATA </w:instrText>
      </w:r>
      <w:r w:rsidR="00D259BD">
        <w:rPr>
          <w:lang w:val="en-US"/>
        </w:rPr>
      </w:r>
      <w:r w:rsidR="00D259BD">
        <w:rPr>
          <w:lang w:val="en-US"/>
        </w:rPr>
        <w:fldChar w:fldCharType="end"/>
      </w:r>
      <w:r w:rsidRPr="002F1CBE">
        <w:rPr>
          <w:lang w:val="en-US"/>
        </w:rPr>
      </w:r>
      <w:r w:rsidRPr="002F1CBE">
        <w:rPr>
          <w:lang w:val="en-US"/>
        </w:rPr>
        <w:fldChar w:fldCharType="separate"/>
      </w:r>
      <w:r w:rsidR="00D259BD">
        <w:rPr>
          <w:noProof/>
          <w:lang w:val="en-US"/>
        </w:rPr>
        <w:t>[11]</w:t>
      </w:r>
      <w:r w:rsidRPr="002F1CBE">
        <w:rPr>
          <w:lang w:val="en-US"/>
        </w:rPr>
        <w:fldChar w:fldCharType="end"/>
      </w:r>
    </w:p>
    <w:p w14:paraId="69C6B09E" w14:textId="7180DD31" w:rsidR="00445EFB" w:rsidRPr="002F1CBE" w:rsidRDefault="00445EFB" w:rsidP="006D1497">
      <w:pPr>
        <w:pStyle w:val="Heading3"/>
        <w:keepNext/>
        <w:rPr>
          <w:lang w:val="en-US"/>
        </w:rPr>
      </w:pPr>
      <w:r>
        <w:rPr>
          <w:lang w:val="en-US"/>
        </w:rPr>
        <w:lastRenderedPageBreak/>
        <w:t>Disaggregated costs</w:t>
      </w:r>
    </w:p>
    <w:p w14:paraId="37345994" w14:textId="562FC737" w:rsidR="001F12E8" w:rsidRPr="002F1CBE" w:rsidRDefault="006D1497" w:rsidP="001F12E8">
      <w:pPr>
        <w:pStyle w:val="Caption"/>
        <w:rPr>
          <w:lang w:val="en-US"/>
        </w:rPr>
      </w:pPr>
      <w:r>
        <w:rPr>
          <w:lang w:val="en-US"/>
        </w:rPr>
        <w:t xml:space="preserve">Supplementary </w:t>
      </w:r>
      <w:r w:rsidR="001F12E8" w:rsidRPr="002F1CBE">
        <w:rPr>
          <w:lang w:val="en-US"/>
        </w:rPr>
        <w:t xml:space="preserve">Table </w:t>
      </w:r>
      <w:r w:rsidR="00C5641A" w:rsidRPr="002F1CBE">
        <w:rPr>
          <w:lang w:val="en-US"/>
        </w:rPr>
        <w:fldChar w:fldCharType="begin"/>
      </w:r>
      <w:r w:rsidR="00C5641A" w:rsidRPr="002F1CBE">
        <w:rPr>
          <w:lang w:val="en-US"/>
        </w:rPr>
        <w:instrText xml:space="preserve"> SEQ Table \* ARABIC </w:instrText>
      </w:r>
      <w:r w:rsidR="00C5641A" w:rsidRPr="002F1CBE">
        <w:rPr>
          <w:lang w:val="en-US"/>
        </w:rPr>
        <w:fldChar w:fldCharType="separate"/>
      </w:r>
      <w:r w:rsidR="00D80D85">
        <w:rPr>
          <w:noProof/>
          <w:lang w:val="en-US"/>
        </w:rPr>
        <w:t>5</w:t>
      </w:r>
      <w:r w:rsidR="00C5641A" w:rsidRPr="002F1CBE">
        <w:rPr>
          <w:lang w:val="en-US"/>
        </w:rPr>
        <w:fldChar w:fldCharType="end"/>
      </w:r>
      <w:r w:rsidR="001F12E8" w:rsidRPr="002F1CBE">
        <w:rPr>
          <w:lang w:val="en-US"/>
        </w:rPr>
        <w:t xml:space="preserve">: </w:t>
      </w:r>
      <w:r w:rsidR="00CF7369">
        <w:rPr>
          <w:lang w:val="en-US"/>
        </w:rPr>
        <w:t>Total d</w:t>
      </w:r>
      <w:r w:rsidR="001F12E8" w:rsidRPr="002F1CBE">
        <w:rPr>
          <w:lang w:val="en-US"/>
        </w:rPr>
        <w:t>iscounted disaggregated costs</w:t>
      </w:r>
      <w:r w:rsidR="00CF7369">
        <w:rPr>
          <w:lang w:val="en-US"/>
        </w:rPr>
        <w:t xml:space="preserve"> over model time horizon</w:t>
      </w:r>
    </w:p>
    <w:tbl>
      <w:tblPr>
        <w:tblStyle w:val="TableGrid"/>
        <w:tblW w:w="5100" w:type="pct"/>
        <w:tblLook w:val="04A0" w:firstRow="1" w:lastRow="0" w:firstColumn="1" w:lastColumn="0" w:noHBand="0" w:noVBand="1"/>
      </w:tblPr>
      <w:tblGrid>
        <w:gridCol w:w="1711"/>
        <w:gridCol w:w="2003"/>
        <w:gridCol w:w="1897"/>
        <w:gridCol w:w="1936"/>
        <w:gridCol w:w="2004"/>
        <w:gridCol w:w="1763"/>
        <w:gridCol w:w="1802"/>
      </w:tblGrid>
      <w:tr w:rsidR="00E74CCA" w:rsidRPr="002F1CBE" w14:paraId="1F5126F7" w14:textId="77777777" w:rsidTr="00E74CCA">
        <w:trPr>
          <w:tblHeader/>
        </w:trPr>
        <w:tc>
          <w:tcPr>
            <w:tcW w:w="652" w:type="pct"/>
            <w:vMerge w:val="restart"/>
          </w:tcPr>
          <w:p w14:paraId="026B2532" w14:textId="4EBF6E0A" w:rsidR="00E74CCA" w:rsidRPr="002F1CBE" w:rsidRDefault="00E74CCA" w:rsidP="00E74CCA">
            <w:pPr>
              <w:jc w:val="center"/>
              <w:rPr>
                <w:b/>
                <w:lang w:val="en-US"/>
              </w:rPr>
            </w:pPr>
            <w:r w:rsidRPr="002F1CBE">
              <w:rPr>
                <w:b/>
                <w:lang w:val="en-US"/>
              </w:rPr>
              <w:t>Cost</w:t>
            </w:r>
          </w:p>
        </w:tc>
        <w:tc>
          <w:tcPr>
            <w:tcW w:w="2224" w:type="pct"/>
            <w:gridSpan w:val="3"/>
          </w:tcPr>
          <w:p w14:paraId="5B5D5B88" w14:textId="63ABDD7A" w:rsidR="00E74CCA" w:rsidRPr="002F1CBE" w:rsidRDefault="00E74CCA" w:rsidP="00E74CCA">
            <w:pPr>
              <w:jc w:val="center"/>
              <w:rPr>
                <w:b/>
                <w:lang w:val="en-US"/>
              </w:rPr>
            </w:pPr>
            <w:r>
              <w:rPr>
                <w:b/>
                <w:lang w:val="en-US"/>
              </w:rPr>
              <w:t>Versus chemotherapy</w:t>
            </w:r>
          </w:p>
        </w:tc>
        <w:tc>
          <w:tcPr>
            <w:tcW w:w="2123" w:type="pct"/>
            <w:gridSpan w:val="3"/>
          </w:tcPr>
          <w:p w14:paraId="4BDAADFA" w14:textId="0D0E1D64" w:rsidR="00E74CCA" w:rsidRDefault="00E74CCA" w:rsidP="00E74CCA">
            <w:pPr>
              <w:jc w:val="center"/>
              <w:rPr>
                <w:b/>
                <w:lang w:val="en-US"/>
              </w:rPr>
            </w:pPr>
            <w:r>
              <w:rPr>
                <w:b/>
                <w:lang w:val="en-US"/>
              </w:rPr>
              <w:t>Versus atezolizumab</w:t>
            </w:r>
          </w:p>
        </w:tc>
      </w:tr>
      <w:tr w:rsidR="00E74CCA" w:rsidRPr="002F1CBE" w14:paraId="2E7A0303" w14:textId="050F5A12" w:rsidTr="00E74CCA">
        <w:trPr>
          <w:tblHeader/>
        </w:trPr>
        <w:tc>
          <w:tcPr>
            <w:tcW w:w="652" w:type="pct"/>
            <w:vMerge/>
          </w:tcPr>
          <w:p w14:paraId="566ACD40" w14:textId="2E7B6431" w:rsidR="00E74CCA" w:rsidRPr="002F1CBE" w:rsidRDefault="00E74CCA" w:rsidP="00E74CCA">
            <w:pPr>
              <w:jc w:val="center"/>
              <w:rPr>
                <w:b/>
                <w:lang w:val="en-US"/>
              </w:rPr>
            </w:pPr>
          </w:p>
        </w:tc>
        <w:tc>
          <w:tcPr>
            <w:tcW w:w="764" w:type="pct"/>
          </w:tcPr>
          <w:p w14:paraId="5A50FAA6" w14:textId="77777777" w:rsidR="00E74CCA" w:rsidRPr="002F1CBE" w:rsidRDefault="00E74CCA" w:rsidP="00E74CCA">
            <w:pPr>
              <w:jc w:val="center"/>
              <w:rPr>
                <w:b/>
                <w:lang w:val="en-US"/>
              </w:rPr>
            </w:pPr>
            <w:r w:rsidRPr="002F1CBE">
              <w:rPr>
                <w:b/>
                <w:lang w:val="en-US"/>
              </w:rPr>
              <w:t>Pembrolizumab</w:t>
            </w:r>
          </w:p>
        </w:tc>
        <w:tc>
          <w:tcPr>
            <w:tcW w:w="723" w:type="pct"/>
          </w:tcPr>
          <w:p w14:paraId="6FAC8972" w14:textId="77777777" w:rsidR="00E74CCA" w:rsidRPr="002F1CBE" w:rsidRDefault="00E74CCA" w:rsidP="00E74CCA">
            <w:pPr>
              <w:jc w:val="center"/>
              <w:rPr>
                <w:b/>
                <w:lang w:val="en-US"/>
              </w:rPr>
            </w:pPr>
            <w:r w:rsidRPr="002F1CBE">
              <w:rPr>
                <w:b/>
                <w:lang w:val="en-US"/>
              </w:rPr>
              <w:t>Chemotherapy</w:t>
            </w:r>
          </w:p>
        </w:tc>
        <w:tc>
          <w:tcPr>
            <w:tcW w:w="738" w:type="pct"/>
          </w:tcPr>
          <w:p w14:paraId="544929DB" w14:textId="535C6C5B" w:rsidR="00E74CCA" w:rsidRDefault="00E74CCA" w:rsidP="00E74CCA">
            <w:pPr>
              <w:jc w:val="center"/>
              <w:rPr>
                <w:b/>
                <w:lang w:val="en-US"/>
              </w:rPr>
            </w:pPr>
            <w:r w:rsidRPr="002F1CBE">
              <w:rPr>
                <w:b/>
                <w:lang w:val="en-US"/>
              </w:rPr>
              <w:t>Incremental</w:t>
            </w:r>
            <w:r>
              <w:rPr>
                <w:b/>
                <w:lang w:val="en-US"/>
              </w:rPr>
              <w:t xml:space="preserve"> </w:t>
            </w:r>
          </w:p>
        </w:tc>
        <w:tc>
          <w:tcPr>
            <w:tcW w:w="764" w:type="pct"/>
          </w:tcPr>
          <w:p w14:paraId="29D24AFF" w14:textId="6A2A2A16" w:rsidR="00E74CCA" w:rsidRDefault="00E74CCA" w:rsidP="00E74CCA">
            <w:pPr>
              <w:jc w:val="center"/>
              <w:rPr>
                <w:b/>
                <w:lang w:val="en-US"/>
              </w:rPr>
            </w:pPr>
            <w:r w:rsidRPr="002F1CBE">
              <w:rPr>
                <w:b/>
                <w:lang w:val="en-US"/>
              </w:rPr>
              <w:t>Pembrolizumab</w:t>
            </w:r>
          </w:p>
        </w:tc>
        <w:tc>
          <w:tcPr>
            <w:tcW w:w="672" w:type="pct"/>
          </w:tcPr>
          <w:p w14:paraId="74E7D2E7" w14:textId="76170479" w:rsidR="00E74CCA" w:rsidRDefault="00E74CCA" w:rsidP="00E74CCA">
            <w:pPr>
              <w:jc w:val="center"/>
              <w:rPr>
                <w:b/>
                <w:lang w:val="en-US"/>
              </w:rPr>
            </w:pPr>
            <w:r>
              <w:rPr>
                <w:b/>
                <w:lang w:val="en-US"/>
              </w:rPr>
              <w:t>Atezolizumab</w:t>
            </w:r>
          </w:p>
        </w:tc>
        <w:tc>
          <w:tcPr>
            <w:tcW w:w="687" w:type="pct"/>
          </w:tcPr>
          <w:p w14:paraId="0BE7AFC3" w14:textId="718A385A" w:rsidR="00E74CCA" w:rsidRDefault="00E74CCA" w:rsidP="00E74CCA">
            <w:pPr>
              <w:jc w:val="center"/>
              <w:rPr>
                <w:b/>
                <w:lang w:val="en-US"/>
              </w:rPr>
            </w:pPr>
            <w:r>
              <w:rPr>
                <w:b/>
                <w:lang w:val="en-US"/>
              </w:rPr>
              <w:t xml:space="preserve">Incremental </w:t>
            </w:r>
          </w:p>
        </w:tc>
      </w:tr>
      <w:tr w:rsidR="00E74CCA" w:rsidRPr="002F1CBE" w14:paraId="446F4C19" w14:textId="2BB3D55D" w:rsidTr="00F7339B">
        <w:tc>
          <w:tcPr>
            <w:tcW w:w="652" w:type="pct"/>
          </w:tcPr>
          <w:p w14:paraId="19D258C4" w14:textId="77777777" w:rsidR="00E74CCA" w:rsidRPr="002F1CBE" w:rsidRDefault="00E74CCA" w:rsidP="00E74CCA">
            <w:pPr>
              <w:rPr>
                <w:lang w:val="en-US"/>
              </w:rPr>
            </w:pPr>
            <w:r w:rsidRPr="002F1CBE">
              <w:rPr>
                <w:lang w:val="en-US"/>
              </w:rPr>
              <w:t>Drug acquisition</w:t>
            </w:r>
          </w:p>
        </w:tc>
        <w:tc>
          <w:tcPr>
            <w:tcW w:w="764" w:type="pct"/>
            <w:shd w:val="clear" w:color="auto" w:fill="auto"/>
            <w:vAlign w:val="bottom"/>
          </w:tcPr>
          <w:p w14:paraId="35A42667" w14:textId="56786EA2" w:rsidR="00E74CCA" w:rsidRPr="003D5115" w:rsidRDefault="00E74CCA" w:rsidP="00E74CCA">
            <w:pPr>
              <w:rPr>
                <w:lang w:val="en-US"/>
              </w:rPr>
            </w:pPr>
            <w:r w:rsidRPr="00233F4B">
              <w:rPr>
                <w:rFonts w:cs="Arial"/>
                <w:color w:val="000000"/>
              </w:rPr>
              <w:t xml:space="preserve">$96,861 </w:t>
            </w:r>
          </w:p>
        </w:tc>
        <w:tc>
          <w:tcPr>
            <w:tcW w:w="723" w:type="pct"/>
            <w:shd w:val="clear" w:color="auto" w:fill="auto"/>
            <w:vAlign w:val="bottom"/>
          </w:tcPr>
          <w:p w14:paraId="75621707" w14:textId="653931BD" w:rsidR="00E74CCA" w:rsidRPr="003D5115" w:rsidRDefault="00E74CCA" w:rsidP="00E74CCA">
            <w:pPr>
              <w:rPr>
                <w:lang w:val="en-US"/>
              </w:rPr>
            </w:pPr>
            <w:r w:rsidRPr="00233F4B">
              <w:rPr>
                <w:rFonts w:cs="Arial"/>
                <w:color w:val="000000"/>
              </w:rPr>
              <w:t xml:space="preserve">$1,032 </w:t>
            </w:r>
          </w:p>
        </w:tc>
        <w:tc>
          <w:tcPr>
            <w:tcW w:w="738" w:type="pct"/>
            <w:vAlign w:val="bottom"/>
          </w:tcPr>
          <w:p w14:paraId="0AAE8083" w14:textId="747D0DBA" w:rsidR="00E74CCA" w:rsidRDefault="00E74CCA" w:rsidP="00E74CCA">
            <w:pPr>
              <w:rPr>
                <w:rFonts w:cs="Arial"/>
                <w:color w:val="000000"/>
              </w:rPr>
            </w:pPr>
            <w:r w:rsidRPr="004F14D1">
              <w:rPr>
                <w:rFonts w:cs="Arial"/>
                <w:color w:val="000000"/>
              </w:rPr>
              <w:t xml:space="preserve">$95,829 </w:t>
            </w:r>
          </w:p>
        </w:tc>
        <w:tc>
          <w:tcPr>
            <w:tcW w:w="764" w:type="pct"/>
            <w:vAlign w:val="bottom"/>
          </w:tcPr>
          <w:p w14:paraId="5E2BBF98" w14:textId="6E9D7311" w:rsidR="00E74CCA" w:rsidRDefault="00E74CCA" w:rsidP="00E74CCA">
            <w:pPr>
              <w:rPr>
                <w:rFonts w:cs="Arial"/>
                <w:color w:val="000000"/>
              </w:rPr>
            </w:pPr>
            <w:r w:rsidRPr="00B03EB1">
              <w:rPr>
                <w:rFonts w:cs="Arial"/>
                <w:color w:val="000000"/>
              </w:rPr>
              <w:t>$96,861</w:t>
            </w:r>
          </w:p>
        </w:tc>
        <w:tc>
          <w:tcPr>
            <w:tcW w:w="672" w:type="pct"/>
            <w:vAlign w:val="bottom"/>
          </w:tcPr>
          <w:p w14:paraId="28C6371F" w14:textId="6C139435" w:rsidR="00E74CCA" w:rsidRDefault="00E74CCA" w:rsidP="00E74CCA">
            <w:pPr>
              <w:rPr>
                <w:rFonts w:cs="Arial"/>
                <w:color w:val="000000"/>
              </w:rPr>
            </w:pPr>
            <w:r w:rsidRPr="00B03EB1">
              <w:rPr>
                <w:rFonts w:cs="Arial"/>
                <w:color w:val="000000"/>
              </w:rPr>
              <w:t>$137,716</w:t>
            </w:r>
          </w:p>
        </w:tc>
        <w:tc>
          <w:tcPr>
            <w:tcW w:w="687" w:type="pct"/>
            <w:vAlign w:val="bottom"/>
          </w:tcPr>
          <w:p w14:paraId="26C22BC2" w14:textId="3E2993F9" w:rsidR="00E74CCA" w:rsidRDefault="00E74CCA" w:rsidP="00E74CCA">
            <w:pPr>
              <w:rPr>
                <w:rFonts w:cs="Arial"/>
                <w:color w:val="000000"/>
              </w:rPr>
            </w:pPr>
            <w:r w:rsidRPr="00B03EB1">
              <w:rPr>
                <w:rFonts w:cs="Arial"/>
                <w:color w:val="000000"/>
              </w:rPr>
              <w:t>-$40,855</w:t>
            </w:r>
          </w:p>
        </w:tc>
      </w:tr>
      <w:tr w:rsidR="00E74CCA" w:rsidRPr="002F1CBE" w14:paraId="48A7283C" w14:textId="682FA716" w:rsidTr="00F7339B">
        <w:tc>
          <w:tcPr>
            <w:tcW w:w="652" w:type="pct"/>
          </w:tcPr>
          <w:p w14:paraId="7CC72F26" w14:textId="77777777" w:rsidR="00E74CCA" w:rsidRPr="002F1CBE" w:rsidRDefault="00E74CCA" w:rsidP="00E74CCA">
            <w:pPr>
              <w:rPr>
                <w:lang w:val="en-US"/>
              </w:rPr>
            </w:pPr>
            <w:r w:rsidRPr="002F1CBE">
              <w:rPr>
                <w:lang w:val="en-US"/>
              </w:rPr>
              <w:t>Drug administration</w:t>
            </w:r>
          </w:p>
        </w:tc>
        <w:tc>
          <w:tcPr>
            <w:tcW w:w="764" w:type="pct"/>
            <w:shd w:val="clear" w:color="auto" w:fill="auto"/>
            <w:vAlign w:val="bottom"/>
          </w:tcPr>
          <w:p w14:paraId="0068BD5E" w14:textId="59C25D60" w:rsidR="00E74CCA" w:rsidRPr="003D5115" w:rsidRDefault="00E74CCA" w:rsidP="00E74CCA">
            <w:pPr>
              <w:rPr>
                <w:lang w:val="en-US"/>
              </w:rPr>
            </w:pPr>
            <w:r w:rsidRPr="00233F4B">
              <w:rPr>
                <w:rFonts w:cs="Arial"/>
                <w:color w:val="000000"/>
              </w:rPr>
              <w:t xml:space="preserve">$754 </w:t>
            </w:r>
          </w:p>
        </w:tc>
        <w:tc>
          <w:tcPr>
            <w:tcW w:w="723" w:type="pct"/>
            <w:shd w:val="clear" w:color="auto" w:fill="auto"/>
            <w:vAlign w:val="bottom"/>
          </w:tcPr>
          <w:p w14:paraId="4D357CAA" w14:textId="10850E42" w:rsidR="00E74CCA" w:rsidRPr="003D5115" w:rsidRDefault="00E74CCA" w:rsidP="00E74CCA">
            <w:pPr>
              <w:rPr>
                <w:lang w:val="en-US"/>
              </w:rPr>
            </w:pPr>
            <w:r w:rsidRPr="00233F4B">
              <w:rPr>
                <w:rFonts w:cs="Arial"/>
                <w:color w:val="000000"/>
              </w:rPr>
              <w:t xml:space="preserve">$738 </w:t>
            </w:r>
          </w:p>
        </w:tc>
        <w:tc>
          <w:tcPr>
            <w:tcW w:w="738" w:type="pct"/>
            <w:vAlign w:val="bottom"/>
          </w:tcPr>
          <w:p w14:paraId="7CD17D9C" w14:textId="7C848404" w:rsidR="00E74CCA" w:rsidRDefault="00E74CCA" w:rsidP="00E74CCA">
            <w:pPr>
              <w:rPr>
                <w:rFonts w:cs="Arial"/>
                <w:color w:val="000000"/>
              </w:rPr>
            </w:pPr>
            <w:r w:rsidRPr="004F14D1">
              <w:rPr>
                <w:rFonts w:cs="Arial"/>
                <w:color w:val="000000"/>
              </w:rPr>
              <w:t xml:space="preserve">$16 </w:t>
            </w:r>
          </w:p>
        </w:tc>
        <w:tc>
          <w:tcPr>
            <w:tcW w:w="764" w:type="pct"/>
            <w:vAlign w:val="bottom"/>
          </w:tcPr>
          <w:p w14:paraId="0030EEE2" w14:textId="295454A7" w:rsidR="00E74CCA" w:rsidRDefault="00E74CCA" w:rsidP="00E74CCA">
            <w:pPr>
              <w:rPr>
                <w:rFonts w:cs="Arial"/>
                <w:color w:val="000000"/>
              </w:rPr>
            </w:pPr>
            <w:r w:rsidRPr="00B03EB1">
              <w:rPr>
                <w:rFonts w:cs="Arial"/>
                <w:color w:val="000000"/>
              </w:rPr>
              <w:t>$754</w:t>
            </w:r>
          </w:p>
        </w:tc>
        <w:tc>
          <w:tcPr>
            <w:tcW w:w="672" w:type="pct"/>
            <w:vAlign w:val="bottom"/>
          </w:tcPr>
          <w:p w14:paraId="67354628" w14:textId="4629B801" w:rsidR="00E74CCA" w:rsidRDefault="00E74CCA" w:rsidP="00E74CCA">
            <w:pPr>
              <w:rPr>
                <w:rFonts w:cs="Arial"/>
                <w:color w:val="000000"/>
              </w:rPr>
            </w:pPr>
            <w:r w:rsidRPr="00B03EB1">
              <w:rPr>
                <w:rFonts w:cs="Arial"/>
                <w:color w:val="000000"/>
              </w:rPr>
              <w:t>$2,278</w:t>
            </w:r>
          </w:p>
        </w:tc>
        <w:tc>
          <w:tcPr>
            <w:tcW w:w="687" w:type="pct"/>
            <w:vAlign w:val="bottom"/>
          </w:tcPr>
          <w:p w14:paraId="0BA0615D" w14:textId="5C1E908C" w:rsidR="00E74CCA" w:rsidRDefault="00E74CCA" w:rsidP="00E74CCA">
            <w:pPr>
              <w:rPr>
                <w:rFonts w:cs="Arial"/>
                <w:color w:val="000000"/>
              </w:rPr>
            </w:pPr>
            <w:r w:rsidRPr="00B03EB1">
              <w:rPr>
                <w:rFonts w:cs="Arial"/>
                <w:color w:val="000000"/>
              </w:rPr>
              <w:t>-$1,524</w:t>
            </w:r>
          </w:p>
        </w:tc>
      </w:tr>
      <w:tr w:rsidR="00E74CCA" w:rsidRPr="002F1CBE" w14:paraId="3498A657" w14:textId="6D8D46E6" w:rsidTr="00F7339B">
        <w:tc>
          <w:tcPr>
            <w:tcW w:w="652" w:type="pct"/>
          </w:tcPr>
          <w:p w14:paraId="4FBF5B11" w14:textId="77777777" w:rsidR="00E74CCA" w:rsidRPr="002F1CBE" w:rsidRDefault="00E74CCA" w:rsidP="00E74CCA">
            <w:pPr>
              <w:rPr>
                <w:lang w:val="en-US"/>
              </w:rPr>
            </w:pPr>
            <w:r w:rsidRPr="002F1CBE">
              <w:rPr>
                <w:lang w:val="en-US"/>
              </w:rPr>
              <w:t>Disease management</w:t>
            </w:r>
          </w:p>
        </w:tc>
        <w:tc>
          <w:tcPr>
            <w:tcW w:w="764" w:type="pct"/>
            <w:shd w:val="clear" w:color="auto" w:fill="auto"/>
            <w:vAlign w:val="bottom"/>
          </w:tcPr>
          <w:p w14:paraId="7B1569C6" w14:textId="75624C17" w:rsidR="00E74CCA" w:rsidRPr="003D5115" w:rsidRDefault="00E74CCA" w:rsidP="00E74CCA">
            <w:pPr>
              <w:rPr>
                <w:lang w:val="en-US"/>
              </w:rPr>
            </w:pPr>
            <w:r w:rsidRPr="00233F4B">
              <w:rPr>
                <w:rFonts w:cs="Arial"/>
                <w:color w:val="000000"/>
              </w:rPr>
              <w:t xml:space="preserve">$38,597 </w:t>
            </w:r>
          </w:p>
        </w:tc>
        <w:tc>
          <w:tcPr>
            <w:tcW w:w="723" w:type="pct"/>
            <w:shd w:val="clear" w:color="auto" w:fill="auto"/>
            <w:vAlign w:val="bottom"/>
          </w:tcPr>
          <w:p w14:paraId="7F87BF85" w14:textId="570E074A" w:rsidR="00E74CCA" w:rsidRPr="003D5115" w:rsidRDefault="00E74CCA" w:rsidP="00E74CCA">
            <w:pPr>
              <w:rPr>
                <w:lang w:val="en-US"/>
              </w:rPr>
            </w:pPr>
            <w:r w:rsidRPr="00233F4B">
              <w:rPr>
                <w:rFonts w:cs="Arial"/>
                <w:color w:val="000000"/>
              </w:rPr>
              <w:t xml:space="preserve">$22,051 </w:t>
            </w:r>
          </w:p>
        </w:tc>
        <w:tc>
          <w:tcPr>
            <w:tcW w:w="738" w:type="pct"/>
            <w:vAlign w:val="bottom"/>
          </w:tcPr>
          <w:p w14:paraId="46DA3131" w14:textId="02C97994" w:rsidR="00E74CCA" w:rsidRDefault="00E74CCA" w:rsidP="00E74CCA">
            <w:pPr>
              <w:rPr>
                <w:rFonts w:cs="Arial"/>
                <w:color w:val="000000"/>
              </w:rPr>
            </w:pPr>
            <w:r w:rsidRPr="004F14D1">
              <w:rPr>
                <w:rFonts w:cs="Arial"/>
                <w:color w:val="000000"/>
              </w:rPr>
              <w:t xml:space="preserve">$16,546 </w:t>
            </w:r>
          </w:p>
        </w:tc>
        <w:tc>
          <w:tcPr>
            <w:tcW w:w="764" w:type="pct"/>
            <w:vAlign w:val="bottom"/>
          </w:tcPr>
          <w:p w14:paraId="39E5EAC5" w14:textId="23405FB7" w:rsidR="00E74CCA" w:rsidRDefault="00E74CCA" w:rsidP="00E74CCA">
            <w:pPr>
              <w:rPr>
                <w:rFonts w:cs="Arial"/>
                <w:color w:val="000000"/>
              </w:rPr>
            </w:pPr>
            <w:r w:rsidRPr="00B03EB1">
              <w:rPr>
                <w:rFonts w:cs="Arial"/>
                <w:color w:val="000000"/>
              </w:rPr>
              <w:t>$52,803</w:t>
            </w:r>
          </w:p>
        </w:tc>
        <w:tc>
          <w:tcPr>
            <w:tcW w:w="672" w:type="pct"/>
            <w:vAlign w:val="bottom"/>
          </w:tcPr>
          <w:p w14:paraId="587F0E67" w14:textId="4984D6DA" w:rsidR="00E74CCA" w:rsidRDefault="00E74CCA" w:rsidP="00E74CCA">
            <w:pPr>
              <w:rPr>
                <w:rFonts w:cs="Arial"/>
                <w:color w:val="000000"/>
              </w:rPr>
            </w:pPr>
            <w:r w:rsidRPr="00B03EB1">
              <w:rPr>
                <w:rFonts w:cs="Arial"/>
                <w:color w:val="000000"/>
              </w:rPr>
              <w:t>$36,863</w:t>
            </w:r>
          </w:p>
        </w:tc>
        <w:tc>
          <w:tcPr>
            <w:tcW w:w="687" w:type="pct"/>
            <w:vAlign w:val="bottom"/>
          </w:tcPr>
          <w:p w14:paraId="52DDAC35" w14:textId="1B9C2394" w:rsidR="00E74CCA" w:rsidRDefault="00E74CCA" w:rsidP="00E74CCA">
            <w:pPr>
              <w:rPr>
                <w:rFonts w:cs="Arial"/>
                <w:color w:val="000000"/>
              </w:rPr>
            </w:pPr>
            <w:r w:rsidRPr="00B03EB1">
              <w:rPr>
                <w:rFonts w:cs="Arial"/>
                <w:color w:val="000000"/>
              </w:rPr>
              <w:t>$15,940</w:t>
            </w:r>
          </w:p>
        </w:tc>
      </w:tr>
      <w:tr w:rsidR="00E74CCA" w:rsidRPr="002F1CBE" w14:paraId="1DA0592D" w14:textId="0DA42394" w:rsidTr="00F7339B">
        <w:tc>
          <w:tcPr>
            <w:tcW w:w="652" w:type="pct"/>
          </w:tcPr>
          <w:p w14:paraId="5F32217C" w14:textId="77777777" w:rsidR="00E74CCA" w:rsidRPr="002F1CBE" w:rsidRDefault="00E74CCA" w:rsidP="00E74CCA">
            <w:pPr>
              <w:rPr>
                <w:lang w:val="en-US"/>
              </w:rPr>
            </w:pPr>
            <w:r w:rsidRPr="002F1CBE">
              <w:rPr>
                <w:lang w:val="en-US"/>
              </w:rPr>
              <w:t>Subsequent treatment</w:t>
            </w:r>
          </w:p>
        </w:tc>
        <w:tc>
          <w:tcPr>
            <w:tcW w:w="764" w:type="pct"/>
            <w:shd w:val="clear" w:color="auto" w:fill="auto"/>
            <w:vAlign w:val="bottom"/>
          </w:tcPr>
          <w:p w14:paraId="213B6FA2" w14:textId="6FA62E7F" w:rsidR="00E74CCA" w:rsidRPr="003D5115" w:rsidRDefault="00E74CCA" w:rsidP="00E74CCA">
            <w:pPr>
              <w:rPr>
                <w:lang w:val="en-US"/>
              </w:rPr>
            </w:pPr>
            <w:r w:rsidRPr="00233F4B">
              <w:rPr>
                <w:rFonts w:cs="Arial"/>
                <w:color w:val="000000"/>
              </w:rPr>
              <w:t xml:space="preserve">$1,888 </w:t>
            </w:r>
          </w:p>
        </w:tc>
        <w:tc>
          <w:tcPr>
            <w:tcW w:w="723" w:type="pct"/>
            <w:shd w:val="clear" w:color="auto" w:fill="auto"/>
            <w:vAlign w:val="bottom"/>
          </w:tcPr>
          <w:p w14:paraId="00366EAD" w14:textId="5552AC81" w:rsidR="00E74CCA" w:rsidRPr="003D5115" w:rsidRDefault="00E74CCA" w:rsidP="00E74CCA">
            <w:pPr>
              <w:rPr>
                <w:lang w:val="en-US"/>
              </w:rPr>
            </w:pPr>
            <w:r w:rsidRPr="00233F4B">
              <w:rPr>
                <w:rFonts w:cs="Arial"/>
                <w:color w:val="000000"/>
              </w:rPr>
              <w:t xml:space="preserve">$1,820 </w:t>
            </w:r>
          </w:p>
        </w:tc>
        <w:tc>
          <w:tcPr>
            <w:tcW w:w="738" w:type="pct"/>
            <w:vAlign w:val="bottom"/>
          </w:tcPr>
          <w:p w14:paraId="3991B07B" w14:textId="0649DA71" w:rsidR="00E74CCA" w:rsidRDefault="00E74CCA" w:rsidP="00E74CCA">
            <w:pPr>
              <w:rPr>
                <w:rFonts w:cs="Arial"/>
                <w:color w:val="000000"/>
              </w:rPr>
            </w:pPr>
            <w:r w:rsidRPr="004F14D1">
              <w:rPr>
                <w:rFonts w:cs="Arial"/>
                <w:color w:val="000000"/>
              </w:rPr>
              <w:t xml:space="preserve">$67 </w:t>
            </w:r>
          </w:p>
        </w:tc>
        <w:tc>
          <w:tcPr>
            <w:tcW w:w="764" w:type="pct"/>
            <w:vAlign w:val="bottom"/>
          </w:tcPr>
          <w:p w14:paraId="0E2395F9" w14:textId="77A4A92C" w:rsidR="00E74CCA" w:rsidRDefault="00E74CCA" w:rsidP="00E74CCA">
            <w:pPr>
              <w:rPr>
                <w:rFonts w:cs="Arial"/>
                <w:color w:val="000000"/>
              </w:rPr>
            </w:pPr>
            <w:r w:rsidRPr="00B03EB1">
              <w:rPr>
                <w:rFonts w:cs="Arial"/>
                <w:color w:val="000000"/>
              </w:rPr>
              <w:t>$1,888</w:t>
            </w:r>
          </w:p>
        </w:tc>
        <w:tc>
          <w:tcPr>
            <w:tcW w:w="672" w:type="pct"/>
            <w:vAlign w:val="bottom"/>
          </w:tcPr>
          <w:p w14:paraId="6211D23C" w14:textId="083356E5" w:rsidR="00E74CCA" w:rsidRDefault="00E74CCA" w:rsidP="00E74CCA">
            <w:pPr>
              <w:rPr>
                <w:rFonts w:cs="Arial"/>
                <w:color w:val="000000"/>
              </w:rPr>
            </w:pPr>
            <w:r w:rsidRPr="00B03EB1">
              <w:rPr>
                <w:rFonts w:cs="Arial"/>
                <w:color w:val="000000"/>
              </w:rPr>
              <w:t>$1,861</w:t>
            </w:r>
          </w:p>
        </w:tc>
        <w:tc>
          <w:tcPr>
            <w:tcW w:w="687" w:type="pct"/>
            <w:vAlign w:val="bottom"/>
          </w:tcPr>
          <w:p w14:paraId="14847CF6" w14:textId="500D9AA3" w:rsidR="00E74CCA" w:rsidRDefault="00E74CCA" w:rsidP="00E74CCA">
            <w:pPr>
              <w:rPr>
                <w:rFonts w:cs="Arial"/>
                <w:color w:val="000000"/>
              </w:rPr>
            </w:pPr>
            <w:r w:rsidRPr="00B03EB1">
              <w:rPr>
                <w:rFonts w:cs="Arial"/>
                <w:color w:val="000000"/>
              </w:rPr>
              <w:t>$27</w:t>
            </w:r>
          </w:p>
        </w:tc>
      </w:tr>
      <w:tr w:rsidR="00E74CCA" w:rsidRPr="002F1CBE" w14:paraId="31228EED" w14:textId="280BCF99" w:rsidTr="00F7339B">
        <w:tc>
          <w:tcPr>
            <w:tcW w:w="652" w:type="pct"/>
            <w:tcBorders>
              <w:bottom w:val="single" w:sz="4" w:space="0" w:color="auto"/>
            </w:tcBorders>
          </w:tcPr>
          <w:p w14:paraId="2B89D6DC" w14:textId="77777777" w:rsidR="00E74CCA" w:rsidRPr="002F1CBE" w:rsidRDefault="00E74CCA" w:rsidP="00E74CCA">
            <w:pPr>
              <w:rPr>
                <w:lang w:val="en-US"/>
              </w:rPr>
            </w:pPr>
            <w:r w:rsidRPr="002F1CBE">
              <w:rPr>
                <w:lang w:val="en-US"/>
              </w:rPr>
              <w:t xml:space="preserve">Terminal care </w:t>
            </w:r>
          </w:p>
        </w:tc>
        <w:tc>
          <w:tcPr>
            <w:tcW w:w="764" w:type="pct"/>
            <w:tcBorders>
              <w:bottom w:val="single" w:sz="4" w:space="0" w:color="auto"/>
            </w:tcBorders>
            <w:shd w:val="clear" w:color="auto" w:fill="auto"/>
            <w:vAlign w:val="bottom"/>
          </w:tcPr>
          <w:p w14:paraId="620482A6" w14:textId="1AC7A814" w:rsidR="00E74CCA" w:rsidRPr="003D5115" w:rsidRDefault="00E74CCA" w:rsidP="00E74CCA">
            <w:pPr>
              <w:rPr>
                <w:lang w:val="en-US"/>
              </w:rPr>
            </w:pPr>
            <w:r w:rsidRPr="00233F4B">
              <w:rPr>
                <w:rFonts w:cs="Arial"/>
                <w:color w:val="000000"/>
              </w:rPr>
              <w:t xml:space="preserve">$2,008 </w:t>
            </w:r>
          </w:p>
        </w:tc>
        <w:tc>
          <w:tcPr>
            <w:tcW w:w="723" w:type="pct"/>
            <w:tcBorders>
              <w:bottom w:val="single" w:sz="4" w:space="0" w:color="auto"/>
            </w:tcBorders>
            <w:shd w:val="clear" w:color="auto" w:fill="auto"/>
            <w:vAlign w:val="bottom"/>
          </w:tcPr>
          <w:p w14:paraId="6214F424" w14:textId="7887C4EE" w:rsidR="00E74CCA" w:rsidRPr="003D5115" w:rsidRDefault="00E74CCA" w:rsidP="00E74CCA">
            <w:pPr>
              <w:rPr>
                <w:lang w:val="en-US"/>
              </w:rPr>
            </w:pPr>
            <w:r w:rsidRPr="00233F4B">
              <w:rPr>
                <w:rFonts w:cs="Arial"/>
                <w:color w:val="000000"/>
              </w:rPr>
              <w:t xml:space="preserve">$2,138 </w:t>
            </w:r>
          </w:p>
        </w:tc>
        <w:tc>
          <w:tcPr>
            <w:tcW w:w="738" w:type="pct"/>
            <w:tcBorders>
              <w:bottom w:val="single" w:sz="4" w:space="0" w:color="auto"/>
            </w:tcBorders>
            <w:vAlign w:val="bottom"/>
          </w:tcPr>
          <w:p w14:paraId="2B142EC7" w14:textId="5A4DD2F4" w:rsidR="00E74CCA" w:rsidRDefault="00E74CCA" w:rsidP="00E74CCA">
            <w:pPr>
              <w:rPr>
                <w:rFonts w:cs="Arial"/>
                <w:color w:val="000000"/>
              </w:rPr>
            </w:pPr>
            <w:r w:rsidRPr="004F14D1">
              <w:rPr>
                <w:rFonts w:cs="Arial"/>
                <w:color w:val="000000"/>
              </w:rPr>
              <w:t xml:space="preserve">-$130 </w:t>
            </w:r>
          </w:p>
        </w:tc>
        <w:tc>
          <w:tcPr>
            <w:tcW w:w="764" w:type="pct"/>
            <w:tcBorders>
              <w:bottom w:val="single" w:sz="4" w:space="0" w:color="auto"/>
            </w:tcBorders>
            <w:vAlign w:val="bottom"/>
          </w:tcPr>
          <w:p w14:paraId="727F7957" w14:textId="02FAF7F2" w:rsidR="00E74CCA" w:rsidRDefault="00E74CCA" w:rsidP="00E74CCA">
            <w:pPr>
              <w:rPr>
                <w:rFonts w:cs="Arial"/>
                <w:color w:val="000000"/>
              </w:rPr>
            </w:pPr>
            <w:r w:rsidRPr="00B03EB1">
              <w:rPr>
                <w:rFonts w:cs="Arial"/>
                <w:color w:val="000000"/>
              </w:rPr>
              <w:t>$0</w:t>
            </w:r>
          </w:p>
        </w:tc>
        <w:tc>
          <w:tcPr>
            <w:tcW w:w="672" w:type="pct"/>
            <w:tcBorders>
              <w:bottom w:val="single" w:sz="4" w:space="0" w:color="auto"/>
            </w:tcBorders>
            <w:vAlign w:val="bottom"/>
          </w:tcPr>
          <w:p w14:paraId="0B336045" w14:textId="34993FAC" w:rsidR="00E74CCA" w:rsidRDefault="00E74CCA" w:rsidP="00E74CCA">
            <w:pPr>
              <w:rPr>
                <w:rFonts w:cs="Arial"/>
                <w:color w:val="000000"/>
              </w:rPr>
            </w:pPr>
            <w:r w:rsidRPr="00B03EB1">
              <w:rPr>
                <w:rFonts w:cs="Arial"/>
                <w:color w:val="000000"/>
              </w:rPr>
              <w:t>$0</w:t>
            </w:r>
          </w:p>
        </w:tc>
        <w:tc>
          <w:tcPr>
            <w:tcW w:w="687" w:type="pct"/>
            <w:tcBorders>
              <w:bottom w:val="single" w:sz="4" w:space="0" w:color="auto"/>
            </w:tcBorders>
            <w:vAlign w:val="bottom"/>
          </w:tcPr>
          <w:p w14:paraId="475F194C" w14:textId="34F2500F" w:rsidR="00E74CCA" w:rsidRDefault="00E74CCA" w:rsidP="00E74CCA">
            <w:pPr>
              <w:rPr>
                <w:rFonts w:cs="Arial"/>
                <w:color w:val="000000"/>
              </w:rPr>
            </w:pPr>
            <w:r w:rsidRPr="00B03EB1">
              <w:rPr>
                <w:rFonts w:cs="Arial"/>
                <w:color w:val="000000"/>
              </w:rPr>
              <w:t>$0</w:t>
            </w:r>
          </w:p>
        </w:tc>
      </w:tr>
      <w:tr w:rsidR="00E74CCA" w:rsidRPr="002F1CBE" w14:paraId="5C7F9F71" w14:textId="5E632E10" w:rsidTr="00F7339B">
        <w:tc>
          <w:tcPr>
            <w:tcW w:w="652" w:type="pct"/>
            <w:tcBorders>
              <w:top w:val="single" w:sz="4" w:space="0" w:color="auto"/>
              <w:left w:val="single" w:sz="4" w:space="0" w:color="auto"/>
              <w:bottom w:val="single" w:sz="4" w:space="0" w:color="auto"/>
              <w:right w:val="single" w:sz="4" w:space="0" w:color="auto"/>
            </w:tcBorders>
          </w:tcPr>
          <w:p w14:paraId="15D1E853" w14:textId="77777777" w:rsidR="00E74CCA" w:rsidRPr="002F1CBE" w:rsidRDefault="00E74CCA" w:rsidP="00E74CCA">
            <w:pPr>
              <w:rPr>
                <w:lang w:val="en-US"/>
              </w:rPr>
            </w:pPr>
            <w:r w:rsidRPr="002F1CBE">
              <w:rPr>
                <w:lang w:val="en-US"/>
              </w:rPr>
              <w:t>Adverse event management</w:t>
            </w:r>
          </w:p>
        </w:tc>
        <w:tc>
          <w:tcPr>
            <w:tcW w:w="764" w:type="pct"/>
            <w:tcBorders>
              <w:top w:val="single" w:sz="4" w:space="0" w:color="auto"/>
              <w:left w:val="single" w:sz="4" w:space="0" w:color="auto"/>
              <w:bottom w:val="single" w:sz="4" w:space="0" w:color="auto"/>
              <w:right w:val="single" w:sz="4" w:space="0" w:color="auto"/>
            </w:tcBorders>
            <w:shd w:val="clear" w:color="auto" w:fill="auto"/>
            <w:vAlign w:val="bottom"/>
          </w:tcPr>
          <w:p w14:paraId="30CA83E8" w14:textId="7EEB10AE" w:rsidR="00E74CCA" w:rsidRPr="003D5115" w:rsidRDefault="00E74CCA" w:rsidP="00E74CCA">
            <w:pPr>
              <w:rPr>
                <w:lang w:val="en-US"/>
              </w:rPr>
            </w:pPr>
            <w:r w:rsidRPr="00233F4B">
              <w:rPr>
                <w:rFonts w:cs="Arial"/>
                <w:color w:val="000000"/>
              </w:rPr>
              <w:t>$</w:t>
            </w:r>
            <w:r>
              <w:rPr>
                <w:rFonts w:cs="Arial"/>
                <w:color w:val="000000"/>
              </w:rPr>
              <w:t>449</w:t>
            </w:r>
            <w:r w:rsidRPr="00233F4B">
              <w:rPr>
                <w:rFonts w:cs="Arial"/>
                <w:color w:val="000000"/>
              </w:rPr>
              <w:t xml:space="preserve"> </w:t>
            </w:r>
          </w:p>
        </w:tc>
        <w:tc>
          <w:tcPr>
            <w:tcW w:w="723" w:type="pct"/>
            <w:tcBorders>
              <w:top w:val="single" w:sz="4" w:space="0" w:color="auto"/>
              <w:left w:val="single" w:sz="4" w:space="0" w:color="auto"/>
              <w:bottom w:val="single" w:sz="4" w:space="0" w:color="auto"/>
              <w:right w:val="single" w:sz="4" w:space="0" w:color="auto"/>
            </w:tcBorders>
            <w:shd w:val="clear" w:color="auto" w:fill="auto"/>
            <w:vAlign w:val="bottom"/>
          </w:tcPr>
          <w:p w14:paraId="64332742" w14:textId="1AEBED4E" w:rsidR="00E74CCA" w:rsidRPr="003D5115" w:rsidRDefault="00E74CCA" w:rsidP="00E74CCA">
            <w:pPr>
              <w:rPr>
                <w:lang w:val="en-US"/>
              </w:rPr>
            </w:pPr>
            <w:r w:rsidRPr="00233F4B">
              <w:rPr>
                <w:rFonts w:cs="Arial"/>
                <w:color w:val="000000"/>
              </w:rPr>
              <w:t>$</w:t>
            </w:r>
            <w:r>
              <w:rPr>
                <w:rFonts w:cs="Arial"/>
                <w:color w:val="000000"/>
              </w:rPr>
              <w:t>6,477</w:t>
            </w:r>
            <w:r w:rsidRPr="00233F4B">
              <w:rPr>
                <w:rFonts w:cs="Arial"/>
                <w:color w:val="000000"/>
              </w:rPr>
              <w:t xml:space="preserve"> </w:t>
            </w:r>
          </w:p>
        </w:tc>
        <w:tc>
          <w:tcPr>
            <w:tcW w:w="738" w:type="pct"/>
            <w:tcBorders>
              <w:top w:val="single" w:sz="4" w:space="0" w:color="auto"/>
              <w:left w:val="single" w:sz="4" w:space="0" w:color="14ACA8"/>
              <w:bottom w:val="single" w:sz="4" w:space="0" w:color="auto"/>
              <w:right w:val="single" w:sz="4" w:space="0" w:color="auto"/>
            </w:tcBorders>
            <w:vAlign w:val="bottom"/>
          </w:tcPr>
          <w:p w14:paraId="57C93C77" w14:textId="76A2CA6C" w:rsidR="00E74CCA" w:rsidRDefault="00E74CCA" w:rsidP="00E74CCA">
            <w:pPr>
              <w:rPr>
                <w:rFonts w:cs="Arial"/>
                <w:color w:val="000000"/>
              </w:rPr>
            </w:pPr>
            <w:r w:rsidRPr="004F14D1">
              <w:rPr>
                <w:rFonts w:cs="Arial"/>
                <w:color w:val="000000"/>
              </w:rPr>
              <w:t>-$</w:t>
            </w:r>
            <w:r>
              <w:rPr>
                <w:rFonts w:cs="Arial"/>
                <w:color w:val="000000"/>
              </w:rPr>
              <w:t>6,029</w:t>
            </w:r>
            <w:r w:rsidRPr="004F14D1">
              <w:rPr>
                <w:rFonts w:cs="Arial"/>
                <w:color w:val="000000"/>
              </w:rPr>
              <w:t xml:space="preserve"> </w:t>
            </w:r>
          </w:p>
        </w:tc>
        <w:tc>
          <w:tcPr>
            <w:tcW w:w="764" w:type="pct"/>
            <w:tcBorders>
              <w:top w:val="single" w:sz="4" w:space="0" w:color="auto"/>
              <w:left w:val="single" w:sz="4" w:space="0" w:color="auto"/>
              <w:bottom w:val="single" w:sz="4" w:space="0" w:color="auto"/>
              <w:right w:val="single" w:sz="4" w:space="0" w:color="auto"/>
            </w:tcBorders>
            <w:vAlign w:val="bottom"/>
          </w:tcPr>
          <w:p w14:paraId="16A7C7E3" w14:textId="7106B53C" w:rsidR="00E74CCA" w:rsidRDefault="00E74CCA" w:rsidP="00E74CCA">
            <w:pPr>
              <w:rPr>
                <w:rFonts w:cs="Arial"/>
                <w:color w:val="000000"/>
              </w:rPr>
            </w:pPr>
            <w:r w:rsidRPr="00B03EB1">
              <w:rPr>
                <w:rFonts w:cs="Arial"/>
                <w:color w:val="000000"/>
              </w:rPr>
              <w:t>$449</w:t>
            </w:r>
          </w:p>
        </w:tc>
        <w:tc>
          <w:tcPr>
            <w:tcW w:w="672" w:type="pct"/>
            <w:tcBorders>
              <w:top w:val="single" w:sz="4" w:space="0" w:color="auto"/>
              <w:left w:val="single" w:sz="4" w:space="0" w:color="auto"/>
              <w:bottom w:val="single" w:sz="4" w:space="0" w:color="auto"/>
              <w:right w:val="single" w:sz="4" w:space="0" w:color="auto"/>
            </w:tcBorders>
            <w:vAlign w:val="bottom"/>
          </w:tcPr>
          <w:p w14:paraId="39E1A942" w14:textId="762C70F7" w:rsidR="00E74CCA" w:rsidRDefault="00E74CCA" w:rsidP="00E74CCA">
            <w:pPr>
              <w:rPr>
                <w:rFonts w:cs="Arial"/>
                <w:color w:val="000000"/>
              </w:rPr>
            </w:pPr>
            <w:r w:rsidRPr="00B03EB1">
              <w:rPr>
                <w:rFonts w:cs="Arial"/>
                <w:color w:val="000000"/>
              </w:rPr>
              <w:t>$494</w:t>
            </w:r>
          </w:p>
        </w:tc>
        <w:tc>
          <w:tcPr>
            <w:tcW w:w="687" w:type="pct"/>
            <w:tcBorders>
              <w:top w:val="single" w:sz="4" w:space="0" w:color="auto"/>
              <w:left w:val="single" w:sz="4" w:space="0" w:color="auto"/>
              <w:bottom w:val="single" w:sz="4" w:space="0" w:color="auto"/>
              <w:right w:val="single" w:sz="4" w:space="0" w:color="auto"/>
            </w:tcBorders>
            <w:vAlign w:val="bottom"/>
          </w:tcPr>
          <w:p w14:paraId="6FF1F047" w14:textId="4EF6180E" w:rsidR="00E74CCA" w:rsidRDefault="00E74CCA" w:rsidP="00E74CCA">
            <w:pPr>
              <w:rPr>
                <w:rFonts w:cs="Arial"/>
                <w:color w:val="000000"/>
              </w:rPr>
            </w:pPr>
            <w:r w:rsidRPr="00B03EB1">
              <w:rPr>
                <w:rFonts w:cs="Arial"/>
                <w:color w:val="000000"/>
              </w:rPr>
              <w:t>-$46</w:t>
            </w:r>
          </w:p>
        </w:tc>
      </w:tr>
    </w:tbl>
    <w:p w14:paraId="303407A0" w14:textId="77777777" w:rsidR="00B41BBB" w:rsidRDefault="00B41BBB" w:rsidP="001F12E8">
      <w:pPr>
        <w:rPr>
          <w:lang w:val="en-US"/>
        </w:rPr>
        <w:sectPr w:rsidR="00B41BBB" w:rsidSect="00A224C0">
          <w:pgSz w:w="16838" w:h="11906" w:orient="landscape"/>
          <w:pgMar w:top="1134" w:right="2835" w:bottom="1134" w:left="1134" w:header="1985" w:footer="567" w:gutter="0"/>
          <w:cols w:space="708"/>
          <w:docGrid w:linePitch="360"/>
        </w:sectPr>
      </w:pPr>
    </w:p>
    <w:p w14:paraId="745950EC" w14:textId="0B03865A" w:rsidR="00C73427" w:rsidRDefault="00C73427" w:rsidP="00445EFB">
      <w:pPr>
        <w:pStyle w:val="Heading3"/>
        <w:rPr>
          <w:lang w:val="en-US"/>
        </w:rPr>
      </w:pPr>
      <w:r>
        <w:rPr>
          <w:lang w:val="en-US"/>
        </w:rPr>
        <w:lastRenderedPageBreak/>
        <w:t>Tornado diagram from one-way sensitivity analysis</w:t>
      </w:r>
    </w:p>
    <w:p w14:paraId="21825716" w14:textId="077ADCE3" w:rsidR="00C73427" w:rsidRDefault="00C73427" w:rsidP="00C73427">
      <w:pPr>
        <w:pStyle w:val="Caption"/>
        <w:rPr>
          <w:lang w:val="en-US"/>
        </w:rPr>
      </w:pPr>
      <w:r w:rsidRPr="00C908CA">
        <w:rPr>
          <w:lang w:val="en-US"/>
        </w:rPr>
        <w:t xml:space="preserve">Figure </w:t>
      </w:r>
      <w:r w:rsidRPr="00C908CA">
        <w:rPr>
          <w:lang w:val="en-US"/>
        </w:rPr>
        <w:fldChar w:fldCharType="begin"/>
      </w:r>
      <w:r w:rsidRPr="00C908CA">
        <w:rPr>
          <w:lang w:val="en-US"/>
        </w:rPr>
        <w:instrText xml:space="preserve"> SEQ Figure \* ARABIC </w:instrText>
      </w:r>
      <w:r w:rsidRPr="00C908CA">
        <w:rPr>
          <w:lang w:val="en-US"/>
        </w:rPr>
        <w:fldChar w:fldCharType="separate"/>
      </w:r>
      <w:r w:rsidR="00D80D85">
        <w:rPr>
          <w:noProof/>
          <w:lang w:val="en-US"/>
        </w:rPr>
        <w:t>8</w:t>
      </w:r>
      <w:r w:rsidRPr="00C908CA">
        <w:rPr>
          <w:lang w:val="en-US"/>
        </w:rPr>
        <w:fldChar w:fldCharType="end"/>
      </w:r>
      <w:r w:rsidRPr="00C908CA">
        <w:rPr>
          <w:lang w:val="en-US"/>
        </w:rPr>
        <w:t>: One-way sensitivity analysis tornado plot</w:t>
      </w:r>
      <w:r w:rsidR="00655D9D">
        <w:rPr>
          <w:lang w:val="en-US"/>
        </w:rPr>
        <w:t xml:space="preserve"> – versus chemotherapy</w:t>
      </w:r>
    </w:p>
    <w:p w14:paraId="0F78A6F1" w14:textId="52576B88" w:rsidR="00821DB1" w:rsidRPr="00821DB1" w:rsidRDefault="00821DB1" w:rsidP="00A00B39">
      <w:pPr>
        <w:rPr>
          <w:lang w:val="en-US"/>
        </w:rPr>
      </w:pPr>
      <w:r w:rsidRPr="00821DB1">
        <w:rPr>
          <w:noProof/>
        </w:rPr>
        <w:drawing>
          <wp:inline distT="0" distB="0" distL="0" distR="0" wp14:anchorId="20D06C5F" wp14:editId="4EACB2E2">
            <wp:extent cx="5762625" cy="396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3962400"/>
                    </a:xfrm>
                    <a:prstGeom prst="rect">
                      <a:avLst/>
                    </a:prstGeom>
                    <a:noFill/>
                    <a:ln>
                      <a:noFill/>
                    </a:ln>
                  </pic:spPr>
                </pic:pic>
              </a:graphicData>
            </a:graphic>
          </wp:inline>
        </w:drawing>
      </w:r>
    </w:p>
    <w:p w14:paraId="2053A975" w14:textId="25166454" w:rsidR="00C73427" w:rsidRPr="00C908CA" w:rsidRDefault="00C73427" w:rsidP="00C73427">
      <w:pPr>
        <w:keepNext/>
        <w:rPr>
          <w:lang w:val="en-US"/>
        </w:rPr>
      </w:pPr>
    </w:p>
    <w:p w14:paraId="4498A567" w14:textId="77777777" w:rsidR="00C73427" w:rsidRPr="00C908CA" w:rsidRDefault="00C73427" w:rsidP="00C73427">
      <w:pPr>
        <w:pStyle w:val="Legend"/>
        <w:keepNext/>
        <w:keepLines/>
        <w:rPr>
          <w:lang w:val="en-US"/>
        </w:rPr>
      </w:pPr>
      <w:r w:rsidRPr="00C908CA">
        <w:rPr>
          <w:b/>
          <w:lang w:val="en-US"/>
        </w:rPr>
        <w:t xml:space="preserve">Key: </w:t>
      </w:r>
      <w:r w:rsidRPr="00C908CA">
        <w:rPr>
          <w:lang w:val="en-US"/>
        </w:rPr>
        <w:t>2L, second line; ICER, incremental cost-effectiveness ratio; OS, overall survival; PF, progression free; PFS, progression-free survival; PP, post-progression; QALY, quality-adjusted life-year.</w:t>
      </w:r>
    </w:p>
    <w:p w14:paraId="39AAEC8F" w14:textId="77777777" w:rsidR="00380ACB" w:rsidRDefault="00380ACB" w:rsidP="00233F4B">
      <w:pPr>
        <w:rPr>
          <w:lang w:val="en-US"/>
        </w:rPr>
      </w:pPr>
    </w:p>
    <w:p w14:paraId="6D41F3AD" w14:textId="18D862DD" w:rsidR="00655D9D" w:rsidRDefault="00655D9D" w:rsidP="00655D9D">
      <w:pPr>
        <w:pStyle w:val="Caption"/>
        <w:rPr>
          <w:lang w:val="en-US"/>
        </w:rPr>
      </w:pPr>
      <w:r w:rsidRPr="00C908CA">
        <w:rPr>
          <w:lang w:val="en-US"/>
        </w:rPr>
        <w:lastRenderedPageBreak/>
        <w:t xml:space="preserve">Figure </w:t>
      </w:r>
      <w:r w:rsidRPr="00C908CA">
        <w:rPr>
          <w:lang w:val="en-US"/>
        </w:rPr>
        <w:fldChar w:fldCharType="begin"/>
      </w:r>
      <w:r w:rsidRPr="00C908CA">
        <w:rPr>
          <w:lang w:val="en-US"/>
        </w:rPr>
        <w:instrText xml:space="preserve"> SEQ Figure \* ARABIC </w:instrText>
      </w:r>
      <w:r w:rsidRPr="00C908CA">
        <w:rPr>
          <w:lang w:val="en-US"/>
        </w:rPr>
        <w:fldChar w:fldCharType="separate"/>
      </w:r>
      <w:r>
        <w:rPr>
          <w:noProof/>
          <w:lang w:val="en-US"/>
        </w:rPr>
        <w:t>9</w:t>
      </w:r>
      <w:r w:rsidRPr="00C908CA">
        <w:rPr>
          <w:lang w:val="en-US"/>
        </w:rPr>
        <w:fldChar w:fldCharType="end"/>
      </w:r>
      <w:r w:rsidRPr="00C908CA">
        <w:rPr>
          <w:lang w:val="en-US"/>
        </w:rPr>
        <w:t>: One-way sensitivity analysis tornado plot</w:t>
      </w:r>
      <w:r>
        <w:rPr>
          <w:lang w:val="en-US"/>
        </w:rPr>
        <w:t xml:space="preserve"> – versus atezolizumab</w:t>
      </w:r>
    </w:p>
    <w:p w14:paraId="40558370" w14:textId="690EA004" w:rsidR="0086673C" w:rsidRPr="0086673C" w:rsidRDefault="00E74CCA" w:rsidP="00A00B39">
      <w:pPr>
        <w:rPr>
          <w:lang w:val="en-US"/>
        </w:rPr>
      </w:pPr>
      <w:r>
        <w:rPr>
          <w:noProof/>
          <w:lang w:val="en-US"/>
        </w:rPr>
        <w:drawing>
          <wp:inline distT="0" distB="0" distL="0" distR="0" wp14:anchorId="017AFEDD" wp14:editId="66901C54">
            <wp:extent cx="5925820" cy="38227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25820" cy="3822700"/>
                    </a:xfrm>
                    <a:prstGeom prst="rect">
                      <a:avLst/>
                    </a:prstGeom>
                    <a:noFill/>
                  </pic:spPr>
                </pic:pic>
              </a:graphicData>
            </a:graphic>
          </wp:inline>
        </w:drawing>
      </w:r>
    </w:p>
    <w:p w14:paraId="162E29DD" w14:textId="2EAFEFE3" w:rsidR="00655D9D" w:rsidRPr="00C908CA" w:rsidRDefault="00655D9D" w:rsidP="00655D9D">
      <w:pPr>
        <w:keepNext/>
        <w:rPr>
          <w:lang w:val="en-US"/>
        </w:rPr>
      </w:pPr>
    </w:p>
    <w:p w14:paraId="0408BA10" w14:textId="5D507D83" w:rsidR="00655D9D" w:rsidRPr="00C908CA" w:rsidRDefault="00655D9D" w:rsidP="00655D9D">
      <w:pPr>
        <w:pStyle w:val="Legend"/>
        <w:keepNext/>
        <w:keepLines/>
        <w:rPr>
          <w:lang w:val="en-US"/>
        </w:rPr>
      </w:pPr>
      <w:r w:rsidRPr="00C908CA">
        <w:rPr>
          <w:b/>
          <w:lang w:val="en-US"/>
        </w:rPr>
        <w:t xml:space="preserve">Key: </w:t>
      </w:r>
      <w:r w:rsidRPr="00C908CA">
        <w:rPr>
          <w:lang w:val="en-US"/>
        </w:rPr>
        <w:t xml:space="preserve">2L, second line; ICER, incremental cost-effectiveness ratio; </w:t>
      </w:r>
      <w:r>
        <w:rPr>
          <w:lang w:val="en-US"/>
        </w:rPr>
        <w:t xml:space="preserve">MAIC, match-adjusted indirect comparison; </w:t>
      </w:r>
      <w:r w:rsidRPr="00C908CA">
        <w:rPr>
          <w:lang w:val="en-US"/>
        </w:rPr>
        <w:t>OS, overall survival; PF, progression free; PFS, progression-free survival; PP, post-progression; QALY, quality-adjusted life-year.</w:t>
      </w:r>
    </w:p>
    <w:p w14:paraId="6B9A934E" w14:textId="77777777" w:rsidR="00E74CCA" w:rsidRDefault="00E74CCA" w:rsidP="00E74CCA">
      <w:pPr>
        <w:pStyle w:val="Legend"/>
        <w:keepNext/>
        <w:keepLines/>
        <w:rPr>
          <w:lang w:val="en-US"/>
        </w:rPr>
        <w:sectPr w:rsidR="00E74CCA" w:rsidSect="00B00D97">
          <w:pgSz w:w="11906" w:h="16838"/>
          <w:pgMar w:top="2835" w:right="1134" w:bottom="1134" w:left="1134" w:header="1984" w:footer="567" w:gutter="0"/>
          <w:cols w:space="708"/>
          <w:docGrid w:linePitch="360"/>
        </w:sectPr>
      </w:pPr>
      <w:r w:rsidRPr="00B03EB1">
        <w:rPr>
          <w:b/>
          <w:bCs/>
          <w:lang w:val="en-US"/>
        </w:rPr>
        <w:t>Note:</w:t>
      </w:r>
      <w:r>
        <w:rPr>
          <w:lang w:val="en-US"/>
        </w:rPr>
        <w:t xml:space="preserve"> Net-monetary benefit (NMB) is a way of placing both costs and effects as a single scale monetary value </w:t>
      </w:r>
      <w:r>
        <w:rPr>
          <w:lang w:val="en-US"/>
        </w:rPr>
        <w:fldChar w:fldCharType="begin"/>
      </w:r>
      <w:r>
        <w:rPr>
          <w:lang w:val="en-US"/>
        </w:rPr>
        <w:instrText xml:space="preserve"> ADDIN EN.CITE &lt;EndNote&gt;&lt;Cite&gt;&lt;Author&gt;Drummond&lt;/Author&gt;&lt;Year&gt;2015&lt;/Year&gt;&lt;RecNum&gt;99&lt;/RecNum&gt;&lt;DisplayText&gt;[12]&lt;/DisplayText&gt;&lt;record&gt;&lt;rec-number&gt;99&lt;/rec-number&gt;&lt;foreign-keys&gt;&lt;key app="EN" db-id="sv0re5vpexw0fmexwr6x0t91xt9zt5dxfxvz" timestamp="1582280872"&gt;99&lt;/key&gt;&lt;/foreign-keys&gt;&lt;ref-type name="Book"&gt;6&lt;/ref-type&gt;&lt;contributors&gt;&lt;authors&gt;&lt;author&gt;Drummond, M. F., &lt;/author&gt;&lt;author&gt;Sculpher, M. J., &lt;/author&gt;&lt;author&gt;Claxton, K., Stoddart, G. L.,&lt;/author&gt;&lt;author&gt;Torrance, G. W&lt;/author&gt;&lt;/authors&gt;&lt;/contributors&gt;&lt;titles&gt;&lt;title&gt;Methods for the Economic Evaluation of Health Care Programmes&lt;/title&gt;&lt;/titles&gt;&lt;edition&gt;4th &lt;/edition&gt;&lt;dates&gt;&lt;year&gt;2015&lt;/year&gt;&lt;/dates&gt;&lt;pub-location&gt;Oxford&lt;/pub-location&gt;&lt;publisher&gt;Oxford University Press&lt;/publisher&gt;&lt;urls&gt;&lt;/urls&gt;&lt;/record&gt;&lt;/Cite&gt;&lt;/EndNote&gt;</w:instrText>
      </w:r>
      <w:r>
        <w:rPr>
          <w:lang w:val="en-US"/>
        </w:rPr>
        <w:fldChar w:fldCharType="separate"/>
      </w:r>
      <w:r>
        <w:rPr>
          <w:noProof/>
          <w:lang w:val="en-US"/>
        </w:rPr>
        <w:t>[12]</w:t>
      </w:r>
      <w:r>
        <w:rPr>
          <w:lang w:val="en-US"/>
        </w:rPr>
        <w:fldChar w:fldCharType="end"/>
      </w:r>
      <w:r>
        <w:rPr>
          <w:lang w:val="en-US"/>
        </w:rPr>
        <w:t xml:space="preserve">. This is a useful alternative measure of cost-effectiveness when the ICER falls within another quadrant of the cost-effectiveness plane (i.e. in situations of dominance). The incremental NMB is calculated as: </w:t>
      </w:r>
      <w:r w:rsidRPr="00B03EB1">
        <w:rPr>
          <w:i/>
          <w:iCs/>
          <w:lang w:val="en-US"/>
        </w:rPr>
        <w:t>incremental NMB = incremental QALYs x WTP – incremental costs</w:t>
      </w:r>
      <w:r>
        <w:rPr>
          <w:lang w:val="en-US"/>
        </w:rPr>
        <w:t xml:space="preserve">. Therefore, if the incremental NMB is positive then the intervention is cost-effective at the specified WTP threshold.  In this OWSA, the WTP was set to $100,000, and therefore for each parameter tested pembrolizumab is still considered cost-effective at that threshold versus atezolizumab. </w:t>
      </w:r>
    </w:p>
    <w:p w14:paraId="1B55EF6C" w14:textId="563730C6" w:rsidR="00445EFB" w:rsidRPr="002F1CBE" w:rsidRDefault="00445EFB" w:rsidP="00445EFB">
      <w:pPr>
        <w:pStyle w:val="Heading3"/>
        <w:rPr>
          <w:lang w:val="en-US"/>
        </w:rPr>
      </w:pPr>
      <w:r>
        <w:rPr>
          <w:lang w:val="en-US"/>
        </w:rPr>
        <w:lastRenderedPageBreak/>
        <w:t>Scenario analysis</w:t>
      </w:r>
    </w:p>
    <w:p w14:paraId="7081F3EA" w14:textId="3292C8B4" w:rsidR="00A4433C" w:rsidRPr="002F1CBE" w:rsidRDefault="00605905" w:rsidP="00605905">
      <w:pPr>
        <w:pStyle w:val="Caption"/>
        <w:rPr>
          <w:lang w:val="en-US"/>
        </w:rPr>
      </w:pPr>
      <w:r>
        <w:t xml:space="preserve">Supplementary Table </w:t>
      </w:r>
      <w:r w:rsidR="00C7436B">
        <w:rPr>
          <w:noProof/>
        </w:rPr>
        <w:fldChar w:fldCharType="begin"/>
      </w:r>
      <w:r w:rsidR="00C7436B">
        <w:rPr>
          <w:noProof/>
        </w:rPr>
        <w:instrText xml:space="preserve"> SEQ Table \* ARABIC </w:instrText>
      </w:r>
      <w:r w:rsidR="00C7436B">
        <w:rPr>
          <w:noProof/>
        </w:rPr>
        <w:fldChar w:fldCharType="separate"/>
      </w:r>
      <w:r w:rsidR="00D80D85">
        <w:rPr>
          <w:noProof/>
        </w:rPr>
        <w:t>6</w:t>
      </w:r>
      <w:r w:rsidR="00C7436B">
        <w:rPr>
          <w:noProof/>
        </w:rPr>
        <w:fldChar w:fldCharType="end"/>
      </w:r>
      <w:r>
        <w:t>: Scenario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377"/>
        <w:gridCol w:w="2836"/>
        <w:gridCol w:w="1985"/>
        <w:gridCol w:w="1835"/>
      </w:tblGrid>
      <w:tr w:rsidR="006D3202" w:rsidRPr="002F1CBE" w14:paraId="3A716170" w14:textId="6B2F9780" w:rsidTr="006D3202">
        <w:trPr>
          <w:tblHeader/>
        </w:trPr>
        <w:tc>
          <w:tcPr>
            <w:tcW w:w="828" w:type="pct"/>
            <w:shd w:val="clear" w:color="auto" w:fill="auto"/>
          </w:tcPr>
          <w:p w14:paraId="6BDEBBCF" w14:textId="77777777" w:rsidR="006D3202" w:rsidRPr="002F1CBE" w:rsidRDefault="006D3202" w:rsidP="009E22F2">
            <w:pPr>
              <w:pStyle w:val="Tableheader"/>
              <w:rPr>
                <w:color w:val="auto"/>
                <w:lang w:val="en-US"/>
              </w:rPr>
            </w:pPr>
            <w:r w:rsidRPr="002F1CBE">
              <w:rPr>
                <w:color w:val="auto"/>
                <w:lang w:val="en-US"/>
              </w:rPr>
              <w:t>Parameter</w:t>
            </w:r>
          </w:p>
        </w:tc>
        <w:tc>
          <w:tcPr>
            <w:tcW w:w="715" w:type="pct"/>
            <w:shd w:val="clear" w:color="auto" w:fill="auto"/>
          </w:tcPr>
          <w:p w14:paraId="5AD7F620" w14:textId="77777777" w:rsidR="006D3202" w:rsidRPr="002F1CBE" w:rsidRDefault="006D3202" w:rsidP="009E22F2">
            <w:pPr>
              <w:pStyle w:val="Tableheader"/>
              <w:rPr>
                <w:color w:val="auto"/>
                <w:lang w:val="en-US"/>
              </w:rPr>
            </w:pPr>
            <w:r w:rsidRPr="002F1CBE">
              <w:rPr>
                <w:color w:val="auto"/>
                <w:lang w:val="en-US"/>
              </w:rPr>
              <w:t>Base case</w:t>
            </w:r>
          </w:p>
        </w:tc>
        <w:tc>
          <w:tcPr>
            <w:tcW w:w="1473" w:type="pct"/>
            <w:shd w:val="clear" w:color="auto" w:fill="auto"/>
          </w:tcPr>
          <w:p w14:paraId="2A0A0DA8" w14:textId="77777777" w:rsidR="006D3202" w:rsidRPr="002F1CBE" w:rsidRDefault="006D3202" w:rsidP="009E22F2">
            <w:pPr>
              <w:pStyle w:val="Tableheader"/>
              <w:rPr>
                <w:color w:val="auto"/>
                <w:lang w:val="en-US"/>
              </w:rPr>
            </w:pPr>
            <w:r w:rsidRPr="002F1CBE">
              <w:rPr>
                <w:color w:val="auto"/>
                <w:lang w:val="en-US"/>
              </w:rPr>
              <w:t>Scenario</w:t>
            </w:r>
          </w:p>
        </w:tc>
        <w:tc>
          <w:tcPr>
            <w:tcW w:w="1031" w:type="pct"/>
            <w:shd w:val="clear" w:color="auto" w:fill="auto"/>
          </w:tcPr>
          <w:p w14:paraId="5EBAAC50" w14:textId="4BF6A0A1" w:rsidR="006D3202" w:rsidRPr="002F1CBE" w:rsidRDefault="006D3202" w:rsidP="009E22F2">
            <w:pPr>
              <w:pStyle w:val="Tableheader"/>
              <w:rPr>
                <w:color w:val="auto"/>
                <w:lang w:val="en-US"/>
              </w:rPr>
            </w:pPr>
            <w:r w:rsidRPr="002F1CBE">
              <w:rPr>
                <w:color w:val="auto"/>
                <w:lang w:val="en-US"/>
              </w:rPr>
              <w:t xml:space="preserve">Deterministic ICER </w:t>
            </w:r>
            <w:r>
              <w:rPr>
                <w:color w:val="auto"/>
                <w:lang w:val="en-US"/>
              </w:rPr>
              <w:t xml:space="preserve">vs chemotherapy </w:t>
            </w:r>
            <w:r w:rsidRPr="002F1CBE">
              <w:rPr>
                <w:color w:val="auto"/>
                <w:lang w:val="en-US"/>
              </w:rPr>
              <w:t>($/QALY)</w:t>
            </w:r>
          </w:p>
        </w:tc>
        <w:tc>
          <w:tcPr>
            <w:tcW w:w="953" w:type="pct"/>
          </w:tcPr>
          <w:p w14:paraId="1BD3F686" w14:textId="43D8A85F" w:rsidR="006D3202" w:rsidRPr="002F1CBE" w:rsidRDefault="006D3202" w:rsidP="009E22F2">
            <w:pPr>
              <w:pStyle w:val="Tableheader"/>
              <w:rPr>
                <w:color w:val="auto"/>
                <w:lang w:val="en-US"/>
              </w:rPr>
            </w:pPr>
            <w:r w:rsidRPr="002F1CBE">
              <w:rPr>
                <w:color w:val="auto"/>
                <w:lang w:val="en-US"/>
              </w:rPr>
              <w:t xml:space="preserve">Deterministic ICER </w:t>
            </w:r>
            <w:r>
              <w:rPr>
                <w:color w:val="auto"/>
                <w:lang w:val="en-US"/>
              </w:rPr>
              <w:t xml:space="preserve">vs atezolizumab </w:t>
            </w:r>
            <w:r w:rsidRPr="002F1CBE">
              <w:rPr>
                <w:color w:val="auto"/>
                <w:lang w:val="en-US"/>
              </w:rPr>
              <w:t>($/QALY)</w:t>
            </w:r>
          </w:p>
        </w:tc>
      </w:tr>
      <w:tr w:rsidR="004A3396" w:rsidRPr="002F1CBE" w14:paraId="7901C85D" w14:textId="77777777" w:rsidTr="004A3396">
        <w:trPr>
          <w:tblHeader/>
        </w:trPr>
        <w:tc>
          <w:tcPr>
            <w:tcW w:w="3016" w:type="pct"/>
            <w:gridSpan w:val="3"/>
            <w:shd w:val="clear" w:color="auto" w:fill="auto"/>
          </w:tcPr>
          <w:p w14:paraId="3DD7E25D" w14:textId="40470907" w:rsidR="004A3396" w:rsidRPr="002F1CBE" w:rsidRDefault="004A3396" w:rsidP="00A00B39">
            <w:pPr>
              <w:pStyle w:val="Tableheader"/>
              <w:jc w:val="left"/>
              <w:rPr>
                <w:color w:val="auto"/>
                <w:lang w:val="en-US"/>
              </w:rPr>
            </w:pPr>
            <w:r>
              <w:rPr>
                <w:color w:val="auto"/>
                <w:lang w:val="en-US"/>
              </w:rPr>
              <w:t>Base case results</w:t>
            </w:r>
          </w:p>
        </w:tc>
        <w:tc>
          <w:tcPr>
            <w:tcW w:w="1031" w:type="pct"/>
            <w:shd w:val="clear" w:color="auto" w:fill="auto"/>
          </w:tcPr>
          <w:p w14:paraId="1E13F0BD" w14:textId="3643702F" w:rsidR="004A3396" w:rsidRPr="002F1CBE" w:rsidRDefault="004A3396" w:rsidP="009E22F2">
            <w:pPr>
              <w:pStyle w:val="Tableheader"/>
              <w:rPr>
                <w:color w:val="auto"/>
                <w:lang w:val="en-US"/>
              </w:rPr>
            </w:pPr>
            <w:r>
              <w:rPr>
                <w:color w:val="auto"/>
                <w:lang w:val="en-US"/>
              </w:rPr>
              <w:t>93,481</w:t>
            </w:r>
          </w:p>
        </w:tc>
        <w:tc>
          <w:tcPr>
            <w:tcW w:w="953" w:type="pct"/>
          </w:tcPr>
          <w:p w14:paraId="7E074C29" w14:textId="4B20778B" w:rsidR="004A3396" w:rsidRPr="002F1CBE" w:rsidRDefault="00E74CCA" w:rsidP="009E22F2">
            <w:pPr>
              <w:pStyle w:val="Tableheader"/>
              <w:rPr>
                <w:color w:val="auto"/>
                <w:lang w:val="en-US"/>
              </w:rPr>
            </w:pPr>
            <w:r>
              <w:rPr>
                <w:color w:val="auto"/>
                <w:lang w:val="en-US"/>
              </w:rPr>
              <w:t>Dominant</w:t>
            </w:r>
          </w:p>
        </w:tc>
      </w:tr>
      <w:tr w:rsidR="006D3202" w:rsidRPr="002F1CBE" w14:paraId="0EA80CB7" w14:textId="2DA5313F" w:rsidTr="00A00B39">
        <w:tc>
          <w:tcPr>
            <w:tcW w:w="828" w:type="pct"/>
            <w:vMerge w:val="restart"/>
            <w:shd w:val="clear" w:color="auto" w:fill="auto"/>
          </w:tcPr>
          <w:p w14:paraId="2AB3E081" w14:textId="77777777" w:rsidR="006D3202" w:rsidRPr="002F1CBE" w:rsidRDefault="006D3202" w:rsidP="009E22F2">
            <w:pPr>
              <w:pStyle w:val="Tabletext0"/>
              <w:rPr>
                <w:b/>
                <w:szCs w:val="22"/>
                <w:lang w:val="en-US"/>
              </w:rPr>
            </w:pPr>
            <w:r w:rsidRPr="002F1CBE">
              <w:rPr>
                <w:b/>
                <w:szCs w:val="22"/>
                <w:lang w:val="en-US"/>
              </w:rPr>
              <w:t>Utility approach</w:t>
            </w:r>
          </w:p>
        </w:tc>
        <w:tc>
          <w:tcPr>
            <w:tcW w:w="715" w:type="pct"/>
            <w:vMerge w:val="restart"/>
            <w:shd w:val="clear" w:color="auto" w:fill="auto"/>
          </w:tcPr>
          <w:p w14:paraId="51B86E08" w14:textId="77777777" w:rsidR="006D3202" w:rsidRPr="002F1CBE" w:rsidRDefault="006D3202" w:rsidP="009E22F2">
            <w:pPr>
              <w:pStyle w:val="Tabletext0"/>
              <w:rPr>
                <w:szCs w:val="22"/>
                <w:lang w:val="en-US"/>
              </w:rPr>
            </w:pPr>
            <w:r w:rsidRPr="002F1CBE">
              <w:rPr>
                <w:szCs w:val="22"/>
                <w:lang w:val="en-US"/>
              </w:rPr>
              <w:t>Time to death - pooled</w:t>
            </w:r>
          </w:p>
        </w:tc>
        <w:tc>
          <w:tcPr>
            <w:tcW w:w="1473" w:type="pct"/>
            <w:shd w:val="clear" w:color="auto" w:fill="auto"/>
          </w:tcPr>
          <w:p w14:paraId="2B621973" w14:textId="77777777" w:rsidR="006D3202" w:rsidRPr="002F1CBE" w:rsidRDefault="006D3202" w:rsidP="009E22F2">
            <w:pPr>
              <w:pStyle w:val="Tabletext0"/>
              <w:rPr>
                <w:szCs w:val="22"/>
                <w:lang w:val="en-US"/>
              </w:rPr>
            </w:pPr>
            <w:r w:rsidRPr="002F1CBE">
              <w:rPr>
                <w:szCs w:val="22"/>
                <w:lang w:val="en-US"/>
              </w:rPr>
              <w:t>Time to death – treatment specific</w:t>
            </w:r>
          </w:p>
        </w:tc>
        <w:tc>
          <w:tcPr>
            <w:tcW w:w="1031" w:type="pct"/>
            <w:shd w:val="clear" w:color="auto" w:fill="auto"/>
            <w:vAlign w:val="bottom"/>
          </w:tcPr>
          <w:p w14:paraId="6D7723DF" w14:textId="69675CAC" w:rsidR="006D3202" w:rsidRPr="002F1CBE" w:rsidRDefault="00912AB0" w:rsidP="0058642F">
            <w:pPr>
              <w:spacing w:before="0" w:after="0"/>
              <w:jc w:val="right"/>
              <w:rPr>
                <w:lang w:val="en-US"/>
              </w:rPr>
            </w:pPr>
            <w:r>
              <w:rPr>
                <w:lang w:val="en-US"/>
              </w:rPr>
              <w:t>91,721</w:t>
            </w:r>
          </w:p>
        </w:tc>
        <w:tc>
          <w:tcPr>
            <w:tcW w:w="953" w:type="pct"/>
            <w:vAlign w:val="bottom"/>
          </w:tcPr>
          <w:p w14:paraId="355F0B10" w14:textId="3796F314" w:rsidR="006D3202" w:rsidRPr="002F1CBE" w:rsidRDefault="00E74CCA">
            <w:pPr>
              <w:spacing w:before="0" w:after="0"/>
              <w:jc w:val="right"/>
              <w:rPr>
                <w:lang w:val="en-US"/>
              </w:rPr>
            </w:pPr>
            <w:r>
              <w:rPr>
                <w:lang w:val="en-US"/>
              </w:rPr>
              <w:t>Dominant</w:t>
            </w:r>
          </w:p>
        </w:tc>
      </w:tr>
      <w:tr w:rsidR="006D3202" w:rsidRPr="002F1CBE" w14:paraId="75E3E3A4" w14:textId="1A38421A" w:rsidTr="00A00B39">
        <w:tc>
          <w:tcPr>
            <w:tcW w:w="828" w:type="pct"/>
            <w:vMerge/>
            <w:shd w:val="clear" w:color="auto" w:fill="auto"/>
          </w:tcPr>
          <w:p w14:paraId="5FFC6EC4" w14:textId="77777777" w:rsidR="006D3202" w:rsidRPr="002F1CBE" w:rsidRDefault="006D3202" w:rsidP="009E22F2">
            <w:pPr>
              <w:pStyle w:val="Tabletext0"/>
              <w:rPr>
                <w:b/>
                <w:szCs w:val="22"/>
                <w:lang w:val="en-US"/>
              </w:rPr>
            </w:pPr>
          </w:p>
        </w:tc>
        <w:tc>
          <w:tcPr>
            <w:tcW w:w="715" w:type="pct"/>
            <w:vMerge/>
            <w:shd w:val="clear" w:color="auto" w:fill="auto"/>
          </w:tcPr>
          <w:p w14:paraId="72324E6F" w14:textId="77777777" w:rsidR="006D3202" w:rsidRPr="002F1CBE" w:rsidRDefault="006D3202" w:rsidP="009E22F2">
            <w:pPr>
              <w:pStyle w:val="Tabletext0"/>
              <w:rPr>
                <w:szCs w:val="22"/>
                <w:lang w:val="en-US"/>
              </w:rPr>
            </w:pPr>
          </w:p>
        </w:tc>
        <w:tc>
          <w:tcPr>
            <w:tcW w:w="1473" w:type="pct"/>
            <w:shd w:val="clear" w:color="auto" w:fill="auto"/>
          </w:tcPr>
          <w:p w14:paraId="0EF7F47C" w14:textId="77777777" w:rsidR="006D3202" w:rsidRPr="002F1CBE" w:rsidRDefault="006D3202" w:rsidP="009E22F2">
            <w:pPr>
              <w:pStyle w:val="Tabletext0"/>
              <w:rPr>
                <w:szCs w:val="22"/>
                <w:lang w:val="en-US"/>
              </w:rPr>
            </w:pPr>
            <w:r w:rsidRPr="002F1CBE">
              <w:rPr>
                <w:szCs w:val="22"/>
                <w:lang w:val="en-US"/>
              </w:rPr>
              <w:t>Progression status – pooled</w:t>
            </w:r>
          </w:p>
        </w:tc>
        <w:tc>
          <w:tcPr>
            <w:tcW w:w="1031" w:type="pct"/>
            <w:shd w:val="clear" w:color="auto" w:fill="auto"/>
            <w:vAlign w:val="bottom"/>
          </w:tcPr>
          <w:p w14:paraId="596AEBC6" w14:textId="222A31CF" w:rsidR="006D3202" w:rsidRPr="002F1CBE" w:rsidRDefault="00912AB0" w:rsidP="0058642F">
            <w:pPr>
              <w:spacing w:before="0" w:after="0"/>
              <w:jc w:val="right"/>
              <w:rPr>
                <w:lang w:val="en-US"/>
              </w:rPr>
            </w:pPr>
            <w:r>
              <w:rPr>
                <w:lang w:val="en-US"/>
              </w:rPr>
              <w:t>104,355</w:t>
            </w:r>
          </w:p>
        </w:tc>
        <w:tc>
          <w:tcPr>
            <w:tcW w:w="953" w:type="pct"/>
            <w:vAlign w:val="bottom"/>
          </w:tcPr>
          <w:p w14:paraId="7B4C9863" w14:textId="34F8091A" w:rsidR="006D3202" w:rsidRPr="002F1CBE" w:rsidRDefault="00E74CCA">
            <w:pPr>
              <w:spacing w:before="0" w:after="0"/>
              <w:jc w:val="right"/>
              <w:rPr>
                <w:lang w:val="en-US"/>
              </w:rPr>
            </w:pPr>
            <w:r>
              <w:rPr>
                <w:lang w:val="en-US"/>
              </w:rPr>
              <w:t>NA</w:t>
            </w:r>
          </w:p>
        </w:tc>
      </w:tr>
      <w:tr w:rsidR="006D3202" w:rsidRPr="002F1CBE" w14:paraId="02EA58B2" w14:textId="447F0FF7" w:rsidTr="00A00B39">
        <w:tc>
          <w:tcPr>
            <w:tcW w:w="828" w:type="pct"/>
            <w:vMerge w:val="restart"/>
            <w:shd w:val="clear" w:color="auto" w:fill="auto"/>
          </w:tcPr>
          <w:p w14:paraId="7E8EE5E5" w14:textId="35D241F1" w:rsidR="006D3202" w:rsidRPr="002F1CBE" w:rsidRDefault="006D3202" w:rsidP="009E22F2">
            <w:pPr>
              <w:pStyle w:val="Tabletext0"/>
              <w:rPr>
                <w:b/>
                <w:szCs w:val="22"/>
                <w:lang w:val="en-US"/>
              </w:rPr>
            </w:pPr>
            <w:r w:rsidRPr="002F1CBE">
              <w:rPr>
                <w:b/>
                <w:szCs w:val="22"/>
                <w:lang w:val="en-US"/>
              </w:rPr>
              <w:t>Utility source</w:t>
            </w:r>
          </w:p>
        </w:tc>
        <w:tc>
          <w:tcPr>
            <w:tcW w:w="715" w:type="pct"/>
            <w:vMerge w:val="restart"/>
            <w:shd w:val="clear" w:color="auto" w:fill="auto"/>
          </w:tcPr>
          <w:p w14:paraId="4B168DEF" w14:textId="10D89E67" w:rsidR="006D3202" w:rsidRPr="002F1CBE" w:rsidRDefault="006D3202" w:rsidP="009E22F2">
            <w:pPr>
              <w:pStyle w:val="Tabletext0"/>
              <w:rPr>
                <w:szCs w:val="22"/>
                <w:lang w:val="en-US"/>
              </w:rPr>
            </w:pPr>
            <w:r w:rsidRPr="002F1CBE">
              <w:rPr>
                <w:szCs w:val="22"/>
                <w:lang w:val="en-US"/>
              </w:rPr>
              <w:t>KN045</w:t>
            </w:r>
          </w:p>
        </w:tc>
        <w:tc>
          <w:tcPr>
            <w:tcW w:w="1473" w:type="pct"/>
            <w:shd w:val="clear" w:color="auto" w:fill="auto"/>
          </w:tcPr>
          <w:p w14:paraId="5CBC5710" w14:textId="32DDEE37" w:rsidR="006D3202" w:rsidRPr="002F1CBE" w:rsidRDefault="006D3202" w:rsidP="009E22F2">
            <w:pPr>
              <w:pStyle w:val="Tabletext0"/>
              <w:rPr>
                <w:szCs w:val="22"/>
                <w:lang w:val="en-US"/>
              </w:rPr>
            </w:pPr>
            <w:r w:rsidRPr="002F1CBE">
              <w:rPr>
                <w:szCs w:val="22"/>
                <w:lang w:val="en-US"/>
              </w:rPr>
              <w:t>Criss et al 2018</w:t>
            </w:r>
            <w:r w:rsidRPr="002F1CBE">
              <w:rPr>
                <w:szCs w:val="22"/>
                <w:lang w:val="en-US"/>
              </w:rPr>
              <w:fldChar w:fldCharType="begin">
                <w:fldData xml:space="preserve">PEVuZE5vdGU+PENpdGU+PEF1dGhvcj5DcmlzczwvQXV0aG9yPjxZZWFyPjIwMTk8L1llYXI+PFJl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</w:fldData>
              </w:fldChar>
            </w:r>
            <w:r w:rsidR="00E74CCA">
              <w:rPr>
                <w:szCs w:val="22"/>
                <w:lang w:val="en-US"/>
              </w:rPr>
              <w:instrText xml:space="preserve"> ADDIN EN.CITE </w:instrText>
            </w:r>
            <w:r w:rsidR="00E74CCA">
              <w:rPr>
                <w:szCs w:val="22"/>
                <w:lang w:val="en-US"/>
              </w:rPr>
              <w:fldChar w:fldCharType="begin">
                <w:fldData xml:space="preserve">PEVuZE5vdGU+PENpdGU+PEF1dGhvcj5DcmlzczwvQXV0aG9yPjxZZWFyPjIwMTk8L1llYXI+PFJl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</w:fldData>
              </w:fldChar>
            </w:r>
            <w:r w:rsidR="00E74CCA">
              <w:rPr>
                <w:szCs w:val="22"/>
                <w:lang w:val="en-US"/>
              </w:rPr>
              <w:instrText xml:space="preserve"> ADDIN EN.CITE.DATA </w:instrText>
            </w:r>
            <w:r w:rsidR="00E74CCA">
              <w:rPr>
                <w:szCs w:val="22"/>
                <w:lang w:val="en-US"/>
              </w:rPr>
            </w:r>
            <w:r w:rsidR="00E74CCA">
              <w:rPr>
                <w:szCs w:val="22"/>
                <w:lang w:val="en-US"/>
              </w:rPr>
              <w:fldChar w:fldCharType="end"/>
            </w:r>
            <w:r w:rsidRPr="002F1CBE">
              <w:rPr>
                <w:szCs w:val="22"/>
                <w:lang w:val="en-US"/>
              </w:rPr>
            </w:r>
            <w:r w:rsidRPr="002F1CBE">
              <w:rPr>
                <w:szCs w:val="22"/>
                <w:lang w:val="en-US"/>
              </w:rPr>
              <w:fldChar w:fldCharType="separate"/>
            </w:r>
            <w:r w:rsidR="00E74CCA">
              <w:rPr>
                <w:noProof/>
                <w:szCs w:val="22"/>
                <w:lang w:val="en-US"/>
              </w:rPr>
              <w:t>[13]</w:t>
            </w:r>
            <w:r w:rsidRPr="002F1CBE">
              <w:rPr>
                <w:szCs w:val="22"/>
                <w:lang w:val="en-US"/>
              </w:rPr>
              <w:fldChar w:fldCharType="end"/>
            </w:r>
          </w:p>
          <w:p w14:paraId="19E2E417" w14:textId="77777777" w:rsidR="006D3202" w:rsidRPr="002F1CBE" w:rsidRDefault="006D3202" w:rsidP="009E22F2">
            <w:pPr>
              <w:pStyle w:val="Tabletext0"/>
              <w:rPr>
                <w:szCs w:val="22"/>
                <w:lang w:val="en-US"/>
              </w:rPr>
            </w:pPr>
            <w:r w:rsidRPr="002F1CBE">
              <w:rPr>
                <w:szCs w:val="22"/>
                <w:lang w:val="en-US"/>
              </w:rPr>
              <w:t>PFS pembro – 0.80</w:t>
            </w:r>
          </w:p>
          <w:p w14:paraId="767F08CC" w14:textId="77777777" w:rsidR="006D3202" w:rsidRPr="002F1CBE" w:rsidRDefault="006D3202" w:rsidP="009E22F2">
            <w:pPr>
              <w:pStyle w:val="Tabletext0"/>
              <w:rPr>
                <w:szCs w:val="22"/>
                <w:lang w:val="en-US"/>
              </w:rPr>
            </w:pPr>
            <w:r w:rsidRPr="002F1CBE">
              <w:rPr>
                <w:szCs w:val="22"/>
                <w:lang w:val="en-US"/>
              </w:rPr>
              <w:t>PFS chemo – 0.69</w:t>
            </w:r>
          </w:p>
          <w:p w14:paraId="3B4FDA86" w14:textId="3D6C387C" w:rsidR="006D3202" w:rsidRPr="002F1CBE" w:rsidRDefault="006D3202" w:rsidP="009E22F2">
            <w:pPr>
              <w:pStyle w:val="Tabletext0"/>
              <w:rPr>
                <w:szCs w:val="22"/>
                <w:lang w:val="en-US"/>
              </w:rPr>
            </w:pPr>
            <w:r w:rsidRPr="002F1CBE">
              <w:rPr>
                <w:szCs w:val="22"/>
                <w:lang w:val="en-US"/>
              </w:rPr>
              <w:t>Progressed – 0.45</w:t>
            </w:r>
          </w:p>
        </w:tc>
        <w:tc>
          <w:tcPr>
            <w:tcW w:w="1031" w:type="pct"/>
            <w:shd w:val="clear" w:color="auto" w:fill="auto"/>
            <w:vAlign w:val="bottom"/>
          </w:tcPr>
          <w:p w14:paraId="017F1236" w14:textId="04ED12BE" w:rsidR="006D3202" w:rsidRPr="00B30EBA" w:rsidRDefault="00B30EBA" w:rsidP="0058642F">
            <w:pPr>
              <w:spacing w:before="0" w:after="0"/>
              <w:jc w:val="right"/>
              <w:rPr>
                <w:lang w:val="en-US"/>
              </w:rPr>
            </w:pPr>
            <w:r>
              <w:rPr>
                <w:lang w:val="en-US"/>
              </w:rPr>
              <w:t>118,795</w:t>
            </w:r>
          </w:p>
        </w:tc>
        <w:tc>
          <w:tcPr>
            <w:tcW w:w="953" w:type="pct"/>
            <w:vAlign w:val="bottom"/>
          </w:tcPr>
          <w:p w14:paraId="59945643" w14:textId="2A82052F" w:rsidR="006D3202" w:rsidRPr="00B30EBA" w:rsidRDefault="00E74CCA">
            <w:pPr>
              <w:spacing w:before="0" w:after="0"/>
              <w:jc w:val="right"/>
              <w:rPr>
                <w:lang w:val="en-US"/>
              </w:rPr>
            </w:pPr>
            <w:r>
              <w:rPr>
                <w:lang w:val="en-US"/>
              </w:rPr>
              <w:t>NA</w:t>
            </w:r>
          </w:p>
        </w:tc>
      </w:tr>
      <w:tr w:rsidR="006D3202" w:rsidRPr="002F1CBE" w14:paraId="52FC72F3" w14:textId="2ABE38E2" w:rsidTr="00A00B39">
        <w:tc>
          <w:tcPr>
            <w:tcW w:w="828" w:type="pct"/>
            <w:vMerge/>
            <w:shd w:val="clear" w:color="auto" w:fill="auto"/>
          </w:tcPr>
          <w:p w14:paraId="2F66742C" w14:textId="77777777" w:rsidR="006D3202" w:rsidRPr="002F1CBE" w:rsidRDefault="006D3202" w:rsidP="009E22F2">
            <w:pPr>
              <w:pStyle w:val="Tabletext0"/>
              <w:rPr>
                <w:b/>
                <w:szCs w:val="22"/>
                <w:lang w:val="en-US"/>
              </w:rPr>
            </w:pPr>
          </w:p>
        </w:tc>
        <w:tc>
          <w:tcPr>
            <w:tcW w:w="715" w:type="pct"/>
            <w:vMerge/>
            <w:shd w:val="clear" w:color="auto" w:fill="auto"/>
          </w:tcPr>
          <w:p w14:paraId="088396A7" w14:textId="77777777" w:rsidR="006D3202" w:rsidRPr="002F1CBE" w:rsidRDefault="006D3202" w:rsidP="009E22F2">
            <w:pPr>
              <w:pStyle w:val="Tabletext0"/>
              <w:rPr>
                <w:szCs w:val="22"/>
                <w:lang w:val="en-US"/>
              </w:rPr>
            </w:pPr>
          </w:p>
        </w:tc>
        <w:tc>
          <w:tcPr>
            <w:tcW w:w="1473" w:type="pct"/>
            <w:shd w:val="clear" w:color="auto" w:fill="auto"/>
          </w:tcPr>
          <w:p w14:paraId="0B0B9CEB" w14:textId="22CA9A80" w:rsidR="006D3202" w:rsidRPr="002F1CBE" w:rsidRDefault="006D3202" w:rsidP="009E22F2">
            <w:pPr>
              <w:pStyle w:val="Tabletext0"/>
              <w:rPr>
                <w:szCs w:val="22"/>
                <w:lang w:val="en-US"/>
              </w:rPr>
            </w:pPr>
            <w:r w:rsidRPr="002F1CBE">
              <w:rPr>
                <w:szCs w:val="22"/>
                <w:lang w:val="en-US"/>
              </w:rPr>
              <w:t>Sarfaty et al 2018</w:t>
            </w:r>
            <w:r w:rsidRPr="002F1CBE">
              <w:rPr>
                <w:szCs w:val="22"/>
                <w:lang w:val="en-US"/>
              </w:rPr>
              <w:fldChar w:fldCharType="begin">
                <w:fldData xml:space="preserve">PEVuZE5vdGU+PENpdGU+PEF1dGhvcj5TYXJmYXR5PC9BdXRob3I+PFllYXI+MjAxODwvWWVhcj48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Z2VzPjU3LTYyPC9wYWdlcz48dm9sdW1lPjc0PC92b2x1bWU+PG51bWJlcj4xPC9udW1iZXI+PGVk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==
</w:fldData>
              </w:fldChar>
            </w:r>
            <w:r w:rsidR="00E74CCA">
              <w:rPr>
                <w:szCs w:val="22"/>
                <w:lang w:val="en-US"/>
              </w:rPr>
              <w:instrText xml:space="preserve"> ADDIN EN.CITE </w:instrText>
            </w:r>
            <w:r w:rsidR="00E74CCA">
              <w:rPr>
                <w:szCs w:val="22"/>
                <w:lang w:val="en-US"/>
              </w:rPr>
              <w:fldChar w:fldCharType="begin">
                <w:fldData xml:space="preserve">PEVuZE5vdGU+PENpdGU+PEF1dGhvcj5TYXJmYXR5PC9BdXRob3I+PFllYXI+MjAxODwvWWVhcj48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Z2VzPjU3LTYyPC9wYWdlcz48dm9sdW1lPjc0PC92b2x1bWU+PG51bWJlcj4xPC9udW1iZXI+PGVk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==
</w:fldData>
              </w:fldChar>
            </w:r>
            <w:r w:rsidR="00E74CCA">
              <w:rPr>
                <w:szCs w:val="22"/>
                <w:lang w:val="en-US"/>
              </w:rPr>
              <w:instrText xml:space="preserve"> ADDIN EN.CITE.DATA </w:instrText>
            </w:r>
            <w:r w:rsidR="00E74CCA">
              <w:rPr>
                <w:szCs w:val="22"/>
                <w:lang w:val="en-US"/>
              </w:rPr>
            </w:r>
            <w:r w:rsidR="00E74CCA">
              <w:rPr>
                <w:szCs w:val="22"/>
                <w:lang w:val="en-US"/>
              </w:rPr>
              <w:fldChar w:fldCharType="end"/>
            </w:r>
            <w:r w:rsidRPr="002F1CBE">
              <w:rPr>
                <w:szCs w:val="22"/>
                <w:lang w:val="en-US"/>
              </w:rPr>
            </w:r>
            <w:r w:rsidRPr="002F1CBE">
              <w:rPr>
                <w:szCs w:val="22"/>
                <w:lang w:val="en-US"/>
              </w:rPr>
              <w:fldChar w:fldCharType="separate"/>
            </w:r>
            <w:r w:rsidR="00E74CCA">
              <w:rPr>
                <w:noProof/>
                <w:szCs w:val="22"/>
                <w:lang w:val="en-US"/>
              </w:rPr>
              <w:t>[14]</w:t>
            </w:r>
            <w:r w:rsidRPr="002F1CBE">
              <w:rPr>
                <w:szCs w:val="22"/>
                <w:lang w:val="en-US"/>
              </w:rPr>
              <w:fldChar w:fldCharType="end"/>
            </w:r>
          </w:p>
          <w:p w14:paraId="6AF8C3D0" w14:textId="27DBECD2" w:rsidR="006D3202" w:rsidRPr="002F1CBE" w:rsidRDefault="006D3202" w:rsidP="009E22F2">
            <w:pPr>
              <w:pStyle w:val="Tabletext0"/>
              <w:rPr>
                <w:szCs w:val="22"/>
                <w:lang w:val="en-US"/>
              </w:rPr>
            </w:pPr>
            <w:r w:rsidRPr="002F1CBE">
              <w:rPr>
                <w:szCs w:val="22"/>
                <w:lang w:val="en-US"/>
              </w:rPr>
              <w:t>Weeks 1-14: 0.60</w:t>
            </w:r>
          </w:p>
          <w:p w14:paraId="22E1410D" w14:textId="77777777" w:rsidR="006D3202" w:rsidRPr="002F1CBE" w:rsidRDefault="006D3202" w:rsidP="009E22F2">
            <w:pPr>
              <w:pStyle w:val="Tabletext0"/>
              <w:rPr>
                <w:szCs w:val="22"/>
                <w:lang w:val="en-US"/>
              </w:rPr>
            </w:pPr>
            <w:r w:rsidRPr="002F1CBE">
              <w:rPr>
                <w:szCs w:val="22"/>
                <w:lang w:val="en-US"/>
              </w:rPr>
              <w:t xml:space="preserve">Weeks 15+: </w:t>
            </w:r>
          </w:p>
          <w:p w14:paraId="0A960DAF" w14:textId="38102481" w:rsidR="006D3202" w:rsidRPr="002F1CBE" w:rsidRDefault="006D3202" w:rsidP="009E22F2">
            <w:pPr>
              <w:pStyle w:val="Tabletext0"/>
              <w:rPr>
                <w:szCs w:val="22"/>
                <w:lang w:val="en-US"/>
              </w:rPr>
            </w:pPr>
            <w:r w:rsidRPr="002F1CBE">
              <w:rPr>
                <w:szCs w:val="22"/>
                <w:lang w:val="en-US"/>
              </w:rPr>
              <w:t>Pembro</w:t>
            </w:r>
            <w:r>
              <w:rPr>
                <w:szCs w:val="22"/>
                <w:lang w:val="en-US"/>
              </w:rPr>
              <w:t xml:space="preserve"> </w:t>
            </w:r>
            <w:r w:rsidRPr="002F1CBE">
              <w:rPr>
                <w:szCs w:val="22"/>
                <w:lang w:val="en-US"/>
              </w:rPr>
              <w:t>– 0.61</w:t>
            </w:r>
          </w:p>
          <w:p w14:paraId="3B372FE7" w14:textId="60BC589B" w:rsidR="006D3202" w:rsidRPr="002F1CBE" w:rsidRDefault="006D3202" w:rsidP="009E22F2">
            <w:pPr>
              <w:pStyle w:val="Tabletext0"/>
              <w:rPr>
                <w:szCs w:val="22"/>
                <w:lang w:val="en-US"/>
              </w:rPr>
            </w:pPr>
            <w:r w:rsidRPr="002F1CBE">
              <w:rPr>
                <w:szCs w:val="22"/>
                <w:lang w:val="en-US"/>
              </w:rPr>
              <w:t>Chemo – 0.52</w:t>
            </w:r>
          </w:p>
        </w:tc>
        <w:tc>
          <w:tcPr>
            <w:tcW w:w="1031" w:type="pct"/>
            <w:shd w:val="clear" w:color="auto" w:fill="auto"/>
            <w:vAlign w:val="bottom"/>
          </w:tcPr>
          <w:p w14:paraId="4F358357" w14:textId="652A3F47" w:rsidR="006D3202" w:rsidRPr="00B30EBA" w:rsidRDefault="00B64DDB" w:rsidP="0058642F">
            <w:pPr>
              <w:spacing w:before="0" w:after="0"/>
              <w:jc w:val="right"/>
              <w:rPr>
                <w:lang w:val="en-US"/>
              </w:rPr>
            </w:pPr>
            <w:r>
              <w:rPr>
                <w:lang w:val="en-US"/>
              </w:rPr>
              <w:t>125,181</w:t>
            </w:r>
          </w:p>
        </w:tc>
        <w:tc>
          <w:tcPr>
            <w:tcW w:w="953" w:type="pct"/>
            <w:vAlign w:val="bottom"/>
          </w:tcPr>
          <w:p w14:paraId="5E990932" w14:textId="590DB4A3" w:rsidR="006D3202" w:rsidRPr="00B30EBA" w:rsidRDefault="00E74CCA" w:rsidP="00E16A68">
            <w:pPr>
              <w:spacing w:before="0" w:after="0"/>
              <w:jc w:val="right"/>
              <w:rPr>
                <w:lang w:val="en-US"/>
              </w:rPr>
            </w:pPr>
            <w:r>
              <w:rPr>
                <w:lang w:val="en-US"/>
              </w:rPr>
              <w:t>Dominant</w:t>
            </w:r>
          </w:p>
        </w:tc>
      </w:tr>
      <w:tr w:rsidR="006D3202" w:rsidRPr="002F1CBE" w14:paraId="541EAACE" w14:textId="3002ADDD" w:rsidTr="00A00B39">
        <w:tc>
          <w:tcPr>
            <w:tcW w:w="828" w:type="pct"/>
            <w:shd w:val="clear" w:color="auto" w:fill="auto"/>
          </w:tcPr>
          <w:p w14:paraId="51AC1ABA" w14:textId="38F2EEBB" w:rsidR="006D3202" w:rsidRPr="002F1CBE" w:rsidRDefault="006D3202" w:rsidP="009E22F2">
            <w:pPr>
              <w:pStyle w:val="Tabletext0"/>
              <w:rPr>
                <w:b/>
                <w:szCs w:val="22"/>
                <w:lang w:val="en-US"/>
              </w:rPr>
            </w:pPr>
            <w:r>
              <w:rPr>
                <w:b/>
                <w:szCs w:val="22"/>
                <w:lang w:val="en-US"/>
              </w:rPr>
              <w:t>AE disutility</w:t>
            </w:r>
          </w:p>
        </w:tc>
        <w:tc>
          <w:tcPr>
            <w:tcW w:w="715" w:type="pct"/>
            <w:shd w:val="clear" w:color="auto" w:fill="auto"/>
          </w:tcPr>
          <w:p w14:paraId="528A3321" w14:textId="6834CE75" w:rsidR="006D3202" w:rsidRPr="002F1CBE" w:rsidRDefault="006D3202" w:rsidP="009E22F2">
            <w:pPr>
              <w:pStyle w:val="Tabletext0"/>
              <w:rPr>
                <w:szCs w:val="22"/>
                <w:lang w:val="en-US"/>
              </w:rPr>
            </w:pPr>
            <w:r>
              <w:rPr>
                <w:szCs w:val="22"/>
                <w:lang w:val="en-US"/>
              </w:rPr>
              <w:t>Not applied</w:t>
            </w:r>
          </w:p>
        </w:tc>
        <w:tc>
          <w:tcPr>
            <w:tcW w:w="1473" w:type="pct"/>
            <w:shd w:val="clear" w:color="auto" w:fill="auto"/>
          </w:tcPr>
          <w:p w14:paraId="1AD84AF6" w14:textId="509BFB55" w:rsidR="006D3202" w:rsidRPr="002F1CBE" w:rsidRDefault="006D3202" w:rsidP="009E22F2">
            <w:pPr>
              <w:pStyle w:val="Tabletext0"/>
              <w:rPr>
                <w:szCs w:val="22"/>
                <w:lang w:val="en-US"/>
              </w:rPr>
            </w:pPr>
            <w:r>
              <w:rPr>
                <w:szCs w:val="22"/>
                <w:lang w:val="en-US"/>
              </w:rPr>
              <w:t>Applied</w:t>
            </w:r>
          </w:p>
        </w:tc>
        <w:tc>
          <w:tcPr>
            <w:tcW w:w="1031" w:type="pct"/>
            <w:shd w:val="clear" w:color="auto" w:fill="auto"/>
            <w:vAlign w:val="bottom"/>
          </w:tcPr>
          <w:p w14:paraId="76C08E43" w14:textId="11B89832" w:rsidR="006D3202" w:rsidRPr="002F1CBE" w:rsidRDefault="0015376A" w:rsidP="0058642F">
            <w:pPr>
              <w:spacing w:before="0" w:after="0"/>
              <w:jc w:val="right"/>
              <w:rPr>
                <w:lang w:val="en-US"/>
              </w:rPr>
            </w:pPr>
            <w:r>
              <w:rPr>
                <w:lang w:val="en-US"/>
              </w:rPr>
              <w:t>93,312</w:t>
            </w:r>
          </w:p>
        </w:tc>
        <w:tc>
          <w:tcPr>
            <w:tcW w:w="953" w:type="pct"/>
            <w:vAlign w:val="bottom"/>
          </w:tcPr>
          <w:p w14:paraId="71D4C3EF" w14:textId="7DD7C5E0" w:rsidR="006D3202" w:rsidRDefault="00E74CCA">
            <w:pPr>
              <w:spacing w:before="0" w:after="0"/>
              <w:jc w:val="right"/>
              <w:rPr>
                <w:lang w:val="en-US"/>
              </w:rPr>
            </w:pPr>
            <w:r>
              <w:rPr>
                <w:lang w:val="en-US"/>
              </w:rPr>
              <w:t>Dominant</w:t>
            </w:r>
          </w:p>
        </w:tc>
      </w:tr>
      <w:tr w:rsidR="006D3202" w:rsidRPr="002F1CBE" w14:paraId="3ED66902" w14:textId="0A6DA110" w:rsidTr="00A00B39">
        <w:tc>
          <w:tcPr>
            <w:tcW w:w="828" w:type="pct"/>
            <w:shd w:val="clear" w:color="auto" w:fill="auto"/>
          </w:tcPr>
          <w:p w14:paraId="1371589E" w14:textId="237953AC" w:rsidR="006D3202" w:rsidRDefault="006D3202" w:rsidP="009E22F2">
            <w:pPr>
              <w:pStyle w:val="Tabletext0"/>
              <w:rPr>
                <w:b/>
                <w:szCs w:val="22"/>
                <w:lang w:val="en-US"/>
              </w:rPr>
            </w:pPr>
            <w:r>
              <w:rPr>
                <w:b/>
                <w:szCs w:val="22"/>
                <w:lang w:val="en-US"/>
              </w:rPr>
              <w:t>AE rates based on all-cause vs drug-related</w:t>
            </w:r>
          </w:p>
        </w:tc>
        <w:tc>
          <w:tcPr>
            <w:tcW w:w="715" w:type="pct"/>
            <w:shd w:val="clear" w:color="auto" w:fill="auto"/>
          </w:tcPr>
          <w:p w14:paraId="7E6170EC" w14:textId="0BAC0176" w:rsidR="006D3202" w:rsidRDefault="004A3396" w:rsidP="009E22F2">
            <w:pPr>
              <w:pStyle w:val="Tabletext0"/>
              <w:rPr>
                <w:szCs w:val="22"/>
                <w:lang w:val="en-US"/>
              </w:rPr>
            </w:pPr>
            <w:r>
              <w:rPr>
                <w:szCs w:val="22"/>
                <w:lang w:val="en-US"/>
              </w:rPr>
              <w:t>Drug related</w:t>
            </w:r>
          </w:p>
        </w:tc>
        <w:tc>
          <w:tcPr>
            <w:tcW w:w="1473" w:type="pct"/>
            <w:shd w:val="clear" w:color="auto" w:fill="auto"/>
          </w:tcPr>
          <w:p w14:paraId="7B361188" w14:textId="5BAD7955" w:rsidR="006D3202" w:rsidRDefault="004A3396" w:rsidP="009E22F2">
            <w:pPr>
              <w:pStyle w:val="Tabletext0"/>
              <w:rPr>
                <w:szCs w:val="22"/>
                <w:lang w:val="en-US"/>
              </w:rPr>
            </w:pPr>
            <w:r>
              <w:rPr>
                <w:szCs w:val="22"/>
                <w:lang w:val="en-US"/>
              </w:rPr>
              <w:t>All cause</w:t>
            </w:r>
          </w:p>
        </w:tc>
        <w:tc>
          <w:tcPr>
            <w:tcW w:w="1031" w:type="pct"/>
            <w:shd w:val="clear" w:color="auto" w:fill="auto"/>
            <w:vAlign w:val="bottom"/>
          </w:tcPr>
          <w:p w14:paraId="644B7BBA" w14:textId="29149277" w:rsidR="006D3202" w:rsidRDefault="004A3396" w:rsidP="0058642F">
            <w:pPr>
              <w:spacing w:before="0" w:after="0"/>
              <w:jc w:val="right"/>
              <w:rPr>
                <w:lang w:val="en-US"/>
              </w:rPr>
            </w:pPr>
            <w:r>
              <w:rPr>
                <w:lang w:val="en-US"/>
              </w:rPr>
              <w:t>93,262</w:t>
            </w:r>
          </w:p>
        </w:tc>
        <w:tc>
          <w:tcPr>
            <w:tcW w:w="953" w:type="pct"/>
            <w:vAlign w:val="bottom"/>
          </w:tcPr>
          <w:p w14:paraId="2AC89265" w14:textId="59CF1B75" w:rsidR="006D3202" w:rsidRDefault="00E74CCA">
            <w:pPr>
              <w:spacing w:before="0" w:after="0"/>
              <w:jc w:val="right"/>
              <w:rPr>
                <w:lang w:val="en-US"/>
              </w:rPr>
            </w:pPr>
            <w:r>
              <w:rPr>
                <w:lang w:val="en-US"/>
              </w:rPr>
              <w:t>Dominant</w:t>
            </w:r>
          </w:p>
        </w:tc>
      </w:tr>
      <w:tr w:rsidR="006D3202" w:rsidRPr="002F1CBE" w14:paraId="258BCFFE" w14:textId="6BA4ED47" w:rsidTr="00A00B39">
        <w:tc>
          <w:tcPr>
            <w:tcW w:w="828" w:type="pct"/>
            <w:shd w:val="clear" w:color="auto" w:fill="auto"/>
          </w:tcPr>
          <w:p w14:paraId="42A10D2E" w14:textId="082648AA" w:rsidR="006D3202" w:rsidRPr="002F1CBE" w:rsidRDefault="006D3202" w:rsidP="009E22F2">
            <w:pPr>
              <w:pStyle w:val="Tabletext0"/>
              <w:rPr>
                <w:b/>
                <w:szCs w:val="22"/>
                <w:lang w:val="en-US"/>
              </w:rPr>
            </w:pPr>
            <w:r w:rsidRPr="002F1CBE">
              <w:rPr>
                <w:b/>
                <w:szCs w:val="22"/>
                <w:lang w:val="en-US"/>
              </w:rPr>
              <w:t>Age adjusted utilities</w:t>
            </w:r>
            <w:r>
              <w:rPr>
                <w:b/>
                <w:szCs w:val="22"/>
                <w:lang w:val="en-US"/>
              </w:rPr>
              <w:t>*</w:t>
            </w:r>
          </w:p>
        </w:tc>
        <w:tc>
          <w:tcPr>
            <w:tcW w:w="715" w:type="pct"/>
            <w:shd w:val="clear" w:color="auto" w:fill="auto"/>
          </w:tcPr>
          <w:p w14:paraId="37836844" w14:textId="77777777" w:rsidR="006D3202" w:rsidRPr="002F1CBE" w:rsidRDefault="006D3202" w:rsidP="009E22F2">
            <w:pPr>
              <w:pStyle w:val="Tabletext0"/>
              <w:rPr>
                <w:szCs w:val="22"/>
                <w:lang w:val="en-US"/>
              </w:rPr>
            </w:pPr>
            <w:r w:rsidRPr="002F1CBE">
              <w:rPr>
                <w:szCs w:val="22"/>
                <w:lang w:val="en-US"/>
              </w:rPr>
              <w:t>Not applied</w:t>
            </w:r>
          </w:p>
        </w:tc>
        <w:tc>
          <w:tcPr>
            <w:tcW w:w="1473" w:type="pct"/>
            <w:shd w:val="clear" w:color="auto" w:fill="auto"/>
          </w:tcPr>
          <w:p w14:paraId="4743C847" w14:textId="77777777" w:rsidR="006D3202" w:rsidRPr="002F1CBE" w:rsidRDefault="006D3202" w:rsidP="009E22F2">
            <w:pPr>
              <w:pStyle w:val="Tabletext0"/>
              <w:rPr>
                <w:szCs w:val="22"/>
                <w:lang w:val="en-US"/>
              </w:rPr>
            </w:pPr>
            <w:r w:rsidRPr="002F1CBE">
              <w:rPr>
                <w:szCs w:val="22"/>
                <w:lang w:val="en-US"/>
              </w:rPr>
              <w:t>Applied</w:t>
            </w:r>
          </w:p>
        </w:tc>
        <w:tc>
          <w:tcPr>
            <w:tcW w:w="1031" w:type="pct"/>
            <w:shd w:val="clear" w:color="auto" w:fill="auto"/>
            <w:vAlign w:val="bottom"/>
          </w:tcPr>
          <w:p w14:paraId="0E6721E4" w14:textId="2237E872" w:rsidR="006D3202" w:rsidRPr="002F1CBE" w:rsidRDefault="004A3396" w:rsidP="0058642F">
            <w:pPr>
              <w:spacing w:before="0" w:after="0"/>
              <w:jc w:val="right"/>
              <w:rPr>
                <w:lang w:val="en-US"/>
              </w:rPr>
            </w:pPr>
            <w:r>
              <w:rPr>
                <w:lang w:val="en-US"/>
              </w:rPr>
              <w:t>93,999</w:t>
            </w:r>
          </w:p>
        </w:tc>
        <w:tc>
          <w:tcPr>
            <w:tcW w:w="953" w:type="pct"/>
            <w:vAlign w:val="bottom"/>
          </w:tcPr>
          <w:p w14:paraId="312FACAA" w14:textId="795D45B8" w:rsidR="006D3202" w:rsidRPr="002F1CBE" w:rsidRDefault="00E74CCA">
            <w:pPr>
              <w:spacing w:before="0" w:after="0"/>
              <w:jc w:val="right"/>
              <w:rPr>
                <w:lang w:val="en-US"/>
              </w:rPr>
            </w:pPr>
            <w:r>
              <w:rPr>
                <w:lang w:val="en-US"/>
              </w:rPr>
              <w:t>Dominant</w:t>
            </w:r>
          </w:p>
        </w:tc>
      </w:tr>
      <w:tr w:rsidR="006D3202" w:rsidRPr="002F1CBE" w14:paraId="5A22A120" w14:textId="0CFFB094" w:rsidTr="00A00B39">
        <w:tc>
          <w:tcPr>
            <w:tcW w:w="828" w:type="pct"/>
            <w:vMerge w:val="restart"/>
            <w:shd w:val="clear" w:color="auto" w:fill="auto"/>
          </w:tcPr>
          <w:p w14:paraId="7FB70488" w14:textId="77777777" w:rsidR="006D3202" w:rsidRPr="002F1CBE" w:rsidRDefault="006D3202" w:rsidP="009E22F2">
            <w:pPr>
              <w:pStyle w:val="Tabletext0"/>
              <w:rPr>
                <w:b/>
                <w:szCs w:val="22"/>
                <w:lang w:val="en-US"/>
              </w:rPr>
            </w:pPr>
            <w:r w:rsidRPr="002F1CBE">
              <w:rPr>
                <w:b/>
                <w:szCs w:val="22"/>
                <w:lang w:val="en-US"/>
              </w:rPr>
              <w:t>Time horizon</w:t>
            </w:r>
          </w:p>
        </w:tc>
        <w:tc>
          <w:tcPr>
            <w:tcW w:w="715" w:type="pct"/>
            <w:vMerge w:val="restart"/>
            <w:shd w:val="clear" w:color="auto" w:fill="auto"/>
          </w:tcPr>
          <w:p w14:paraId="2B35DDA1" w14:textId="77777777" w:rsidR="006D3202" w:rsidRPr="002F1CBE" w:rsidRDefault="006D3202" w:rsidP="009E22F2">
            <w:pPr>
              <w:pStyle w:val="Tabletext0"/>
              <w:rPr>
                <w:szCs w:val="22"/>
                <w:lang w:val="en-US"/>
              </w:rPr>
            </w:pPr>
            <w:r w:rsidRPr="002F1CBE">
              <w:rPr>
                <w:szCs w:val="22"/>
                <w:lang w:val="en-US"/>
              </w:rPr>
              <w:t>20 years</w:t>
            </w:r>
          </w:p>
        </w:tc>
        <w:tc>
          <w:tcPr>
            <w:tcW w:w="1473" w:type="pct"/>
            <w:shd w:val="clear" w:color="auto" w:fill="auto"/>
          </w:tcPr>
          <w:p w14:paraId="4C8425A8" w14:textId="77777777" w:rsidR="006D3202" w:rsidRPr="002F1CBE" w:rsidRDefault="006D3202" w:rsidP="009E22F2">
            <w:pPr>
              <w:pStyle w:val="Tabletext0"/>
              <w:rPr>
                <w:szCs w:val="22"/>
                <w:lang w:val="en-US"/>
              </w:rPr>
            </w:pPr>
            <w:r w:rsidRPr="002F1CBE">
              <w:rPr>
                <w:szCs w:val="22"/>
                <w:lang w:val="en-US"/>
              </w:rPr>
              <w:t>5 years</w:t>
            </w:r>
          </w:p>
        </w:tc>
        <w:tc>
          <w:tcPr>
            <w:tcW w:w="1031" w:type="pct"/>
            <w:shd w:val="clear" w:color="auto" w:fill="auto"/>
            <w:vAlign w:val="bottom"/>
          </w:tcPr>
          <w:p w14:paraId="04A57268" w14:textId="1EFFF3EE" w:rsidR="006D3202" w:rsidRPr="002F1CBE" w:rsidRDefault="004A3396" w:rsidP="0058642F">
            <w:pPr>
              <w:spacing w:before="0" w:after="0"/>
              <w:jc w:val="right"/>
              <w:rPr>
                <w:lang w:val="en-US"/>
              </w:rPr>
            </w:pPr>
            <w:r>
              <w:rPr>
                <w:lang w:val="en-US"/>
              </w:rPr>
              <w:t>184,679</w:t>
            </w:r>
          </w:p>
        </w:tc>
        <w:tc>
          <w:tcPr>
            <w:tcW w:w="953" w:type="pct"/>
            <w:vAlign w:val="bottom"/>
          </w:tcPr>
          <w:p w14:paraId="4825E7CB" w14:textId="0A48AB78" w:rsidR="006D3202" w:rsidRDefault="00E74CCA">
            <w:pPr>
              <w:spacing w:before="0" w:after="0"/>
              <w:jc w:val="right"/>
              <w:rPr>
                <w:lang w:val="en-US"/>
              </w:rPr>
            </w:pPr>
            <w:r>
              <w:rPr>
                <w:lang w:val="en-US"/>
              </w:rPr>
              <w:t>Dominant</w:t>
            </w:r>
          </w:p>
        </w:tc>
      </w:tr>
      <w:tr w:rsidR="006D3202" w:rsidRPr="002F1CBE" w14:paraId="6197A2B7" w14:textId="713A4244" w:rsidTr="00A00B39">
        <w:tc>
          <w:tcPr>
            <w:tcW w:w="828" w:type="pct"/>
            <w:vMerge/>
            <w:shd w:val="clear" w:color="auto" w:fill="auto"/>
          </w:tcPr>
          <w:p w14:paraId="7D8C1BF1" w14:textId="77777777" w:rsidR="006D3202" w:rsidRPr="002F1CBE" w:rsidRDefault="006D3202" w:rsidP="009E22F2">
            <w:pPr>
              <w:pStyle w:val="Tabletext0"/>
              <w:rPr>
                <w:b/>
                <w:szCs w:val="22"/>
                <w:lang w:val="en-US"/>
              </w:rPr>
            </w:pPr>
          </w:p>
        </w:tc>
        <w:tc>
          <w:tcPr>
            <w:tcW w:w="715" w:type="pct"/>
            <w:vMerge/>
            <w:shd w:val="clear" w:color="auto" w:fill="auto"/>
          </w:tcPr>
          <w:p w14:paraId="0318EC28" w14:textId="77777777" w:rsidR="006D3202" w:rsidRPr="002F1CBE" w:rsidRDefault="006D3202" w:rsidP="009E22F2">
            <w:pPr>
              <w:pStyle w:val="Tabletext0"/>
              <w:rPr>
                <w:szCs w:val="22"/>
                <w:lang w:val="en-US"/>
              </w:rPr>
            </w:pPr>
          </w:p>
        </w:tc>
        <w:tc>
          <w:tcPr>
            <w:tcW w:w="1473" w:type="pct"/>
            <w:shd w:val="clear" w:color="auto" w:fill="auto"/>
          </w:tcPr>
          <w:p w14:paraId="6E287AE4" w14:textId="77777777" w:rsidR="006D3202" w:rsidRPr="002F1CBE" w:rsidRDefault="006D3202" w:rsidP="009E22F2">
            <w:pPr>
              <w:pStyle w:val="Tabletext0"/>
              <w:rPr>
                <w:szCs w:val="22"/>
                <w:lang w:val="en-US"/>
              </w:rPr>
            </w:pPr>
            <w:r w:rsidRPr="002F1CBE">
              <w:rPr>
                <w:szCs w:val="22"/>
                <w:lang w:val="en-US"/>
              </w:rPr>
              <w:t>10 years</w:t>
            </w:r>
          </w:p>
        </w:tc>
        <w:tc>
          <w:tcPr>
            <w:tcW w:w="1031" w:type="pct"/>
            <w:shd w:val="clear" w:color="auto" w:fill="auto"/>
            <w:vAlign w:val="bottom"/>
          </w:tcPr>
          <w:p w14:paraId="21FF7E29" w14:textId="057AACF4" w:rsidR="006D3202" w:rsidRPr="002F1CBE" w:rsidRDefault="004A3396" w:rsidP="0058642F">
            <w:pPr>
              <w:spacing w:before="0" w:after="0"/>
              <w:jc w:val="right"/>
              <w:rPr>
                <w:lang w:val="en-US"/>
              </w:rPr>
            </w:pPr>
            <w:r>
              <w:rPr>
                <w:lang w:val="en-US"/>
              </w:rPr>
              <w:t>120,290</w:t>
            </w:r>
          </w:p>
        </w:tc>
        <w:tc>
          <w:tcPr>
            <w:tcW w:w="953" w:type="pct"/>
            <w:vAlign w:val="bottom"/>
          </w:tcPr>
          <w:p w14:paraId="630D1DA4" w14:textId="20E6C561" w:rsidR="006D3202" w:rsidRPr="002F1CBE" w:rsidRDefault="00E74CCA">
            <w:pPr>
              <w:spacing w:before="0" w:after="0"/>
              <w:jc w:val="right"/>
              <w:rPr>
                <w:lang w:val="en-US"/>
              </w:rPr>
            </w:pPr>
            <w:r>
              <w:rPr>
                <w:lang w:val="en-US"/>
              </w:rPr>
              <w:t>Dominant</w:t>
            </w:r>
          </w:p>
        </w:tc>
      </w:tr>
      <w:tr w:rsidR="006D3202" w:rsidRPr="002F1CBE" w14:paraId="39C47F9A" w14:textId="09370EFF" w:rsidTr="00A00B39">
        <w:tc>
          <w:tcPr>
            <w:tcW w:w="828" w:type="pct"/>
            <w:vMerge/>
            <w:shd w:val="clear" w:color="auto" w:fill="auto"/>
          </w:tcPr>
          <w:p w14:paraId="114A2CB0" w14:textId="77777777" w:rsidR="006D3202" w:rsidRPr="002F1CBE" w:rsidRDefault="006D3202" w:rsidP="009E22F2">
            <w:pPr>
              <w:pStyle w:val="Tabletext0"/>
              <w:rPr>
                <w:b/>
                <w:szCs w:val="22"/>
                <w:lang w:val="en-US"/>
              </w:rPr>
            </w:pPr>
          </w:p>
        </w:tc>
        <w:tc>
          <w:tcPr>
            <w:tcW w:w="715" w:type="pct"/>
            <w:vMerge/>
            <w:shd w:val="clear" w:color="auto" w:fill="auto"/>
          </w:tcPr>
          <w:p w14:paraId="65A1061F" w14:textId="77777777" w:rsidR="006D3202" w:rsidRPr="002F1CBE" w:rsidRDefault="006D3202" w:rsidP="009E22F2">
            <w:pPr>
              <w:pStyle w:val="Tabletext0"/>
              <w:rPr>
                <w:szCs w:val="22"/>
                <w:lang w:val="en-US"/>
              </w:rPr>
            </w:pPr>
          </w:p>
        </w:tc>
        <w:tc>
          <w:tcPr>
            <w:tcW w:w="1473" w:type="pct"/>
            <w:shd w:val="clear" w:color="auto" w:fill="auto"/>
          </w:tcPr>
          <w:p w14:paraId="6D74B737" w14:textId="77777777" w:rsidR="006D3202" w:rsidRPr="002F1CBE" w:rsidRDefault="006D3202" w:rsidP="009E22F2">
            <w:pPr>
              <w:pStyle w:val="Tabletext0"/>
              <w:rPr>
                <w:szCs w:val="22"/>
                <w:lang w:val="en-US"/>
              </w:rPr>
            </w:pPr>
            <w:r w:rsidRPr="002F1CBE">
              <w:rPr>
                <w:szCs w:val="22"/>
                <w:lang w:val="en-US"/>
              </w:rPr>
              <w:t>40 years</w:t>
            </w:r>
          </w:p>
        </w:tc>
        <w:tc>
          <w:tcPr>
            <w:tcW w:w="1031" w:type="pct"/>
            <w:shd w:val="clear" w:color="auto" w:fill="auto"/>
            <w:vAlign w:val="bottom"/>
          </w:tcPr>
          <w:p w14:paraId="31A59EA9" w14:textId="48EB4380" w:rsidR="006D3202" w:rsidRPr="002F1CBE" w:rsidRDefault="004A3396" w:rsidP="0058642F">
            <w:pPr>
              <w:spacing w:before="0" w:after="0"/>
              <w:jc w:val="right"/>
              <w:rPr>
                <w:lang w:val="en-US"/>
              </w:rPr>
            </w:pPr>
            <w:r>
              <w:rPr>
                <w:lang w:val="en-US"/>
              </w:rPr>
              <w:t>87,112</w:t>
            </w:r>
          </w:p>
        </w:tc>
        <w:tc>
          <w:tcPr>
            <w:tcW w:w="953" w:type="pct"/>
            <w:vAlign w:val="bottom"/>
          </w:tcPr>
          <w:p w14:paraId="20470E20" w14:textId="502EE936" w:rsidR="006D3202" w:rsidRPr="002F1CBE" w:rsidRDefault="00E74CCA">
            <w:pPr>
              <w:spacing w:before="0" w:after="0"/>
              <w:jc w:val="right"/>
              <w:rPr>
                <w:lang w:val="en-US"/>
              </w:rPr>
            </w:pPr>
            <w:r>
              <w:rPr>
                <w:lang w:val="en-US"/>
              </w:rPr>
              <w:t>Dominant</w:t>
            </w:r>
          </w:p>
        </w:tc>
      </w:tr>
      <w:tr w:rsidR="006D3202" w:rsidRPr="002F1CBE" w14:paraId="6A9D99CE" w14:textId="60F5B205" w:rsidTr="00A00B39">
        <w:tc>
          <w:tcPr>
            <w:tcW w:w="828" w:type="pct"/>
            <w:shd w:val="clear" w:color="auto" w:fill="auto"/>
          </w:tcPr>
          <w:p w14:paraId="4260185A" w14:textId="77777777" w:rsidR="006D3202" w:rsidRPr="002F1CBE" w:rsidRDefault="006D3202" w:rsidP="009E22F2">
            <w:pPr>
              <w:pStyle w:val="Tabletext0"/>
              <w:rPr>
                <w:b/>
                <w:szCs w:val="22"/>
                <w:lang w:val="en-US"/>
              </w:rPr>
            </w:pPr>
            <w:r w:rsidRPr="002F1CBE">
              <w:rPr>
                <w:b/>
                <w:szCs w:val="22"/>
                <w:lang w:val="en-US"/>
              </w:rPr>
              <w:t>Vial wastage</w:t>
            </w:r>
          </w:p>
        </w:tc>
        <w:tc>
          <w:tcPr>
            <w:tcW w:w="715" w:type="pct"/>
            <w:shd w:val="clear" w:color="auto" w:fill="auto"/>
          </w:tcPr>
          <w:p w14:paraId="7B9313A0" w14:textId="77777777" w:rsidR="006D3202" w:rsidRPr="002F1CBE" w:rsidRDefault="006D3202" w:rsidP="009E22F2">
            <w:pPr>
              <w:pStyle w:val="Tabletext0"/>
              <w:rPr>
                <w:szCs w:val="22"/>
                <w:lang w:val="en-US"/>
              </w:rPr>
            </w:pPr>
            <w:r w:rsidRPr="002F1CBE">
              <w:rPr>
                <w:szCs w:val="22"/>
                <w:lang w:val="en-US"/>
              </w:rPr>
              <w:t>No vial wastage</w:t>
            </w:r>
          </w:p>
        </w:tc>
        <w:tc>
          <w:tcPr>
            <w:tcW w:w="1473" w:type="pct"/>
            <w:shd w:val="clear" w:color="auto" w:fill="auto"/>
          </w:tcPr>
          <w:p w14:paraId="5464E6A5" w14:textId="77777777" w:rsidR="006D3202" w:rsidRPr="002F1CBE" w:rsidRDefault="006D3202" w:rsidP="009E22F2">
            <w:pPr>
              <w:pStyle w:val="Tabletext0"/>
              <w:rPr>
                <w:szCs w:val="22"/>
                <w:lang w:val="en-US"/>
              </w:rPr>
            </w:pPr>
            <w:r w:rsidRPr="002F1CBE">
              <w:rPr>
                <w:szCs w:val="22"/>
                <w:lang w:val="en-US"/>
              </w:rPr>
              <w:t>100% wastage</w:t>
            </w:r>
          </w:p>
        </w:tc>
        <w:tc>
          <w:tcPr>
            <w:tcW w:w="1031" w:type="pct"/>
            <w:shd w:val="clear" w:color="auto" w:fill="auto"/>
            <w:vAlign w:val="bottom"/>
          </w:tcPr>
          <w:p w14:paraId="3DF13C28" w14:textId="6360874C" w:rsidR="006D3202" w:rsidRPr="002F1CBE" w:rsidRDefault="004A3396" w:rsidP="0058642F">
            <w:pPr>
              <w:spacing w:before="0" w:after="0"/>
              <w:jc w:val="right"/>
              <w:rPr>
                <w:lang w:val="en-US"/>
              </w:rPr>
            </w:pPr>
            <w:r>
              <w:rPr>
                <w:lang w:val="en-US"/>
              </w:rPr>
              <w:t>93,251</w:t>
            </w:r>
          </w:p>
        </w:tc>
        <w:tc>
          <w:tcPr>
            <w:tcW w:w="953" w:type="pct"/>
            <w:vAlign w:val="bottom"/>
          </w:tcPr>
          <w:p w14:paraId="4CBB6632" w14:textId="776895DB" w:rsidR="006D3202" w:rsidRPr="002F1CBE" w:rsidRDefault="007C481A">
            <w:pPr>
              <w:spacing w:before="0" w:after="0"/>
              <w:jc w:val="right"/>
              <w:rPr>
                <w:lang w:val="en-US"/>
              </w:rPr>
            </w:pPr>
            <w:r>
              <w:rPr>
                <w:lang w:val="en-US"/>
              </w:rPr>
              <w:t>NA</w:t>
            </w:r>
          </w:p>
        </w:tc>
      </w:tr>
      <w:tr w:rsidR="006D3202" w:rsidRPr="002F1CBE" w14:paraId="4D420B25" w14:textId="4C4C7A15" w:rsidTr="00A00B39">
        <w:tc>
          <w:tcPr>
            <w:tcW w:w="828" w:type="pct"/>
            <w:shd w:val="clear" w:color="auto" w:fill="auto"/>
          </w:tcPr>
          <w:p w14:paraId="3B22546B" w14:textId="77777777" w:rsidR="006D3202" w:rsidRPr="002F1CBE" w:rsidRDefault="006D3202" w:rsidP="009E22F2">
            <w:pPr>
              <w:pStyle w:val="Tabletext0"/>
              <w:rPr>
                <w:b/>
                <w:szCs w:val="22"/>
                <w:lang w:val="en-US"/>
              </w:rPr>
            </w:pPr>
            <w:r w:rsidRPr="002F1CBE">
              <w:rPr>
                <w:b/>
                <w:szCs w:val="22"/>
                <w:lang w:val="en-US"/>
              </w:rPr>
              <w:t>Disease monitoring</w:t>
            </w:r>
          </w:p>
        </w:tc>
        <w:tc>
          <w:tcPr>
            <w:tcW w:w="715" w:type="pct"/>
            <w:shd w:val="clear" w:color="auto" w:fill="auto"/>
          </w:tcPr>
          <w:p w14:paraId="2F0D6BE2" w14:textId="3B481264" w:rsidR="006D3202" w:rsidRPr="002F1CBE" w:rsidDel="00D47C0D" w:rsidRDefault="006D3202" w:rsidP="009E22F2">
            <w:pPr>
              <w:pStyle w:val="Tabletext0"/>
              <w:rPr>
                <w:szCs w:val="22"/>
                <w:lang w:val="en-US"/>
              </w:rPr>
            </w:pPr>
            <w:r w:rsidRPr="002F1CBE">
              <w:rPr>
                <w:szCs w:val="22"/>
                <w:lang w:val="en-US"/>
              </w:rPr>
              <w:t>By progression status</w:t>
            </w:r>
            <w:r w:rsidR="0031435B">
              <w:rPr>
                <w:szCs w:val="22"/>
                <w:lang w:val="en-US"/>
              </w:rPr>
              <w:t xml:space="preserve"> (vs chemotherapy)</w:t>
            </w:r>
          </w:p>
        </w:tc>
        <w:tc>
          <w:tcPr>
            <w:tcW w:w="1473" w:type="pct"/>
            <w:shd w:val="clear" w:color="auto" w:fill="auto"/>
          </w:tcPr>
          <w:p w14:paraId="30F07CDE" w14:textId="77777777" w:rsidR="006D3202" w:rsidRPr="002F1CBE" w:rsidDel="00D47C0D" w:rsidRDefault="006D3202" w:rsidP="009E22F2">
            <w:pPr>
              <w:pStyle w:val="Tabletext0"/>
              <w:rPr>
                <w:szCs w:val="22"/>
                <w:lang w:val="en-US"/>
              </w:rPr>
            </w:pPr>
            <w:r w:rsidRPr="002F1CBE">
              <w:rPr>
                <w:szCs w:val="22"/>
                <w:lang w:val="en-US"/>
              </w:rPr>
              <w:t>By time-to-death</w:t>
            </w:r>
          </w:p>
        </w:tc>
        <w:tc>
          <w:tcPr>
            <w:tcW w:w="1031" w:type="pct"/>
            <w:shd w:val="clear" w:color="auto" w:fill="auto"/>
            <w:vAlign w:val="bottom"/>
          </w:tcPr>
          <w:p w14:paraId="14F31A3B" w14:textId="149C59D5" w:rsidR="006D3202" w:rsidRPr="002F1CBE" w:rsidRDefault="004A3396" w:rsidP="0058642F">
            <w:pPr>
              <w:spacing w:before="0" w:after="0"/>
              <w:jc w:val="right"/>
              <w:rPr>
                <w:lang w:val="en-US"/>
              </w:rPr>
            </w:pPr>
            <w:r>
              <w:rPr>
                <w:lang w:val="en-US"/>
              </w:rPr>
              <w:t>99,110</w:t>
            </w:r>
          </w:p>
        </w:tc>
        <w:tc>
          <w:tcPr>
            <w:tcW w:w="953" w:type="pct"/>
            <w:vAlign w:val="bottom"/>
          </w:tcPr>
          <w:p w14:paraId="2CF46361" w14:textId="32B5A7B1" w:rsidR="006D3202" w:rsidRPr="002F1CBE" w:rsidRDefault="0031435B">
            <w:pPr>
              <w:spacing w:before="0" w:after="0"/>
              <w:jc w:val="right"/>
              <w:rPr>
                <w:lang w:val="en-US"/>
              </w:rPr>
            </w:pPr>
            <w:r>
              <w:rPr>
                <w:lang w:val="en-US"/>
              </w:rPr>
              <w:t>NA</w:t>
            </w:r>
          </w:p>
        </w:tc>
      </w:tr>
      <w:tr w:rsidR="006D3202" w:rsidRPr="002F1CBE" w14:paraId="4165C145" w14:textId="36953B5C" w:rsidTr="00A00B39">
        <w:tc>
          <w:tcPr>
            <w:tcW w:w="828" w:type="pct"/>
            <w:shd w:val="clear" w:color="auto" w:fill="auto"/>
          </w:tcPr>
          <w:p w14:paraId="47F754EC" w14:textId="6A2D2B5A" w:rsidR="006D3202" w:rsidRPr="002F1CBE" w:rsidRDefault="006D3202" w:rsidP="009E22F2">
            <w:pPr>
              <w:pStyle w:val="Tabletext0"/>
              <w:rPr>
                <w:b/>
                <w:szCs w:val="22"/>
                <w:lang w:val="en-US"/>
              </w:rPr>
            </w:pPr>
            <w:r>
              <w:rPr>
                <w:b/>
                <w:szCs w:val="22"/>
                <w:lang w:val="en-US"/>
              </w:rPr>
              <w:t>Cost sharing</w:t>
            </w:r>
          </w:p>
        </w:tc>
        <w:tc>
          <w:tcPr>
            <w:tcW w:w="715" w:type="pct"/>
            <w:shd w:val="clear" w:color="auto" w:fill="auto"/>
          </w:tcPr>
          <w:p w14:paraId="7681BD12" w14:textId="2D7797B6" w:rsidR="006D3202" w:rsidRPr="002F1CBE" w:rsidRDefault="006D3202" w:rsidP="009E22F2">
            <w:pPr>
              <w:pStyle w:val="Tabletext0"/>
              <w:rPr>
                <w:szCs w:val="22"/>
                <w:lang w:val="en-US"/>
              </w:rPr>
            </w:pPr>
            <w:r>
              <w:rPr>
                <w:szCs w:val="22"/>
                <w:lang w:val="en-US"/>
              </w:rPr>
              <w:t>0%</w:t>
            </w:r>
          </w:p>
        </w:tc>
        <w:tc>
          <w:tcPr>
            <w:tcW w:w="1473" w:type="pct"/>
            <w:shd w:val="clear" w:color="auto" w:fill="auto"/>
          </w:tcPr>
          <w:p w14:paraId="6A3F457C" w14:textId="54DCFCF2" w:rsidR="006D3202" w:rsidRPr="002F1CBE" w:rsidRDefault="006D3202" w:rsidP="009E22F2">
            <w:pPr>
              <w:pStyle w:val="Tabletext0"/>
              <w:rPr>
                <w:szCs w:val="22"/>
                <w:lang w:val="en-US"/>
              </w:rPr>
            </w:pPr>
            <w:r>
              <w:rPr>
                <w:szCs w:val="22"/>
                <w:lang w:val="en-US"/>
              </w:rPr>
              <w:t>20%</w:t>
            </w:r>
          </w:p>
        </w:tc>
        <w:tc>
          <w:tcPr>
            <w:tcW w:w="1031" w:type="pct"/>
            <w:shd w:val="clear" w:color="auto" w:fill="auto"/>
            <w:vAlign w:val="bottom"/>
          </w:tcPr>
          <w:p w14:paraId="1859A042" w14:textId="44DC8EB1" w:rsidR="006D3202" w:rsidRDefault="004A3396" w:rsidP="0058642F">
            <w:pPr>
              <w:spacing w:before="0" w:after="0"/>
              <w:jc w:val="right"/>
              <w:rPr>
                <w:lang w:val="en-US"/>
              </w:rPr>
            </w:pPr>
            <w:r>
              <w:rPr>
                <w:lang w:val="en-US"/>
              </w:rPr>
              <w:t>77,672</w:t>
            </w:r>
          </w:p>
        </w:tc>
        <w:tc>
          <w:tcPr>
            <w:tcW w:w="953" w:type="pct"/>
            <w:vAlign w:val="bottom"/>
          </w:tcPr>
          <w:p w14:paraId="1612F7F7" w14:textId="7DEEFA6D" w:rsidR="006D3202" w:rsidRDefault="0031435B" w:rsidP="0058642F">
            <w:pPr>
              <w:spacing w:before="0" w:after="0"/>
              <w:jc w:val="right"/>
              <w:rPr>
                <w:lang w:val="en-US"/>
              </w:rPr>
            </w:pPr>
            <w:r>
              <w:rPr>
                <w:lang w:val="en-US"/>
              </w:rPr>
              <w:t>Dominant</w:t>
            </w:r>
          </w:p>
        </w:tc>
      </w:tr>
      <w:tr w:rsidR="00E41504" w:rsidRPr="002F1CBE" w14:paraId="07B938F5" w14:textId="77777777" w:rsidTr="0058642F">
        <w:tc>
          <w:tcPr>
            <w:tcW w:w="828" w:type="pct"/>
            <w:shd w:val="clear" w:color="auto" w:fill="auto"/>
          </w:tcPr>
          <w:p w14:paraId="505FCC60" w14:textId="315043F4" w:rsidR="00E41504" w:rsidRDefault="00E41504" w:rsidP="009E22F2">
            <w:pPr>
              <w:pStyle w:val="Tabletext0"/>
              <w:rPr>
                <w:b/>
                <w:szCs w:val="22"/>
                <w:lang w:val="en-US"/>
              </w:rPr>
            </w:pPr>
            <w:r>
              <w:rPr>
                <w:b/>
                <w:szCs w:val="22"/>
                <w:lang w:val="en-US"/>
              </w:rPr>
              <w:t>Treatment cap for atezolizumab</w:t>
            </w:r>
          </w:p>
        </w:tc>
        <w:tc>
          <w:tcPr>
            <w:tcW w:w="715" w:type="pct"/>
            <w:shd w:val="clear" w:color="auto" w:fill="auto"/>
          </w:tcPr>
          <w:p w14:paraId="063060CF" w14:textId="613FDF7D" w:rsidR="00E41504" w:rsidRDefault="00E41504" w:rsidP="009E22F2">
            <w:pPr>
              <w:pStyle w:val="Tabletext0"/>
              <w:rPr>
                <w:szCs w:val="22"/>
                <w:lang w:val="en-US"/>
              </w:rPr>
            </w:pPr>
            <w:r>
              <w:rPr>
                <w:szCs w:val="22"/>
                <w:lang w:val="en-US"/>
              </w:rPr>
              <w:t>No cap</w:t>
            </w:r>
          </w:p>
        </w:tc>
        <w:tc>
          <w:tcPr>
            <w:tcW w:w="1473" w:type="pct"/>
            <w:shd w:val="clear" w:color="auto" w:fill="auto"/>
          </w:tcPr>
          <w:p w14:paraId="08FEA830" w14:textId="6D21832D" w:rsidR="00E41504" w:rsidRDefault="00E41504" w:rsidP="009E22F2">
            <w:pPr>
              <w:pStyle w:val="Tabletext0"/>
              <w:rPr>
                <w:szCs w:val="22"/>
                <w:lang w:val="en-US"/>
              </w:rPr>
            </w:pPr>
            <w:r>
              <w:rPr>
                <w:szCs w:val="22"/>
                <w:lang w:val="en-US"/>
              </w:rPr>
              <w:t>Cap of 2 years</w:t>
            </w:r>
          </w:p>
        </w:tc>
        <w:tc>
          <w:tcPr>
            <w:tcW w:w="1031" w:type="pct"/>
            <w:shd w:val="clear" w:color="auto" w:fill="auto"/>
            <w:vAlign w:val="bottom"/>
          </w:tcPr>
          <w:p w14:paraId="2C86FBC0" w14:textId="06B194C5" w:rsidR="00E41504" w:rsidRDefault="00E41504" w:rsidP="0058642F">
            <w:pPr>
              <w:spacing w:before="0" w:after="0"/>
              <w:jc w:val="right"/>
              <w:rPr>
                <w:lang w:val="en-US"/>
              </w:rPr>
            </w:pPr>
            <w:r>
              <w:rPr>
                <w:lang w:val="en-US"/>
              </w:rPr>
              <w:t>NA</w:t>
            </w:r>
          </w:p>
        </w:tc>
        <w:tc>
          <w:tcPr>
            <w:tcW w:w="953" w:type="pct"/>
            <w:vAlign w:val="bottom"/>
          </w:tcPr>
          <w:p w14:paraId="5174C513" w14:textId="540A3297" w:rsidR="00E41504" w:rsidRDefault="0031435B" w:rsidP="0058642F">
            <w:pPr>
              <w:spacing w:before="0" w:after="0"/>
              <w:jc w:val="right"/>
              <w:rPr>
                <w:lang w:val="en-US"/>
              </w:rPr>
            </w:pPr>
            <w:r>
              <w:rPr>
                <w:lang w:val="en-US"/>
              </w:rPr>
              <w:t>38,119</w:t>
            </w:r>
          </w:p>
        </w:tc>
      </w:tr>
      <w:tr w:rsidR="006D3202" w:rsidRPr="002F1CBE" w14:paraId="12B846D4" w14:textId="70BF7367" w:rsidTr="00A00B39">
        <w:tc>
          <w:tcPr>
            <w:tcW w:w="828" w:type="pct"/>
            <w:vMerge w:val="restart"/>
            <w:shd w:val="clear" w:color="auto" w:fill="auto"/>
          </w:tcPr>
          <w:p w14:paraId="79B26FBE" w14:textId="79D75A5D" w:rsidR="006D3202" w:rsidRPr="002F1CBE" w:rsidRDefault="006D3202" w:rsidP="009E22F2">
            <w:pPr>
              <w:pStyle w:val="Tabletext0"/>
              <w:rPr>
                <w:b/>
                <w:szCs w:val="22"/>
                <w:lang w:val="en-US"/>
              </w:rPr>
            </w:pPr>
            <w:r w:rsidRPr="002F1CBE">
              <w:rPr>
                <w:b/>
                <w:szCs w:val="22"/>
                <w:lang w:val="en-US"/>
              </w:rPr>
              <w:t>ToT parametric function – paclitaxel or docetaxel</w:t>
            </w:r>
          </w:p>
        </w:tc>
        <w:tc>
          <w:tcPr>
            <w:tcW w:w="715" w:type="pct"/>
            <w:vMerge w:val="restart"/>
            <w:shd w:val="clear" w:color="auto" w:fill="auto"/>
          </w:tcPr>
          <w:p w14:paraId="4D75BC0A" w14:textId="58D8732F" w:rsidR="006D3202" w:rsidRPr="002F1CBE" w:rsidRDefault="006D3202" w:rsidP="009E22F2">
            <w:pPr>
              <w:pStyle w:val="Tabletext0"/>
              <w:rPr>
                <w:szCs w:val="22"/>
                <w:lang w:val="en-US"/>
              </w:rPr>
            </w:pPr>
            <w:r w:rsidRPr="002F1CBE">
              <w:rPr>
                <w:szCs w:val="22"/>
                <w:lang w:val="en-US"/>
              </w:rPr>
              <w:t>Gamma</w:t>
            </w:r>
          </w:p>
        </w:tc>
        <w:tc>
          <w:tcPr>
            <w:tcW w:w="1473" w:type="pct"/>
            <w:shd w:val="clear" w:color="auto" w:fill="auto"/>
          </w:tcPr>
          <w:p w14:paraId="38BBBAC1" w14:textId="77777777" w:rsidR="006D3202" w:rsidRPr="002F1CBE" w:rsidRDefault="006D3202" w:rsidP="009E22F2">
            <w:pPr>
              <w:pStyle w:val="Tabletext0"/>
              <w:rPr>
                <w:szCs w:val="22"/>
                <w:lang w:val="en-US"/>
              </w:rPr>
            </w:pPr>
            <w:r w:rsidRPr="002F1CBE">
              <w:rPr>
                <w:szCs w:val="22"/>
                <w:lang w:val="en-US"/>
              </w:rPr>
              <w:t>Exponential</w:t>
            </w:r>
          </w:p>
        </w:tc>
        <w:tc>
          <w:tcPr>
            <w:tcW w:w="1031" w:type="pct"/>
            <w:shd w:val="clear" w:color="auto" w:fill="auto"/>
            <w:vAlign w:val="bottom"/>
          </w:tcPr>
          <w:p w14:paraId="14F83FE7" w14:textId="28CF92AF" w:rsidR="006D3202" w:rsidRPr="002F1CBE" w:rsidRDefault="004A3396" w:rsidP="0058642F">
            <w:pPr>
              <w:spacing w:before="0" w:after="0"/>
              <w:jc w:val="right"/>
              <w:rPr>
                <w:lang w:val="en-US"/>
              </w:rPr>
            </w:pPr>
            <w:r>
              <w:rPr>
                <w:lang w:val="en-US"/>
              </w:rPr>
              <w:t>93,484</w:t>
            </w:r>
          </w:p>
        </w:tc>
        <w:tc>
          <w:tcPr>
            <w:tcW w:w="953" w:type="pct"/>
            <w:vAlign w:val="bottom"/>
          </w:tcPr>
          <w:p w14:paraId="7BBB2ADA" w14:textId="1470975F" w:rsidR="006D3202" w:rsidRDefault="006D3202">
            <w:pPr>
              <w:spacing w:before="0" w:after="0"/>
              <w:jc w:val="right"/>
              <w:rPr>
                <w:lang w:val="en-US"/>
              </w:rPr>
            </w:pPr>
            <w:r>
              <w:rPr>
                <w:lang w:val="en-US"/>
              </w:rPr>
              <w:t>NA</w:t>
            </w:r>
          </w:p>
        </w:tc>
      </w:tr>
      <w:tr w:rsidR="006D3202" w:rsidRPr="002F1CBE" w14:paraId="4C48ED7E" w14:textId="5667F7E3" w:rsidTr="00A00B39">
        <w:tc>
          <w:tcPr>
            <w:tcW w:w="828" w:type="pct"/>
            <w:vMerge/>
            <w:shd w:val="clear" w:color="auto" w:fill="auto"/>
          </w:tcPr>
          <w:p w14:paraId="4281F88D" w14:textId="77777777" w:rsidR="006D3202" w:rsidRPr="002F1CBE" w:rsidRDefault="006D3202" w:rsidP="009E22F2">
            <w:pPr>
              <w:pStyle w:val="Tabletext0"/>
              <w:rPr>
                <w:b/>
                <w:szCs w:val="22"/>
                <w:lang w:val="en-US"/>
              </w:rPr>
            </w:pPr>
          </w:p>
        </w:tc>
        <w:tc>
          <w:tcPr>
            <w:tcW w:w="715" w:type="pct"/>
            <w:vMerge/>
            <w:shd w:val="clear" w:color="auto" w:fill="auto"/>
          </w:tcPr>
          <w:p w14:paraId="0F290248" w14:textId="77777777" w:rsidR="006D3202" w:rsidRPr="002F1CBE" w:rsidRDefault="006D3202" w:rsidP="009E22F2">
            <w:pPr>
              <w:pStyle w:val="Tabletext0"/>
              <w:rPr>
                <w:szCs w:val="22"/>
                <w:lang w:val="en-US"/>
              </w:rPr>
            </w:pPr>
          </w:p>
        </w:tc>
        <w:tc>
          <w:tcPr>
            <w:tcW w:w="1473" w:type="pct"/>
            <w:shd w:val="clear" w:color="auto" w:fill="auto"/>
          </w:tcPr>
          <w:p w14:paraId="33493B74" w14:textId="77777777" w:rsidR="006D3202" w:rsidRPr="002F1CBE" w:rsidRDefault="006D3202" w:rsidP="009E22F2">
            <w:pPr>
              <w:pStyle w:val="Tabletext0"/>
              <w:rPr>
                <w:szCs w:val="22"/>
                <w:lang w:val="en-US"/>
              </w:rPr>
            </w:pPr>
            <w:r w:rsidRPr="002F1CBE">
              <w:rPr>
                <w:szCs w:val="22"/>
                <w:lang w:val="en-US"/>
              </w:rPr>
              <w:t>Weibull</w:t>
            </w:r>
          </w:p>
        </w:tc>
        <w:tc>
          <w:tcPr>
            <w:tcW w:w="1031" w:type="pct"/>
            <w:shd w:val="clear" w:color="auto" w:fill="auto"/>
            <w:vAlign w:val="bottom"/>
          </w:tcPr>
          <w:p w14:paraId="1B7AACEE" w14:textId="3E3B0164" w:rsidR="006D3202" w:rsidRPr="002F1CBE" w:rsidRDefault="004A3396" w:rsidP="0058642F">
            <w:pPr>
              <w:spacing w:before="0" w:after="0"/>
              <w:jc w:val="right"/>
              <w:rPr>
                <w:lang w:val="en-US"/>
              </w:rPr>
            </w:pPr>
            <w:r>
              <w:rPr>
                <w:lang w:val="en-US"/>
              </w:rPr>
              <w:t>93,464</w:t>
            </w:r>
          </w:p>
        </w:tc>
        <w:tc>
          <w:tcPr>
            <w:tcW w:w="953" w:type="pct"/>
            <w:vAlign w:val="bottom"/>
          </w:tcPr>
          <w:p w14:paraId="6D9DA1B2" w14:textId="486800D5" w:rsidR="006D3202" w:rsidRDefault="006D3202">
            <w:pPr>
              <w:spacing w:before="0" w:after="0"/>
              <w:jc w:val="right"/>
              <w:rPr>
                <w:lang w:val="en-US"/>
              </w:rPr>
            </w:pPr>
            <w:r>
              <w:rPr>
                <w:lang w:val="en-US"/>
              </w:rPr>
              <w:t>NA</w:t>
            </w:r>
          </w:p>
        </w:tc>
      </w:tr>
      <w:tr w:rsidR="006D3202" w:rsidRPr="002F1CBE" w14:paraId="5E3C2EC6" w14:textId="53510886" w:rsidTr="00A00B39">
        <w:tc>
          <w:tcPr>
            <w:tcW w:w="828" w:type="pct"/>
            <w:vMerge/>
            <w:shd w:val="clear" w:color="auto" w:fill="auto"/>
          </w:tcPr>
          <w:p w14:paraId="24CBDC1B" w14:textId="77777777" w:rsidR="006D3202" w:rsidRPr="002F1CBE" w:rsidRDefault="006D3202" w:rsidP="009E22F2">
            <w:pPr>
              <w:pStyle w:val="Tabletext0"/>
              <w:rPr>
                <w:b/>
                <w:szCs w:val="22"/>
                <w:lang w:val="en-US"/>
              </w:rPr>
            </w:pPr>
          </w:p>
        </w:tc>
        <w:tc>
          <w:tcPr>
            <w:tcW w:w="715" w:type="pct"/>
            <w:vMerge/>
            <w:shd w:val="clear" w:color="auto" w:fill="auto"/>
          </w:tcPr>
          <w:p w14:paraId="3BC7CFC6" w14:textId="77777777" w:rsidR="006D3202" w:rsidRPr="002F1CBE" w:rsidRDefault="006D3202" w:rsidP="009E22F2">
            <w:pPr>
              <w:pStyle w:val="Tabletext0"/>
              <w:rPr>
                <w:szCs w:val="22"/>
                <w:lang w:val="en-US"/>
              </w:rPr>
            </w:pPr>
          </w:p>
        </w:tc>
        <w:tc>
          <w:tcPr>
            <w:tcW w:w="1473" w:type="pct"/>
            <w:shd w:val="clear" w:color="auto" w:fill="auto"/>
          </w:tcPr>
          <w:p w14:paraId="7B7AC235" w14:textId="77777777" w:rsidR="006D3202" w:rsidRPr="002F1CBE" w:rsidRDefault="006D3202" w:rsidP="009E22F2">
            <w:pPr>
              <w:pStyle w:val="Tabletext0"/>
              <w:rPr>
                <w:szCs w:val="22"/>
                <w:lang w:val="en-US"/>
              </w:rPr>
            </w:pPr>
            <w:r w:rsidRPr="002F1CBE">
              <w:rPr>
                <w:szCs w:val="22"/>
                <w:lang w:val="en-US"/>
              </w:rPr>
              <w:t>Log-normal</w:t>
            </w:r>
          </w:p>
        </w:tc>
        <w:tc>
          <w:tcPr>
            <w:tcW w:w="1031" w:type="pct"/>
            <w:shd w:val="clear" w:color="auto" w:fill="auto"/>
            <w:vAlign w:val="bottom"/>
          </w:tcPr>
          <w:p w14:paraId="2F795EF2" w14:textId="78B12D8B" w:rsidR="006D3202" w:rsidRPr="002F1CBE" w:rsidRDefault="004A3396" w:rsidP="0058642F">
            <w:pPr>
              <w:spacing w:before="0" w:after="0"/>
              <w:jc w:val="right"/>
              <w:rPr>
                <w:lang w:val="en-US"/>
              </w:rPr>
            </w:pPr>
            <w:r>
              <w:rPr>
                <w:lang w:val="en-US"/>
              </w:rPr>
              <w:t>92,650</w:t>
            </w:r>
          </w:p>
        </w:tc>
        <w:tc>
          <w:tcPr>
            <w:tcW w:w="953" w:type="pct"/>
            <w:vAlign w:val="bottom"/>
          </w:tcPr>
          <w:p w14:paraId="66C0D505" w14:textId="408F6EE8" w:rsidR="006D3202" w:rsidRDefault="006D3202">
            <w:pPr>
              <w:spacing w:before="0" w:after="0"/>
              <w:jc w:val="right"/>
              <w:rPr>
                <w:lang w:val="en-US"/>
              </w:rPr>
            </w:pPr>
            <w:r>
              <w:rPr>
                <w:lang w:val="en-US"/>
              </w:rPr>
              <w:t>NA</w:t>
            </w:r>
          </w:p>
        </w:tc>
      </w:tr>
      <w:tr w:rsidR="006D3202" w:rsidRPr="002F1CBE" w14:paraId="3B3D3CE1" w14:textId="0EB90094" w:rsidTr="00A00B39">
        <w:tc>
          <w:tcPr>
            <w:tcW w:w="828" w:type="pct"/>
            <w:vMerge/>
            <w:shd w:val="clear" w:color="auto" w:fill="auto"/>
          </w:tcPr>
          <w:p w14:paraId="45DB38FF" w14:textId="77777777" w:rsidR="006D3202" w:rsidRPr="002F1CBE" w:rsidRDefault="006D3202" w:rsidP="006D3202">
            <w:pPr>
              <w:pStyle w:val="Tabletext0"/>
              <w:rPr>
                <w:b/>
                <w:szCs w:val="22"/>
                <w:lang w:val="en-US"/>
              </w:rPr>
            </w:pPr>
          </w:p>
        </w:tc>
        <w:tc>
          <w:tcPr>
            <w:tcW w:w="715" w:type="pct"/>
            <w:vMerge/>
            <w:shd w:val="clear" w:color="auto" w:fill="auto"/>
          </w:tcPr>
          <w:p w14:paraId="06266B07" w14:textId="77777777" w:rsidR="006D3202" w:rsidRPr="002F1CBE" w:rsidRDefault="006D3202" w:rsidP="006D3202">
            <w:pPr>
              <w:pStyle w:val="Tabletext0"/>
              <w:rPr>
                <w:szCs w:val="22"/>
                <w:lang w:val="en-US"/>
              </w:rPr>
            </w:pPr>
          </w:p>
        </w:tc>
        <w:tc>
          <w:tcPr>
            <w:tcW w:w="1473" w:type="pct"/>
            <w:shd w:val="clear" w:color="auto" w:fill="auto"/>
          </w:tcPr>
          <w:p w14:paraId="0AE49D99" w14:textId="77777777" w:rsidR="006D3202" w:rsidRPr="002F1CBE" w:rsidRDefault="006D3202" w:rsidP="006D3202">
            <w:pPr>
              <w:pStyle w:val="Tabletext0"/>
              <w:rPr>
                <w:szCs w:val="22"/>
                <w:lang w:val="en-US"/>
              </w:rPr>
            </w:pPr>
            <w:r w:rsidRPr="002F1CBE">
              <w:rPr>
                <w:szCs w:val="22"/>
                <w:lang w:val="en-US"/>
              </w:rPr>
              <w:t>Log-logistic</w:t>
            </w:r>
          </w:p>
        </w:tc>
        <w:tc>
          <w:tcPr>
            <w:tcW w:w="1031" w:type="pct"/>
            <w:shd w:val="clear" w:color="auto" w:fill="auto"/>
            <w:vAlign w:val="bottom"/>
          </w:tcPr>
          <w:p w14:paraId="7F7EB6F1" w14:textId="402D33FE" w:rsidR="006D3202" w:rsidRPr="002F1CBE" w:rsidRDefault="004A3396" w:rsidP="0058642F">
            <w:pPr>
              <w:spacing w:before="0" w:after="0"/>
              <w:jc w:val="right"/>
              <w:rPr>
                <w:lang w:val="en-US"/>
              </w:rPr>
            </w:pPr>
            <w:r>
              <w:rPr>
                <w:lang w:val="en-US"/>
              </w:rPr>
              <w:t>92,405</w:t>
            </w:r>
          </w:p>
        </w:tc>
        <w:tc>
          <w:tcPr>
            <w:tcW w:w="953" w:type="pct"/>
            <w:vAlign w:val="bottom"/>
          </w:tcPr>
          <w:p w14:paraId="6A57E67C" w14:textId="364B1696" w:rsidR="006D3202" w:rsidRDefault="006D3202">
            <w:pPr>
              <w:spacing w:before="0" w:after="0"/>
              <w:jc w:val="right"/>
              <w:rPr>
                <w:lang w:val="en-US"/>
              </w:rPr>
            </w:pPr>
            <w:r>
              <w:rPr>
                <w:lang w:val="en-US"/>
              </w:rPr>
              <w:t>NA</w:t>
            </w:r>
          </w:p>
        </w:tc>
      </w:tr>
      <w:tr w:rsidR="006D3202" w:rsidRPr="002F1CBE" w14:paraId="165B9D05" w14:textId="49321024" w:rsidTr="00A00B39">
        <w:tc>
          <w:tcPr>
            <w:tcW w:w="828" w:type="pct"/>
            <w:vMerge/>
            <w:shd w:val="clear" w:color="auto" w:fill="auto"/>
          </w:tcPr>
          <w:p w14:paraId="37554AFF" w14:textId="77777777" w:rsidR="006D3202" w:rsidRPr="002F1CBE" w:rsidRDefault="006D3202" w:rsidP="006D3202">
            <w:pPr>
              <w:pStyle w:val="Tabletext0"/>
              <w:rPr>
                <w:b/>
                <w:szCs w:val="22"/>
                <w:lang w:val="en-US"/>
              </w:rPr>
            </w:pPr>
          </w:p>
        </w:tc>
        <w:tc>
          <w:tcPr>
            <w:tcW w:w="715" w:type="pct"/>
            <w:vMerge/>
            <w:shd w:val="clear" w:color="auto" w:fill="auto"/>
          </w:tcPr>
          <w:p w14:paraId="5E2AE882" w14:textId="77777777" w:rsidR="006D3202" w:rsidRPr="002F1CBE" w:rsidRDefault="006D3202" w:rsidP="006D3202">
            <w:pPr>
              <w:pStyle w:val="Tabletext0"/>
              <w:rPr>
                <w:szCs w:val="22"/>
                <w:lang w:val="en-US"/>
              </w:rPr>
            </w:pPr>
          </w:p>
        </w:tc>
        <w:tc>
          <w:tcPr>
            <w:tcW w:w="1473" w:type="pct"/>
            <w:shd w:val="clear" w:color="auto" w:fill="auto"/>
          </w:tcPr>
          <w:p w14:paraId="2F26B532" w14:textId="77777777" w:rsidR="006D3202" w:rsidRPr="002F1CBE" w:rsidRDefault="006D3202" w:rsidP="006D3202">
            <w:pPr>
              <w:pStyle w:val="Tabletext0"/>
              <w:rPr>
                <w:szCs w:val="22"/>
                <w:lang w:val="en-US"/>
              </w:rPr>
            </w:pPr>
            <w:r w:rsidRPr="002F1CBE">
              <w:rPr>
                <w:szCs w:val="22"/>
                <w:lang w:val="en-US"/>
              </w:rPr>
              <w:t>Gompertz</w:t>
            </w:r>
          </w:p>
        </w:tc>
        <w:tc>
          <w:tcPr>
            <w:tcW w:w="1031" w:type="pct"/>
            <w:shd w:val="clear" w:color="auto" w:fill="auto"/>
            <w:vAlign w:val="bottom"/>
          </w:tcPr>
          <w:p w14:paraId="7B01FD34" w14:textId="213072EA" w:rsidR="006D3202" w:rsidRPr="002F1CBE" w:rsidRDefault="004A3396" w:rsidP="0058642F">
            <w:pPr>
              <w:spacing w:before="0" w:after="0"/>
              <w:jc w:val="right"/>
              <w:rPr>
                <w:lang w:val="en-US"/>
              </w:rPr>
            </w:pPr>
            <w:r>
              <w:rPr>
                <w:lang w:val="en-US"/>
              </w:rPr>
              <w:t>93,483</w:t>
            </w:r>
          </w:p>
        </w:tc>
        <w:tc>
          <w:tcPr>
            <w:tcW w:w="953" w:type="pct"/>
            <w:vAlign w:val="bottom"/>
          </w:tcPr>
          <w:p w14:paraId="20A220E7" w14:textId="79AE49A3" w:rsidR="006D3202" w:rsidRDefault="006D3202">
            <w:pPr>
              <w:spacing w:before="0" w:after="0"/>
              <w:jc w:val="right"/>
              <w:rPr>
                <w:lang w:val="en-US"/>
              </w:rPr>
            </w:pPr>
            <w:r>
              <w:rPr>
                <w:lang w:val="en-US"/>
              </w:rPr>
              <w:t>NA</w:t>
            </w:r>
          </w:p>
        </w:tc>
      </w:tr>
      <w:tr w:rsidR="0031435B" w:rsidRPr="002F1CBE" w14:paraId="546BA768" w14:textId="06D50002" w:rsidTr="00A00B39">
        <w:tc>
          <w:tcPr>
            <w:tcW w:w="828" w:type="pct"/>
            <w:vMerge w:val="restart"/>
            <w:shd w:val="clear" w:color="auto" w:fill="auto"/>
          </w:tcPr>
          <w:p w14:paraId="53A3764C" w14:textId="77777777" w:rsidR="0031435B" w:rsidRPr="002F1CBE" w:rsidRDefault="0031435B" w:rsidP="0031435B">
            <w:pPr>
              <w:pStyle w:val="Tabletext0"/>
              <w:rPr>
                <w:b/>
                <w:szCs w:val="22"/>
                <w:lang w:val="en-US"/>
              </w:rPr>
            </w:pPr>
            <w:r w:rsidRPr="002F1CBE">
              <w:rPr>
                <w:b/>
                <w:szCs w:val="22"/>
                <w:lang w:val="en-US"/>
              </w:rPr>
              <w:t>PFS parametric function – pembrolizumab</w:t>
            </w:r>
          </w:p>
        </w:tc>
        <w:tc>
          <w:tcPr>
            <w:tcW w:w="715" w:type="pct"/>
            <w:vMerge w:val="restart"/>
            <w:shd w:val="clear" w:color="auto" w:fill="auto"/>
          </w:tcPr>
          <w:p w14:paraId="40FE2544" w14:textId="77777777" w:rsidR="0031435B" w:rsidRPr="002F1CBE" w:rsidRDefault="0031435B" w:rsidP="0031435B">
            <w:pPr>
              <w:pStyle w:val="Tabletext0"/>
              <w:rPr>
                <w:szCs w:val="22"/>
                <w:lang w:val="en-US"/>
              </w:rPr>
            </w:pPr>
            <w:r w:rsidRPr="002F1CBE">
              <w:rPr>
                <w:szCs w:val="22"/>
                <w:lang w:val="en-US"/>
              </w:rPr>
              <w:t>Log logistic (Week 15)</w:t>
            </w:r>
          </w:p>
        </w:tc>
        <w:tc>
          <w:tcPr>
            <w:tcW w:w="1473" w:type="pct"/>
            <w:shd w:val="clear" w:color="auto" w:fill="auto"/>
          </w:tcPr>
          <w:p w14:paraId="70E86B81" w14:textId="77777777" w:rsidR="0031435B" w:rsidRPr="002F1CBE" w:rsidRDefault="0031435B" w:rsidP="0031435B">
            <w:pPr>
              <w:pStyle w:val="Tabletext0"/>
              <w:rPr>
                <w:szCs w:val="22"/>
                <w:lang w:val="en-US"/>
              </w:rPr>
            </w:pPr>
            <w:r w:rsidRPr="002F1CBE">
              <w:rPr>
                <w:szCs w:val="22"/>
                <w:lang w:val="en-US"/>
              </w:rPr>
              <w:t>Exponential</w:t>
            </w:r>
          </w:p>
        </w:tc>
        <w:tc>
          <w:tcPr>
            <w:tcW w:w="1031" w:type="pct"/>
            <w:shd w:val="clear" w:color="auto" w:fill="auto"/>
            <w:vAlign w:val="bottom"/>
          </w:tcPr>
          <w:p w14:paraId="1F7130D9" w14:textId="5AB5341A" w:rsidR="0031435B" w:rsidRPr="002F1CBE" w:rsidRDefault="0031435B" w:rsidP="0031435B">
            <w:pPr>
              <w:spacing w:before="0" w:after="0"/>
              <w:jc w:val="right"/>
              <w:rPr>
                <w:lang w:val="en-US"/>
              </w:rPr>
            </w:pPr>
            <w:r>
              <w:rPr>
                <w:lang w:val="en-US"/>
              </w:rPr>
              <w:t>97,603</w:t>
            </w:r>
          </w:p>
        </w:tc>
        <w:tc>
          <w:tcPr>
            <w:tcW w:w="953" w:type="pct"/>
            <w:vAlign w:val="bottom"/>
          </w:tcPr>
          <w:p w14:paraId="346E0825" w14:textId="2643A299" w:rsidR="0031435B" w:rsidRDefault="0031435B" w:rsidP="0031435B">
            <w:pPr>
              <w:spacing w:before="0" w:after="0"/>
              <w:jc w:val="right"/>
              <w:rPr>
                <w:lang w:val="en-US"/>
              </w:rPr>
            </w:pPr>
            <w:r>
              <w:rPr>
                <w:lang w:val="en-US"/>
              </w:rPr>
              <w:t>NA</w:t>
            </w:r>
          </w:p>
        </w:tc>
      </w:tr>
      <w:tr w:rsidR="0031435B" w:rsidRPr="002F1CBE" w14:paraId="2487A744" w14:textId="7C3B4EDA" w:rsidTr="00A00B39">
        <w:tc>
          <w:tcPr>
            <w:tcW w:w="828" w:type="pct"/>
            <w:vMerge/>
            <w:shd w:val="clear" w:color="auto" w:fill="auto"/>
          </w:tcPr>
          <w:p w14:paraId="410231EC" w14:textId="77777777" w:rsidR="0031435B" w:rsidRPr="002F1CBE" w:rsidRDefault="0031435B" w:rsidP="0031435B">
            <w:pPr>
              <w:pStyle w:val="Tabletext0"/>
              <w:rPr>
                <w:b/>
                <w:szCs w:val="22"/>
                <w:lang w:val="en-US"/>
              </w:rPr>
            </w:pPr>
          </w:p>
        </w:tc>
        <w:tc>
          <w:tcPr>
            <w:tcW w:w="715" w:type="pct"/>
            <w:vMerge/>
            <w:shd w:val="clear" w:color="auto" w:fill="auto"/>
          </w:tcPr>
          <w:p w14:paraId="0C420F37" w14:textId="77777777" w:rsidR="0031435B" w:rsidRPr="002F1CBE" w:rsidRDefault="0031435B" w:rsidP="0031435B">
            <w:pPr>
              <w:pStyle w:val="Tabletext0"/>
              <w:rPr>
                <w:szCs w:val="22"/>
                <w:lang w:val="en-US"/>
              </w:rPr>
            </w:pPr>
          </w:p>
        </w:tc>
        <w:tc>
          <w:tcPr>
            <w:tcW w:w="1473" w:type="pct"/>
            <w:shd w:val="clear" w:color="auto" w:fill="auto"/>
          </w:tcPr>
          <w:p w14:paraId="5D4E7AB5" w14:textId="77777777" w:rsidR="0031435B" w:rsidRPr="002F1CBE" w:rsidRDefault="0031435B" w:rsidP="0031435B">
            <w:pPr>
              <w:pStyle w:val="Tabletext0"/>
              <w:rPr>
                <w:szCs w:val="22"/>
                <w:lang w:val="en-US"/>
              </w:rPr>
            </w:pPr>
            <w:r w:rsidRPr="002F1CBE">
              <w:rPr>
                <w:szCs w:val="22"/>
                <w:lang w:val="en-US"/>
              </w:rPr>
              <w:t>Log-normal</w:t>
            </w:r>
          </w:p>
        </w:tc>
        <w:tc>
          <w:tcPr>
            <w:tcW w:w="1031" w:type="pct"/>
            <w:shd w:val="clear" w:color="auto" w:fill="auto"/>
            <w:vAlign w:val="bottom"/>
          </w:tcPr>
          <w:p w14:paraId="26C667C5" w14:textId="3A8C9E09" w:rsidR="0031435B" w:rsidRPr="002F1CBE" w:rsidRDefault="0031435B" w:rsidP="0031435B">
            <w:pPr>
              <w:spacing w:before="0" w:after="0"/>
              <w:jc w:val="right"/>
              <w:rPr>
                <w:lang w:val="en-US"/>
              </w:rPr>
            </w:pPr>
            <w:r>
              <w:rPr>
                <w:lang w:val="en-US"/>
              </w:rPr>
              <w:t>93,147</w:t>
            </w:r>
          </w:p>
        </w:tc>
        <w:tc>
          <w:tcPr>
            <w:tcW w:w="953" w:type="pct"/>
            <w:vAlign w:val="bottom"/>
          </w:tcPr>
          <w:p w14:paraId="0A4CF21E" w14:textId="0BC195F6" w:rsidR="0031435B" w:rsidRDefault="0031435B" w:rsidP="0031435B">
            <w:pPr>
              <w:spacing w:before="0" w:after="0"/>
              <w:jc w:val="right"/>
              <w:rPr>
                <w:lang w:val="en-US"/>
              </w:rPr>
            </w:pPr>
            <w:r>
              <w:rPr>
                <w:lang w:val="en-US"/>
              </w:rPr>
              <w:t>NA</w:t>
            </w:r>
          </w:p>
        </w:tc>
      </w:tr>
      <w:tr w:rsidR="0031435B" w:rsidRPr="002F1CBE" w14:paraId="42809C76" w14:textId="44F1122F" w:rsidTr="00A00B39">
        <w:tc>
          <w:tcPr>
            <w:tcW w:w="828" w:type="pct"/>
            <w:vMerge/>
            <w:shd w:val="clear" w:color="auto" w:fill="auto"/>
          </w:tcPr>
          <w:p w14:paraId="0328A61C" w14:textId="77777777" w:rsidR="0031435B" w:rsidRPr="002F1CBE" w:rsidRDefault="0031435B" w:rsidP="0031435B">
            <w:pPr>
              <w:pStyle w:val="Tabletext0"/>
              <w:rPr>
                <w:b/>
                <w:szCs w:val="22"/>
                <w:lang w:val="en-US"/>
              </w:rPr>
            </w:pPr>
          </w:p>
        </w:tc>
        <w:tc>
          <w:tcPr>
            <w:tcW w:w="715" w:type="pct"/>
            <w:vMerge/>
            <w:shd w:val="clear" w:color="auto" w:fill="auto"/>
          </w:tcPr>
          <w:p w14:paraId="497941CF" w14:textId="77777777" w:rsidR="0031435B" w:rsidRPr="002F1CBE" w:rsidRDefault="0031435B" w:rsidP="0031435B">
            <w:pPr>
              <w:pStyle w:val="Tabletext0"/>
              <w:rPr>
                <w:szCs w:val="22"/>
                <w:lang w:val="en-US"/>
              </w:rPr>
            </w:pPr>
          </w:p>
        </w:tc>
        <w:tc>
          <w:tcPr>
            <w:tcW w:w="1473" w:type="pct"/>
            <w:shd w:val="clear" w:color="auto" w:fill="auto"/>
          </w:tcPr>
          <w:p w14:paraId="4BDE8089" w14:textId="77777777" w:rsidR="0031435B" w:rsidRPr="002F1CBE" w:rsidRDefault="0031435B" w:rsidP="0031435B">
            <w:pPr>
              <w:pStyle w:val="Tabletext0"/>
              <w:rPr>
                <w:szCs w:val="22"/>
                <w:lang w:val="en-US"/>
              </w:rPr>
            </w:pPr>
            <w:r w:rsidRPr="002F1CBE">
              <w:rPr>
                <w:szCs w:val="22"/>
                <w:lang w:val="en-US"/>
              </w:rPr>
              <w:t>Weibull</w:t>
            </w:r>
          </w:p>
        </w:tc>
        <w:tc>
          <w:tcPr>
            <w:tcW w:w="1031" w:type="pct"/>
            <w:shd w:val="clear" w:color="auto" w:fill="auto"/>
            <w:vAlign w:val="bottom"/>
          </w:tcPr>
          <w:p w14:paraId="31F5EC8D" w14:textId="2F78A7C9" w:rsidR="0031435B" w:rsidRPr="002F1CBE" w:rsidRDefault="0031435B" w:rsidP="0031435B">
            <w:pPr>
              <w:spacing w:before="0" w:after="0"/>
              <w:jc w:val="right"/>
              <w:rPr>
                <w:lang w:val="en-US"/>
              </w:rPr>
            </w:pPr>
            <w:r>
              <w:rPr>
                <w:lang w:val="en-US"/>
              </w:rPr>
              <w:t>95,889</w:t>
            </w:r>
          </w:p>
        </w:tc>
        <w:tc>
          <w:tcPr>
            <w:tcW w:w="953" w:type="pct"/>
            <w:vAlign w:val="bottom"/>
          </w:tcPr>
          <w:p w14:paraId="6F537222" w14:textId="1CA2B1B2" w:rsidR="0031435B" w:rsidRDefault="0031435B" w:rsidP="0031435B">
            <w:pPr>
              <w:spacing w:before="0" w:after="0"/>
              <w:jc w:val="right"/>
              <w:rPr>
                <w:lang w:val="en-US"/>
              </w:rPr>
            </w:pPr>
            <w:r>
              <w:rPr>
                <w:lang w:val="en-US"/>
              </w:rPr>
              <w:t>NA</w:t>
            </w:r>
          </w:p>
        </w:tc>
      </w:tr>
      <w:tr w:rsidR="0031435B" w:rsidRPr="002F1CBE" w14:paraId="0C066709" w14:textId="6F4E731E" w:rsidTr="00A00B39">
        <w:tc>
          <w:tcPr>
            <w:tcW w:w="828" w:type="pct"/>
            <w:vMerge/>
            <w:shd w:val="clear" w:color="auto" w:fill="auto"/>
          </w:tcPr>
          <w:p w14:paraId="5AFF4065" w14:textId="77777777" w:rsidR="0031435B" w:rsidRPr="002F1CBE" w:rsidRDefault="0031435B" w:rsidP="0031435B">
            <w:pPr>
              <w:pStyle w:val="Tabletext0"/>
              <w:rPr>
                <w:b/>
                <w:szCs w:val="22"/>
                <w:lang w:val="en-US"/>
              </w:rPr>
            </w:pPr>
          </w:p>
        </w:tc>
        <w:tc>
          <w:tcPr>
            <w:tcW w:w="715" w:type="pct"/>
            <w:vMerge/>
            <w:shd w:val="clear" w:color="auto" w:fill="auto"/>
          </w:tcPr>
          <w:p w14:paraId="0D564141" w14:textId="77777777" w:rsidR="0031435B" w:rsidRPr="002F1CBE" w:rsidRDefault="0031435B" w:rsidP="0031435B">
            <w:pPr>
              <w:pStyle w:val="Tabletext0"/>
              <w:rPr>
                <w:szCs w:val="22"/>
                <w:lang w:val="en-US"/>
              </w:rPr>
            </w:pPr>
          </w:p>
        </w:tc>
        <w:tc>
          <w:tcPr>
            <w:tcW w:w="1473" w:type="pct"/>
            <w:shd w:val="clear" w:color="auto" w:fill="auto"/>
          </w:tcPr>
          <w:p w14:paraId="411216EE" w14:textId="77777777" w:rsidR="0031435B" w:rsidRPr="002F1CBE" w:rsidRDefault="0031435B" w:rsidP="0031435B">
            <w:pPr>
              <w:pStyle w:val="Tabletext0"/>
              <w:rPr>
                <w:szCs w:val="22"/>
                <w:lang w:val="en-US"/>
              </w:rPr>
            </w:pPr>
            <w:r w:rsidRPr="002F1CBE">
              <w:rPr>
                <w:szCs w:val="22"/>
                <w:lang w:val="en-US"/>
              </w:rPr>
              <w:t>Gompertz</w:t>
            </w:r>
          </w:p>
        </w:tc>
        <w:tc>
          <w:tcPr>
            <w:tcW w:w="1031" w:type="pct"/>
            <w:shd w:val="clear" w:color="auto" w:fill="auto"/>
            <w:vAlign w:val="bottom"/>
          </w:tcPr>
          <w:p w14:paraId="6E068AC4" w14:textId="4BBCEACF" w:rsidR="0031435B" w:rsidRPr="002F1CBE" w:rsidRDefault="0031435B" w:rsidP="0031435B">
            <w:pPr>
              <w:spacing w:before="0" w:after="0"/>
              <w:jc w:val="right"/>
              <w:rPr>
                <w:lang w:val="en-US"/>
              </w:rPr>
            </w:pPr>
            <w:r>
              <w:rPr>
                <w:lang w:val="en-US"/>
              </w:rPr>
              <w:t>90,715</w:t>
            </w:r>
          </w:p>
        </w:tc>
        <w:tc>
          <w:tcPr>
            <w:tcW w:w="953" w:type="pct"/>
            <w:vAlign w:val="bottom"/>
          </w:tcPr>
          <w:p w14:paraId="2FA32DFA" w14:textId="2887BD67" w:rsidR="0031435B" w:rsidRDefault="0031435B" w:rsidP="0031435B">
            <w:pPr>
              <w:spacing w:before="0" w:after="0"/>
              <w:jc w:val="right"/>
              <w:rPr>
                <w:lang w:val="en-US"/>
              </w:rPr>
            </w:pPr>
            <w:r>
              <w:rPr>
                <w:lang w:val="en-US"/>
              </w:rPr>
              <w:t>NA</w:t>
            </w:r>
          </w:p>
        </w:tc>
      </w:tr>
      <w:tr w:rsidR="0031435B" w:rsidRPr="002F1CBE" w14:paraId="79ABCE5E" w14:textId="22278ED6" w:rsidTr="00A00B39">
        <w:tc>
          <w:tcPr>
            <w:tcW w:w="828" w:type="pct"/>
            <w:vMerge/>
            <w:shd w:val="clear" w:color="auto" w:fill="auto"/>
          </w:tcPr>
          <w:p w14:paraId="6CAB720C" w14:textId="77777777" w:rsidR="0031435B" w:rsidRPr="002F1CBE" w:rsidRDefault="0031435B" w:rsidP="0031435B">
            <w:pPr>
              <w:pStyle w:val="Tabletext0"/>
              <w:rPr>
                <w:b/>
                <w:szCs w:val="22"/>
                <w:lang w:val="en-US"/>
              </w:rPr>
            </w:pPr>
          </w:p>
        </w:tc>
        <w:tc>
          <w:tcPr>
            <w:tcW w:w="715" w:type="pct"/>
            <w:vMerge/>
            <w:shd w:val="clear" w:color="auto" w:fill="auto"/>
          </w:tcPr>
          <w:p w14:paraId="084335E4" w14:textId="77777777" w:rsidR="0031435B" w:rsidRPr="002F1CBE" w:rsidRDefault="0031435B" w:rsidP="0031435B">
            <w:pPr>
              <w:pStyle w:val="Tabletext0"/>
              <w:rPr>
                <w:szCs w:val="22"/>
                <w:lang w:val="en-US"/>
              </w:rPr>
            </w:pPr>
          </w:p>
        </w:tc>
        <w:tc>
          <w:tcPr>
            <w:tcW w:w="1473" w:type="pct"/>
            <w:shd w:val="clear" w:color="auto" w:fill="auto"/>
          </w:tcPr>
          <w:p w14:paraId="1577254D" w14:textId="77777777" w:rsidR="0031435B" w:rsidRPr="002F1CBE" w:rsidRDefault="0031435B" w:rsidP="0031435B">
            <w:pPr>
              <w:pStyle w:val="Tabletext0"/>
              <w:rPr>
                <w:szCs w:val="22"/>
                <w:lang w:val="en-US"/>
              </w:rPr>
            </w:pPr>
            <w:r w:rsidRPr="002F1CBE">
              <w:rPr>
                <w:szCs w:val="22"/>
                <w:lang w:val="en-US"/>
              </w:rPr>
              <w:t>Gamma</w:t>
            </w:r>
          </w:p>
        </w:tc>
        <w:tc>
          <w:tcPr>
            <w:tcW w:w="1031" w:type="pct"/>
            <w:shd w:val="clear" w:color="auto" w:fill="auto"/>
            <w:vAlign w:val="bottom"/>
          </w:tcPr>
          <w:p w14:paraId="16DEBAAA" w14:textId="05E88EE2" w:rsidR="0031435B" w:rsidRPr="002F1CBE" w:rsidRDefault="0031435B" w:rsidP="0031435B">
            <w:pPr>
              <w:spacing w:before="0" w:after="0"/>
              <w:jc w:val="right"/>
              <w:rPr>
                <w:lang w:val="en-US"/>
              </w:rPr>
            </w:pPr>
            <w:r>
              <w:rPr>
                <w:lang w:val="en-US"/>
              </w:rPr>
              <w:t>94,539</w:t>
            </w:r>
          </w:p>
        </w:tc>
        <w:tc>
          <w:tcPr>
            <w:tcW w:w="953" w:type="pct"/>
            <w:vAlign w:val="bottom"/>
          </w:tcPr>
          <w:p w14:paraId="629F785D" w14:textId="7A79D3AF" w:rsidR="0031435B" w:rsidRDefault="0031435B" w:rsidP="0031435B">
            <w:pPr>
              <w:spacing w:before="0" w:after="0"/>
              <w:jc w:val="right"/>
              <w:rPr>
                <w:lang w:val="en-US"/>
              </w:rPr>
            </w:pPr>
            <w:r>
              <w:rPr>
                <w:lang w:val="en-US"/>
              </w:rPr>
              <w:t>NA</w:t>
            </w:r>
          </w:p>
        </w:tc>
      </w:tr>
      <w:tr w:rsidR="006D3202" w:rsidRPr="002F1CBE" w14:paraId="7944DAB9" w14:textId="1AD972B6" w:rsidTr="00A00B39">
        <w:tc>
          <w:tcPr>
            <w:tcW w:w="828" w:type="pct"/>
            <w:vMerge w:val="restart"/>
            <w:shd w:val="clear" w:color="auto" w:fill="auto"/>
          </w:tcPr>
          <w:p w14:paraId="4F18D858" w14:textId="55B2A462" w:rsidR="006D3202" w:rsidRPr="002F1CBE" w:rsidRDefault="006D3202" w:rsidP="006D3202">
            <w:pPr>
              <w:pStyle w:val="Tabletext0"/>
              <w:rPr>
                <w:b/>
                <w:szCs w:val="22"/>
                <w:lang w:val="en-US"/>
              </w:rPr>
            </w:pPr>
            <w:r w:rsidRPr="002F1CBE">
              <w:rPr>
                <w:b/>
                <w:szCs w:val="22"/>
                <w:lang w:val="en-US"/>
              </w:rPr>
              <w:t>PFS parametric function – paclitaxel or docetaxel</w:t>
            </w:r>
          </w:p>
        </w:tc>
        <w:tc>
          <w:tcPr>
            <w:tcW w:w="715" w:type="pct"/>
            <w:vMerge w:val="restart"/>
            <w:shd w:val="clear" w:color="auto" w:fill="auto"/>
          </w:tcPr>
          <w:p w14:paraId="07308CE7" w14:textId="77777777" w:rsidR="006D3202" w:rsidRPr="002F1CBE" w:rsidRDefault="006D3202" w:rsidP="006D3202">
            <w:pPr>
              <w:pStyle w:val="Tabletext0"/>
              <w:rPr>
                <w:szCs w:val="22"/>
                <w:lang w:val="en-US"/>
              </w:rPr>
            </w:pPr>
            <w:r w:rsidRPr="002F1CBE">
              <w:rPr>
                <w:szCs w:val="22"/>
                <w:lang w:val="en-US"/>
              </w:rPr>
              <w:t>Exponential (Week 15)</w:t>
            </w:r>
          </w:p>
        </w:tc>
        <w:tc>
          <w:tcPr>
            <w:tcW w:w="1473" w:type="pct"/>
            <w:shd w:val="clear" w:color="auto" w:fill="auto"/>
          </w:tcPr>
          <w:p w14:paraId="6C9A20BA" w14:textId="77777777" w:rsidR="006D3202" w:rsidRPr="002F1CBE" w:rsidRDefault="006D3202" w:rsidP="006D3202">
            <w:pPr>
              <w:pStyle w:val="Tabletext0"/>
              <w:rPr>
                <w:szCs w:val="22"/>
                <w:lang w:val="en-US"/>
              </w:rPr>
            </w:pPr>
            <w:r w:rsidRPr="002F1CBE">
              <w:rPr>
                <w:szCs w:val="22"/>
                <w:lang w:val="en-US"/>
              </w:rPr>
              <w:t>Weibull</w:t>
            </w:r>
          </w:p>
        </w:tc>
        <w:tc>
          <w:tcPr>
            <w:tcW w:w="1031" w:type="pct"/>
            <w:shd w:val="clear" w:color="auto" w:fill="auto"/>
            <w:vAlign w:val="bottom"/>
          </w:tcPr>
          <w:p w14:paraId="6FE68337" w14:textId="2A579212" w:rsidR="006D3202" w:rsidRPr="002F1CBE" w:rsidRDefault="004A3396" w:rsidP="0058642F">
            <w:pPr>
              <w:spacing w:before="0" w:after="0"/>
              <w:jc w:val="right"/>
              <w:rPr>
                <w:rFonts w:cs="Arial"/>
                <w:lang w:val="en-US"/>
              </w:rPr>
            </w:pPr>
            <w:r>
              <w:rPr>
                <w:rFonts w:cs="Arial"/>
                <w:lang w:val="en-US"/>
              </w:rPr>
              <w:t>93,558</w:t>
            </w:r>
          </w:p>
        </w:tc>
        <w:tc>
          <w:tcPr>
            <w:tcW w:w="953" w:type="pct"/>
            <w:vAlign w:val="bottom"/>
          </w:tcPr>
          <w:p w14:paraId="23126B50" w14:textId="39A9A93A" w:rsidR="006D3202" w:rsidRDefault="006D3202">
            <w:pPr>
              <w:spacing w:before="0" w:after="0"/>
              <w:jc w:val="right"/>
              <w:rPr>
                <w:rFonts w:cs="Arial"/>
                <w:lang w:val="en-US"/>
              </w:rPr>
            </w:pPr>
            <w:r>
              <w:rPr>
                <w:lang w:val="en-US"/>
              </w:rPr>
              <w:t>NA</w:t>
            </w:r>
          </w:p>
        </w:tc>
      </w:tr>
      <w:tr w:rsidR="006D3202" w:rsidRPr="002F1CBE" w14:paraId="7B125429" w14:textId="14ABA293" w:rsidTr="00A00B39">
        <w:tc>
          <w:tcPr>
            <w:tcW w:w="828" w:type="pct"/>
            <w:vMerge/>
            <w:shd w:val="clear" w:color="auto" w:fill="auto"/>
          </w:tcPr>
          <w:p w14:paraId="6187F440" w14:textId="77777777" w:rsidR="006D3202" w:rsidRPr="002F1CBE" w:rsidRDefault="006D3202" w:rsidP="006D3202">
            <w:pPr>
              <w:pStyle w:val="Tabletext0"/>
              <w:rPr>
                <w:b/>
                <w:szCs w:val="22"/>
                <w:lang w:val="en-US"/>
              </w:rPr>
            </w:pPr>
          </w:p>
        </w:tc>
        <w:tc>
          <w:tcPr>
            <w:tcW w:w="715" w:type="pct"/>
            <w:vMerge/>
            <w:shd w:val="clear" w:color="auto" w:fill="auto"/>
          </w:tcPr>
          <w:p w14:paraId="37B21DA2" w14:textId="77777777" w:rsidR="006D3202" w:rsidRPr="002F1CBE" w:rsidRDefault="006D3202" w:rsidP="006D3202">
            <w:pPr>
              <w:pStyle w:val="Tabletext0"/>
              <w:rPr>
                <w:szCs w:val="22"/>
                <w:lang w:val="en-US"/>
              </w:rPr>
            </w:pPr>
          </w:p>
        </w:tc>
        <w:tc>
          <w:tcPr>
            <w:tcW w:w="1473" w:type="pct"/>
            <w:shd w:val="clear" w:color="auto" w:fill="auto"/>
          </w:tcPr>
          <w:p w14:paraId="47279649" w14:textId="77777777" w:rsidR="006D3202" w:rsidRPr="002F1CBE" w:rsidRDefault="006D3202" w:rsidP="006D3202">
            <w:pPr>
              <w:pStyle w:val="Tabletext0"/>
              <w:rPr>
                <w:szCs w:val="22"/>
                <w:lang w:val="en-US"/>
              </w:rPr>
            </w:pPr>
            <w:r w:rsidRPr="002F1CBE">
              <w:rPr>
                <w:szCs w:val="22"/>
                <w:lang w:val="en-US"/>
              </w:rPr>
              <w:t>Log-normal</w:t>
            </w:r>
          </w:p>
        </w:tc>
        <w:tc>
          <w:tcPr>
            <w:tcW w:w="1031" w:type="pct"/>
            <w:shd w:val="clear" w:color="auto" w:fill="auto"/>
            <w:vAlign w:val="bottom"/>
          </w:tcPr>
          <w:p w14:paraId="54BD3E78" w14:textId="7C8B7C86" w:rsidR="006D3202" w:rsidRPr="002F1CBE" w:rsidRDefault="004A3396" w:rsidP="0058642F">
            <w:pPr>
              <w:spacing w:before="0" w:after="0"/>
              <w:jc w:val="right"/>
              <w:rPr>
                <w:rFonts w:cs="Arial"/>
                <w:lang w:val="en-US"/>
              </w:rPr>
            </w:pPr>
            <w:r>
              <w:rPr>
                <w:rFonts w:cs="Arial"/>
                <w:lang w:val="en-US"/>
              </w:rPr>
              <w:t>94,014</w:t>
            </w:r>
          </w:p>
        </w:tc>
        <w:tc>
          <w:tcPr>
            <w:tcW w:w="953" w:type="pct"/>
            <w:vAlign w:val="bottom"/>
          </w:tcPr>
          <w:p w14:paraId="178891F5" w14:textId="3CCDE918" w:rsidR="006D3202" w:rsidRDefault="006D3202">
            <w:pPr>
              <w:spacing w:before="0" w:after="0"/>
              <w:jc w:val="right"/>
              <w:rPr>
                <w:rFonts w:cs="Arial"/>
                <w:lang w:val="en-US"/>
              </w:rPr>
            </w:pPr>
            <w:r>
              <w:rPr>
                <w:lang w:val="en-US"/>
              </w:rPr>
              <w:t>NA</w:t>
            </w:r>
          </w:p>
        </w:tc>
      </w:tr>
      <w:tr w:rsidR="006D3202" w:rsidRPr="002F1CBE" w14:paraId="317F150C" w14:textId="6D543274" w:rsidTr="00A00B39">
        <w:tc>
          <w:tcPr>
            <w:tcW w:w="828" w:type="pct"/>
            <w:vMerge/>
            <w:shd w:val="clear" w:color="auto" w:fill="auto"/>
          </w:tcPr>
          <w:p w14:paraId="0933AF8B" w14:textId="77777777" w:rsidR="006D3202" w:rsidRPr="002F1CBE" w:rsidRDefault="006D3202" w:rsidP="006D3202">
            <w:pPr>
              <w:pStyle w:val="Tabletext0"/>
              <w:rPr>
                <w:b/>
                <w:szCs w:val="22"/>
                <w:lang w:val="en-US"/>
              </w:rPr>
            </w:pPr>
          </w:p>
        </w:tc>
        <w:tc>
          <w:tcPr>
            <w:tcW w:w="715" w:type="pct"/>
            <w:vMerge/>
            <w:shd w:val="clear" w:color="auto" w:fill="auto"/>
          </w:tcPr>
          <w:p w14:paraId="1EE22AB6" w14:textId="77777777" w:rsidR="006D3202" w:rsidRPr="002F1CBE" w:rsidRDefault="006D3202" w:rsidP="006D3202">
            <w:pPr>
              <w:pStyle w:val="Tabletext0"/>
              <w:rPr>
                <w:szCs w:val="22"/>
                <w:lang w:val="en-US"/>
              </w:rPr>
            </w:pPr>
          </w:p>
        </w:tc>
        <w:tc>
          <w:tcPr>
            <w:tcW w:w="1473" w:type="pct"/>
            <w:shd w:val="clear" w:color="auto" w:fill="auto"/>
          </w:tcPr>
          <w:p w14:paraId="658D38F8" w14:textId="77777777" w:rsidR="006D3202" w:rsidRPr="002F1CBE" w:rsidRDefault="006D3202" w:rsidP="006D3202">
            <w:pPr>
              <w:pStyle w:val="Tabletext0"/>
              <w:rPr>
                <w:szCs w:val="22"/>
                <w:lang w:val="en-US"/>
              </w:rPr>
            </w:pPr>
            <w:r w:rsidRPr="002F1CBE">
              <w:rPr>
                <w:szCs w:val="22"/>
                <w:lang w:val="en-US"/>
              </w:rPr>
              <w:t>Log-logistic</w:t>
            </w:r>
          </w:p>
        </w:tc>
        <w:tc>
          <w:tcPr>
            <w:tcW w:w="1031" w:type="pct"/>
            <w:shd w:val="clear" w:color="auto" w:fill="auto"/>
            <w:vAlign w:val="bottom"/>
          </w:tcPr>
          <w:p w14:paraId="75CF6C6A" w14:textId="0E352588" w:rsidR="006D3202" w:rsidRPr="002F1CBE" w:rsidRDefault="004A3396" w:rsidP="0058642F">
            <w:pPr>
              <w:spacing w:before="0" w:after="0"/>
              <w:jc w:val="right"/>
              <w:rPr>
                <w:rFonts w:cs="Arial"/>
                <w:lang w:val="en-US"/>
              </w:rPr>
            </w:pPr>
            <w:r>
              <w:rPr>
                <w:rFonts w:cs="Arial"/>
                <w:lang w:val="en-US"/>
              </w:rPr>
              <w:t>94,052</w:t>
            </w:r>
          </w:p>
        </w:tc>
        <w:tc>
          <w:tcPr>
            <w:tcW w:w="953" w:type="pct"/>
            <w:vAlign w:val="bottom"/>
          </w:tcPr>
          <w:p w14:paraId="52206CCC" w14:textId="42741217" w:rsidR="006D3202" w:rsidRDefault="006D3202">
            <w:pPr>
              <w:spacing w:before="0" w:after="0"/>
              <w:jc w:val="right"/>
              <w:rPr>
                <w:rFonts w:cs="Arial"/>
                <w:lang w:val="en-US"/>
              </w:rPr>
            </w:pPr>
            <w:r>
              <w:rPr>
                <w:lang w:val="en-US"/>
              </w:rPr>
              <w:t>NA</w:t>
            </w:r>
          </w:p>
        </w:tc>
      </w:tr>
      <w:tr w:rsidR="006D3202" w:rsidRPr="002F1CBE" w14:paraId="0E96B6F6" w14:textId="40FAB43D" w:rsidTr="00A00B39">
        <w:tc>
          <w:tcPr>
            <w:tcW w:w="828" w:type="pct"/>
            <w:vMerge/>
            <w:shd w:val="clear" w:color="auto" w:fill="auto"/>
          </w:tcPr>
          <w:p w14:paraId="73572E9E" w14:textId="77777777" w:rsidR="006D3202" w:rsidRPr="002F1CBE" w:rsidRDefault="006D3202" w:rsidP="006D3202">
            <w:pPr>
              <w:pStyle w:val="Tabletext0"/>
              <w:rPr>
                <w:b/>
                <w:szCs w:val="22"/>
                <w:lang w:val="en-US"/>
              </w:rPr>
            </w:pPr>
          </w:p>
        </w:tc>
        <w:tc>
          <w:tcPr>
            <w:tcW w:w="715" w:type="pct"/>
            <w:vMerge/>
            <w:shd w:val="clear" w:color="auto" w:fill="auto"/>
          </w:tcPr>
          <w:p w14:paraId="72A46B9E" w14:textId="77777777" w:rsidR="006D3202" w:rsidRPr="002F1CBE" w:rsidRDefault="006D3202" w:rsidP="006D3202">
            <w:pPr>
              <w:pStyle w:val="Tabletext0"/>
              <w:rPr>
                <w:szCs w:val="22"/>
                <w:lang w:val="en-US"/>
              </w:rPr>
            </w:pPr>
          </w:p>
        </w:tc>
        <w:tc>
          <w:tcPr>
            <w:tcW w:w="1473" w:type="pct"/>
            <w:shd w:val="clear" w:color="auto" w:fill="auto"/>
          </w:tcPr>
          <w:p w14:paraId="28C16EEE" w14:textId="77777777" w:rsidR="006D3202" w:rsidRPr="002F1CBE" w:rsidRDefault="006D3202" w:rsidP="006D3202">
            <w:pPr>
              <w:pStyle w:val="Tabletext0"/>
              <w:rPr>
                <w:szCs w:val="22"/>
                <w:lang w:val="en-US"/>
              </w:rPr>
            </w:pPr>
            <w:r w:rsidRPr="002F1CBE">
              <w:rPr>
                <w:szCs w:val="22"/>
                <w:lang w:val="en-US"/>
              </w:rPr>
              <w:t>Gompertz</w:t>
            </w:r>
          </w:p>
        </w:tc>
        <w:tc>
          <w:tcPr>
            <w:tcW w:w="1031" w:type="pct"/>
            <w:shd w:val="clear" w:color="auto" w:fill="auto"/>
            <w:vAlign w:val="bottom"/>
          </w:tcPr>
          <w:p w14:paraId="1FC974E8" w14:textId="27ED87D5" w:rsidR="006D3202" w:rsidRPr="002F1CBE" w:rsidRDefault="004A3396" w:rsidP="0058642F">
            <w:pPr>
              <w:spacing w:before="0" w:after="0"/>
              <w:jc w:val="right"/>
              <w:rPr>
                <w:rFonts w:cs="Arial"/>
                <w:lang w:val="en-US"/>
              </w:rPr>
            </w:pPr>
            <w:r>
              <w:rPr>
                <w:rFonts w:cs="Arial"/>
                <w:lang w:val="en-US"/>
              </w:rPr>
              <w:t>93,664</w:t>
            </w:r>
          </w:p>
        </w:tc>
        <w:tc>
          <w:tcPr>
            <w:tcW w:w="953" w:type="pct"/>
            <w:vAlign w:val="bottom"/>
          </w:tcPr>
          <w:p w14:paraId="6CE151BD" w14:textId="79E6C40F" w:rsidR="006D3202" w:rsidRDefault="006D3202">
            <w:pPr>
              <w:spacing w:before="0" w:after="0"/>
              <w:jc w:val="right"/>
              <w:rPr>
                <w:rFonts w:cs="Arial"/>
                <w:lang w:val="en-US"/>
              </w:rPr>
            </w:pPr>
            <w:r>
              <w:rPr>
                <w:lang w:val="en-US"/>
              </w:rPr>
              <w:t>NA</w:t>
            </w:r>
          </w:p>
        </w:tc>
      </w:tr>
      <w:tr w:rsidR="006D3202" w:rsidRPr="002F1CBE" w14:paraId="42097ECB" w14:textId="1B09A7BD" w:rsidTr="00A00B39">
        <w:tc>
          <w:tcPr>
            <w:tcW w:w="828" w:type="pct"/>
            <w:vMerge/>
            <w:shd w:val="clear" w:color="auto" w:fill="auto"/>
          </w:tcPr>
          <w:p w14:paraId="46F5A434" w14:textId="77777777" w:rsidR="006D3202" w:rsidRPr="002F1CBE" w:rsidRDefault="006D3202" w:rsidP="006D3202">
            <w:pPr>
              <w:pStyle w:val="Tabletext0"/>
              <w:rPr>
                <w:b/>
                <w:szCs w:val="22"/>
                <w:lang w:val="en-US"/>
              </w:rPr>
            </w:pPr>
          </w:p>
        </w:tc>
        <w:tc>
          <w:tcPr>
            <w:tcW w:w="715" w:type="pct"/>
            <w:vMerge/>
            <w:shd w:val="clear" w:color="auto" w:fill="auto"/>
          </w:tcPr>
          <w:p w14:paraId="58A93881" w14:textId="77777777" w:rsidR="006D3202" w:rsidRPr="002F1CBE" w:rsidRDefault="006D3202" w:rsidP="006D3202">
            <w:pPr>
              <w:pStyle w:val="Tabletext0"/>
              <w:rPr>
                <w:szCs w:val="22"/>
                <w:lang w:val="en-US"/>
              </w:rPr>
            </w:pPr>
          </w:p>
        </w:tc>
        <w:tc>
          <w:tcPr>
            <w:tcW w:w="1473" w:type="pct"/>
            <w:shd w:val="clear" w:color="auto" w:fill="auto"/>
          </w:tcPr>
          <w:p w14:paraId="6EE98FFE" w14:textId="77777777" w:rsidR="006D3202" w:rsidRPr="002F1CBE" w:rsidRDefault="006D3202" w:rsidP="006D3202">
            <w:pPr>
              <w:pStyle w:val="Tabletext0"/>
              <w:rPr>
                <w:szCs w:val="22"/>
                <w:lang w:val="en-US"/>
              </w:rPr>
            </w:pPr>
            <w:r w:rsidRPr="002F1CBE">
              <w:rPr>
                <w:szCs w:val="22"/>
                <w:lang w:val="en-US"/>
              </w:rPr>
              <w:t>Gamma</w:t>
            </w:r>
          </w:p>
        </w:tc>
        <w:tc>
          <w:tcPr>
            <w:tcW w:w="1031" w:type="pct"/>
            <w:shd w:val="clear" w:color="auto" w:fill="auto"/>
            <w:vAlign w:val="bottom"/>
          </w:tcPr>
          <w:p w14:paraId="1145E907" w14:textId="5E80BD69" w:rsidR="006D3202" w:rsidRPr="002F1CBE" w:rsidRDefault="004A3396" w:rsidP="0058642F">
            <w:pPr>
              <w:spacing w:before="0" w:after="0"/>
              <w:jc w:val="right"/>
              <w:rPr>
                <w:rFonts w:cs="Arial"/>
                <w:lang w:val="en-US"/>
              </w:rPr>
            </w:pPr>
            <w:r>
              <w:rPr>
                <w:rFonts w:cs="Arial"/>
                <w:lang w:val="en-US"/>
              </w:rPr>
              <w:t>93,589</w:t>
            </w:r>
          </w:p>
        </w:tc>
        <w:tc>
          <w:tcPr>
            <w:tcW w:w="953" w:type="pct"/>
            <w:vAlign w:val="bottom"/>
          </w:tcPr>
          <w:p w14:paraId="5C74BCAC" w14:textId="24FC6D22" w:rsidR="006D3202" w:rsidRDefault="006D3202">
            <w:pPr>
              <w:spacing w:before="0" w:after="0"/>
              <w:jc w:val="right"/>
              <w:rPr>
                <w:rFonts w:cs="Arial"/>
                <w:lang w:val="en-US"/>
              </w:rPr>
            </w:pPr>
            <w:r>
              <w:rPr>
                <w:lang w:val="en-US"/>
              </w:rPr>
              <w:t>NA</w:t>
            </w:r>
          </w:p>
        </w:tc>
      </w:tr>
      <w:tr w:rsidR="0031435B" w:rsidRPr="002F1CBE" w14:paraId="1FC5DAAA" w14:textId="05770979" w:rsidTr="00A00B39">
        <w:tc>
          <w:tcPr>
            <w:tcW w:w="828" w:type="pct"/>
            <w:vMerge w:val="restart"/>
            <w:shd w:val="clear" w:color="auto" w:fill="auto"/>
          </w:tcPr>
          <w:p w14:paraId="01521601" w14:textId="77777777" w:rsidR="0031435B" w:rsidRPr="002F1CBE" w:rsidRDefault="0031435B" w:rsidP="0031435B">
            <w:pPr>
              <w:pStyle w:val="Tabletext0"/>
              <w:rPr>
                <w:b/>
                <w:szCs w:val="22"/>
                <w:lang w:val="en-US"/>
              </w:rPr>
            </w:pPr>
            <w:r w:rsidRPr="002F1CBE">
              <w:rPr>
                <w:b/>
                <w:szCs w:val="22"/>
                <w:lang w:val="en-US"/>
              </w:rPr>
              <w:t>OS parametric function – pembrolizumab</w:t>
            </w:r>
          </w:p>
        </w:tc>
        <w:tc>
          <w:tcPr>
            <w:tcW w:w="715" w:type="pct"/>
            <w:vMerge w:val="restart"/>
            <w:shd w:val="clear" w:color="auto" w:fill="auto"/>
          </w:tcPr>
          <w:p w14:paraId="4522D930" w14:textId="77777777" w:rsidR="0031435B" w:rsidRPr="002F1CBE" w:rsidRDefault="0031435B" w:rsidP="0031435B">
            <w:pPr>
              <w:pStyle w:val="Tabletext0"/>
              <w:rPr>
                <w:szCs w:val="22"/>
                <w:lang w:val="en-US"/>
              </w:rPr>
            </w:pPr>
            <w:r w:rsidRPr="002F1CBE">
              <w:rPr>
                <w:szCs w:val="22"/>
                <w:lang w:val="en-US"/>
              </w:rPr>
              <w:t>Log logistic (Week 32)</w:t>
            </w:r>
          </w:p>
        </w:tc>
        <w:tc>
          <w:tcPr>
            <w:tcW w:w="1473" w:type="pct"/>
            <w:shd w:val="clear" w:color="auto" w:fill="auto"/>
          </w:tcPr>
          <w:p w14:paraId="64F2E273" w14:textId="77777777" w:rsidR="0031435B" w:rsidRPr="002F1CBE" w:rsidRDefault="0031435B" w:rsidP="0031435B">
            <w:pPr>
              <w:pStyle w:val="Tabletext0"/>
              <w:rPr>
                <w:szCs w:val="22"/>
                <w:lang w:val="en-US"/>
              </w:rPr>
            </w:pPr>
            <w:r w:rsidRPr="002F1CBE">
              <w:rPr>
                <w:szCs w:val="22"/>
                <w:lang w:val="en-US"/>
              </w:rPr>
              <w:t>Exponential</w:t>
            </w:r>
          </w:p>
        </w:tc>
        <w:tc>
          <w:tcPr>
            <w:tcW w:w="1031" w:type="pct"/>
            <w:shd w:val="clear" w:color="auto" w:fill="auto"/>
            <w:vAlign w:val="bottom"/>
          </w:tcPr>
          <w:p w14:paraId="54E63D2D" w14:textId="0BEF467B" w:rsidR="0031435B" w:rsidRPr="002F1CBE" w:rsidRDefault="0031435B" w:rsidP="0031435B">
            <w:pPr>
              <w:spacing w:before="0" w:after="0"/>
              <w:jc w:val="right"/>
              <w:rPr>
                <w:rFonts w:cs="Arial"/>
                <w:lang w:val="en-US"/>
              </w:rPr>
            </w:pPr>
            <w:r>
              <w:rPr>
                <w:rFonts w:cs="Arial"/>
                <w:lang w:val="en-US"/>
              </w:rPr>
              <w:t>203,736</w:t>
            </w:r>
          </w:p>
        </w:tc>
        <w:tc>
          <w:tcPr>
            <w:tcW w:w="953" w:type="pct"/>
            <w:vAlign w:val="bottom"/>
          </w:tcPr>
          <w:p w14:paraId="42B32B84" w14:textId="2EBAD46A" w:rsidR="0031435B" w:rsidRDefault="0031435B" w:rsidP="0031435B">
            <w:pPr>
              <w:spacing w:before="0" w:after="0"/>
              <w:jc w:val="right"/>
              <w:rPr>
                <w:rFonts w:cs="Arial"/>
                <w:lang w:val="en-US"/>
              </w:rPr>
            </w:pPr>
            <w:r>
              <w:rPr>
                <w:lang w:val="en-US"/>
              </w:rPr>
              <w:t>Dominant</w:t>
            </w:r>
          </w:p>
        </w:tc>
      </w:tr>
      <w:tr w:rsidR="0031435B" w:rsidRPr="002F1CBE" w14:paraId="27BFEAA2" w14:textId="6E994882" w:rsidTr="00A00B39">
        <w:tc>
          <w:tcPr>
            <w:tcW w:w="828" w:type="pct"/>
            <w:vMerge/>
            <w:shd w:val="clear" w:color="auto" w:fill="auto"/>
          </w:tcPr>
          <w:p w14:paraId="04627424" w14:textId="77777777" w:rsidR="0031435B" w:rsidRPr="002F1CBE" w:rsidRDefault="0031435B" w:rsidP="0031435B">
            <w:pPr>
              <w:pStyle w:val="Tabletext0"/>
              <w:rPr>
                <w:b/>
                <w:szCs w:val="22"/>
                <w:lang w:val="en-US"/>
              </w:rPr>
            </w:pPr>
          </w:p>
        </w:tc>
        <w:tc>
          <w:tcPr>
            <w:tcW w:w="715" w:type="pct"/>
            <w:vMerge/>
            <w:shd w:val="clear" w:color="auto" w:fill="auto"/>
          </w:tcPr>
          <w:p w14:paraId="500E4E63" w14:textId="77777777" w:rsidR="0031435B" w:rsidRPr="002F1CBE" w:rsidRDefault="0031435B" w:rsidP="0031435B">
            <w:pPr>
              <w:pStyle w:val="Tabletext0"/>
              <w:rPr>
                <w:szCs w:val="22"/>
                <w:lang w:val="en-US"/>
              </w:rPr>
            </w:pPr>
          </w:p>
        </w:tc>
        <w:tc>
          <w:tcPr>
            <w:tcW w:w="1473" w:type="pct"/>
            <w:shd w:val="clear" w:color="auto" w:fill="auto"/>
          </w:tcPr>
          <w:p w14:paraId="4FE2067A" w14:textId="77777777" w:rsidR="0031435B" w:rsidRPr="002F1CBE" w:rsidRDefault="0031435B" w:rsidP="0031435B">
            <w:pPr>
              <w:pStyle w:val="Tabletext0"/>
              <w:rPr>
                <w:szCs w:val="22"/>
                <w:lang w:val="en-US"/>
              </w:rPr>
            </w:pPr>
            <w:r w:rsidRPr="002F1CBE">
              <w:rPr>
                <w:szCs w:val="22"/>
                <w:lang w:val="en-US"/>
              </w:rPr>
              <w:t>Log-normal</w:t>
            </w:r>
          </w:p>
        </w:tc>
        <w:tc>
          <w:tcPr>
            <w:tcW w:w="1031" w:type="pct"/>
            <w:shd w:val="clear" w:color="auto" w:fill="auto"/>
            <w:vAlign w:val="bottom"/>
          </w:tcPr>
          <w:p w14:paraId="2D1F6058" w14:textId="53B269CC" w:rsidR="0031435B" w:rsidRPr="002F1CBE" w:rsidRDefault="0031435B" w:rsidP="0031435B">
            <w:pPr>
              <w:spacing w:before="0" w:after="0"/>
              <w:jc w:val="right"/>
              <w:rPr>
                <w:rFonts w:cs="Arial"/>
                <w:lang w:val="en-US"/>
              </w:rPr>
            </w:pPr>
            <w:r>
              <w:rPr>
                <w:rFonts w:cs="Arial"/>
                <w:lang w:val="en-US"/>
              </w:rPr>
              <w:t>86,201</w:t>
            </w:r>
          </w:p>
        </w:tc>
        <w:tc>
          <w:tcPr>
            <w:tcW w:w="953" w:type="pct"/>
            <w:vAlign w:val="bottom"/>
          </w:tcPr>
          <w:p w14:paraId="097F901A" w14:textId="5073B974" w:rsidR="0031435B" w:rsidRDefault="0031435B" w:rsidP="0031435B">
            <w:pPr>
              <w:spacing w:before="0" w:after="0"/>
              <w:jc w:val="right"/>
              <w:rPr>
                <w:rFonts w:cs="Arial"/>
                <w:lang w:val="en-US"/>
              </w:rPr>
            </w:pPr>
            <w:r>
              <w:rPr>
                <w:lang w:val="en-US"/>
              </w:rPr>
              <w:t>Dominant</w:t>
            </w:r>
          </w:p>
        </w:tc>
      </w:tr>
      <w:tr w:rsidR="0031435B" w:rsidRPr="002F1CBE" w14:paraId="2FD52D7C" w14:textId="7DC7E612" w:rsidTr="00A00B39">
        <w:tc>
          <w:tcPr>
            <w:tcW w:w="828" w:type="pct"/>
            <w:vMerge/>
            <w:shd w:val="clear" w:color="auto" w:fill="auto"/>
          </w:tcPr>
          <w:p w14:paraId="08991A74" w14:textId="77777777" w:rsidR="0031435B" w:rsidRPr="002F1CBE" w:rsidRDefault="0031435B" w:rsidP="0031435B">
            <w:pPr>
              <w:pStyle w:val="Tabletext0"/>
              <w:rPr>
                <w:b/>
                <w:szCs w:val="22"/>
                <w:lang w:val="en-US"/>
              </w:rPr>
            </w:pPr>
          </w:p>
        </w:tc>
        <w:tc>
          <w:tcPr>
            <w:tcW w:w="715" w:type="pct"/>
            <w:vMerge/>
            <w:shd w:val="clear" w:color="auto" w:fill="auto"/>
          </w:tcPr>
          <w:p w14:paraId="74988032" w14:textId="77777777" w:rsidR="0031435B" w:rsidRPr="002F1CBE" w:rsidRDefault="0031435B" w:rsidP="0031435B">
            <w:pPr>
              <w:pStyle w:val="Tabletext0"/>
              <w:rPr>
                <w:szCs w:val="22"/>
                <w:lang w:val="en-US"/>
              </w:rPr>
            </w:pPr>
          </w:p>
        </w:tc>
        <w:tc>
          <w:tcPr>
            <w:tcW w:w="1473" w:type="pct"/>
            <w:shd w:val="clear" w:color="auto" w:fill="auto"/>
          </w:tcPr>
          <w:p w14:paraId="197AF6E0" w14:textId="77777777" w:rsidR="0031435B" w:rsidRPr="002F1CBE" w:rsidRDefault="0031435B" w:rsidP="0031435B">
            <w:pPr>
              <w:pStyle w:val="Tabletext0"/>
              <w:rPr>
                <w:szCs w:val="22"/>
                <w:lang w:val="en-US"/>
              </w:rPr>
            </w:pPr>
            <w:r w:rsidRPr="002F1CBE">
              <w:rPr>
                <w:szCs w:val="22"/>
                <w:lang w:val="en-US"/>
              </w:rPr>
              <w:t>Weibull</w:t>
            </w:r>
          </w:p>
        </w:tc>
        <w:tc>
          <w:tcPr>
            <w:tcW w:w="1031" w:type="pct"/>
            <w:shd w:val="clear" w:color="auto" w:fill="auto"/>
            <w:vAlign w:val="bottom"/>
          </w:tcPr>
          <w:p w14:paraId="1D5DBAD5" w14:textId="35551F34" w:rsidR="0031435B" w:rsidRPr="002F1CBE" w:rsidRDefault="0031435B" w:rsidP="0031435B">
            <w:pPr>
              <w:spacing w:before="0" w:after="0"/>
              <w:jc w:val="right"/>
              <w:rPr>
                <w:rFonts w:cs="Arial"/>
                <w:lang w:val="en-US"/>
              </w:rPr>
            </w:pPr>
            <w:r>
              <w:rPr>
                <w:rFonts w:cs="Arial"/>
                <w:lang w:val="en-US"/>
              </w:rPr>
              <w:t>150,968</w:t>
            </w:r>
          </w:p>
        </w:tc>
        <w:tc>
          <w:tcPr>
            <w:tcW w:w="953" w:type="pct"/>
            <w:vAlign w:val="bottom"/>
          </w:tcPr>
          <w:p w14:paraId="78D23C51" w14:textId="029E73E8" w:rsidR="0031435B" w:rsidRDefault="0031435B" w:rsidP="0031435B">
            <w:pPr>
              <w:spacing w:before="0" w:after="0"/>
              <w:jc w:val="right"/>
              <w:rPr>
                <w:rFonts w:cs="Arial"/>
                <w:lang w:val="en-US"/>
              </w:rPr>
            </w:pPr>
            <w:r>
              <w:rPr>
                <w:lang w:val="en-US"/>
              </w:rPr>
              <w:t>Dominant</w:t>
            </w:r>
          </w:p>
        </w:tc>
      </w:tr>
      <w:tr w:rsidR="0031435B" w:rsidRPr="002F1CBE" w14:paraId="4B7B40F6" w14:textId="3460F254" w:rsidTr="00A00B39">
        <w:tc>
          <w:tcPr>
            <w:tcW w:w="828" w:type="pct"/>
            <w:vMerge/>
            <w:shd w:val="clear" w:color="auto" w:fill="auto"/>
          </w:tcPr>
          <w:p w14:paraId="203EB90D" w14:textId="77777777" w:rsidR="0031435B" w:rsidRPr="002F1CBE" w:rsidRDefault="0031435B" w:rsidP="0031435B">
            <w:pPr>
              <w:pStyle w:val="Tabletext0"/>
              <w:rPr>
                <w:b/>
                <w:szCs w:val="22"/>
                <w:lang w:val="en-US"/>
              </w:rPr>
            </w:pPr>
          </w:p>
        </w:tc>
        <w:tc>
          <w:tcPr>
            <w:tcW w:w="715" w:type="pct"/>
            <w:vMerge/>
            <w:shd w:val="clear" w:color="auto" w:fill="auto"/>
          </w:tcPr>
          <w:p w14:paraId="214DFABF" w14:textId="77777777" w:rsidR="0031435B" w:rsidRPr="002F1CBE" w:rsidRDefault="0031435B" w:rsidP="0031435B">
            <w:pPr>
              <w:pStyle w:val="Tabletext0"/>
              <w:rPr>
                <w:szCs w:val="22"/>
                <w:lang w:val="en-US"/>
              </w:rPr>
            </w:pPr>
          </w:p>
        </w:tc>
        <w:tc>
          <w:tcPr>
            <w:tcW w:w="1473" w:type="pct"/>
            <w:shd w:val="clear" w:color="auto" w:fill="auto"/>
          </w:tcPr>
          <w:p w14:paraId="47992EC1" w14:textId="77777777" w:rsidR="0031435B" w:rsidRPr="002F1CBE" w:rsidRDefault="0031435B" w:rsidP="0031435B">
            <w:pPr>
              <w:pStyle w:val="Tabletext0"/>
              <w:rPr>
                <w:szCs w:val="22"/>
                <w:lang w:val="en-US"/>
              </w:rPr>
            </w:pPr>
            <w:r w:rsidRPr="002F1CBE">
              <w:rPr>
                <w:szCs w:val="22"/>
                <w:lang w:val="en-US"/>
              </w:rPr>
              <w:t>Gompertz</w:t>
            </w:r>
          </w:p>
        </w:tc>
        <w:tc>
          <w:tcPr>
            <w:tcW w:w="1031" w:type="pct"/>
            <w:shd w:val="clear" w:color="auto" w:fill="auto"/>
            <w:vAlign w:val="bottom"/>
          </w:tcPr>
          <w:p w14:paraId="5AA372E2" w14:textId="5BC07FC1" w:rsidR="0031435B" w:rsidRPr="002F1CBE" w:rsidRDefault="0031435B" w:rsidP="0031435B">
            <w:pPr>
              <w:spacing w:before="0" w:after="0"/>
              <w:jc w:val="right"/>
              <w:rPr>
                <w:rFonts w:cs="Arial"/>
                <w:lang w:val="en-US"/>
              </w:rPr>
            </w:pPr>
            <w:r>
              <w:rPr>
                <w:rFonts w:cs="Arial"/>
                <w:lang w:val="en-US"/>
              </w:rPr>
              <w:t>68,516</w:t>
            </w:r>
          </w:p>
        </w:tc>
        <w:tc>
          <w:tcPr>
            <w:tcW w:w="953" w:type="pct"/>
            <w:vAlign w:val="bottom"/>
          </w:tcPr>
          <w:p w14:paraId="063D4095" w14:textId="13D139D1" w:rsidR="0031435B" w:rsidRDefault="0031435B" w:rsidP="0031435B">
            <w:pPr>
              <w:spacing w:before="0" w:after="0"/>
              <w:jc w:val="right"/>
              <w:rPr>
                <w:rFonts w:cs="Arial"/>
                <w:lang w:val="en-US"/>
              </w:rPr>
            </w:pPr>
            <w:r>
              <w:rPr>
                <w:lang w:val="en-US"/>
              </w:rPr>
              <w:t>Dominant</w:t>
            </w:r>
          </w:p>
        </w:tc>
      </w:tr>
      <w:tr w:rsidR="0031435B" w:rsidRPr="002F1CBE" w14:paraId="03759063" w14:textId="76E35337" w:rsidTr="00A00B39">
        <w:tc>
          <w:tcPr>
            <w:tcW w:w="828" w:type="pct"/>
            <w:vMerge/>
            <w:shd w:val="clear" w:color="auto" w:fill="auto"/>
          </w:tcPr>
          <w:p w14:paraId="5277F6AE" w14:textId="77777777" w:rsidR="0031435B" w:rsidRPr="002F1CBE" w:rsidRDefault="0031435B" w:rsidP="0031435B">
            <w:pPr>
              <w:pStyle w:val="Tabletext0"/>
              <w:rPr>
                <w:b/>
                <w:szCs w:val="22"/>
                <w:lang w:val="en-US"/>
              </w:rPr>
            </w:pPr>
          </w:p>
        </w:tc>
        <w:tc>
          <w:tcPr>
            <w:tcW w:w="715" w:type="pct"/>
            <w:vMerge/>
            <w:shd w:val="clear" w:color="auto" w:fill="auto"/>
          </w:tcPr>
          <w:p w14:paraId="5F3F5ED4" w14:textId="77777777" w:rsidR="0031435B" w:rsidRPr="002F1CBE" w:rsidRDefault="0031435B" w:rsidP="0031435B">
            <w:pPr>
              <w:pStyle w:val="Tabletext0"/>
              <w:rPr>
                <w:szCs w:val="22"/>
                <w:lang w:val="en-US"/>
              </w:rPr>
            </w:pPr>
          </w:p>
        </w:tc>
        <w:tc>
          <w:tcPr>
            <w:tcW w:w="1473" w:type="pct"/>
            <w:shd w:val="clear" w:color="auto" w:fill="auto"/>
          </w:tcPr>
          <w:p w14:paraId="1D25E141" w14:textId="77777777" w:rsidR="0031435B" w:rsidRPr="002F1CBE" w:rsidRDefault="0031435B" w:rsidP="0031435B">
            <w:pPr>
              <w:pStyle w:val="Tabletext0"/>
              <w:rPr>
                <w:szCs w:val="22"/>
                <w:lang w:val="en-US"/>
              </w:rPr>
            </w:pPr>
            <w:r w:rsidRPr="002F1CBE">
              <w:rPr>
                <w:szCs w:val="22"/>
                <w:lang w:val="en-US"/>
              </w:rPr>
              <w:t>Gamma</w:t>
            </w:r>
          </w:p>
        </w:tc>
        <w:tc>
          <w:tcPr>
            <w:tcW w:w="1031" w:type="pct"/>
            <w:shd w:val="clear" w:color="auto" w:fill="auto"/>
            <w:vAlign w:val="bottom"/>
          </w:tcPr>
          <w:p w14:paraId="513F4637" w14:textId="1A1A556C" w:rsidR="0031435B" w:rsidRPr="002F1CBE" w:rsidRDefault="0031435B" w:rsidP="0031435B">
            <w:pPr>
              <w:spacing w:before="0" w:after="0"/>
              <w:jc w:val="right"/>
              <w:rPr>
                <w:rFonts w:cs="Arial"/>
                <w:lang w:val="en-US"/>
              </w:rPr>
            </w:pPr>
            <w:r>
              <w:rPr>
                <w:rFonts w:cs="Arial"/>
                <w:lang w:val="en-US"/>
              </w:rPr>
              <w:t>129,677</w:t>
            </w:r>
          </w:p>
        </w:tc>
        <w:tc>
          <w:tcPr>
            <w:tcW w:w="953" w:type="pct"/>
            <w:vAlign w:val="bottom"/>
          </w:tcPr>
          <w:p w14:paraId="09FC62F0" w14:textId="5CA3B2AF" w:rsidR="0031435B" w:rsidRDefault="0031435B" w:rsidP="0031435B">
            <w:pPr>
              <w:spacing w:before="0" w:after="0"/>
              <w:jc w:val="right"/>
              <w:rPr>
                <w:rFonts w:cs="Arial"/>
                <w:lang w:val="en-US"/>
              </w:rPr>
            </w:pPr>
            <w:r>
              <w:rPr>
                <w:lang w:val="en-US"/>
              </w:rPr>
              <w:t>Dominant</w:t>
            </w:r>
          </w:p>
        </w:tc>
      </w:tr>
      <w:tr w:rsidR="006D3202" w:rsidRPr="002F1CBE" w14:paraId="0680CA1A" w14:textId="326C51B4" w:rsidTr="00A00B39">
        <w:tc>
          <w:tcPr>
            <w:tcW w:w="828" w:type="pct"/>
            <w:vMerge w:val="restart"/>
            <w:shd w:val="clear" w:color="auto" w:fill="auto"/>
          </w:tcPr>
          <w:p w14:paraId="5030E8BA" w14:textId="41593485" w:rsidR="006D3202" w:rsidRPr="002F1CBE" w:rsidRDefault="006D3202" w:rsidP="006D3202">
            <w:pPr>
              <w:pStyle w:val="Tabletext0"/>
              <w:rPr>
                <w:b/>
                <w:szCs w:val="22"/>
                <w:lang w:val="en-US"/>
              </w:rPr>
            </w:pPr>
            <w:r w:rsidRPr="002F1CBE">
              <w:rPr>
                <w:b/>
                <w:szCs w:val="22"/>
                <w:lang w:val="en-US"/>
              </w:rPr>
              <w:t>OS parametric function – paclitaxel or docetaxel</w:t>
            </w:r>
          </w:p>
        </w:tc>
        <w:tc>
          <w:tcPr>
            <w:tcW w:w="715" w:type="pct"/>
            <w:vMerge w:val="restart"/>
            <w:shd w:val="clear" w:color="auto" w:fill="auto"/>
          </w:tcPr>
          <w:p w14:paraId="7F5CFB56" w14:textId="77777777" w:rsidR="006D3202" w:rsidRPr="002F1CBE" w:rsidRDefault="006D3202" w:rsidP="006D3202">
            <w:pPr>
              <w:pStyle w:val="Tabletext0"/>
              <w:rPr>
                <w:szCs w:val="22"/>
                <w:lang w:val="en-US"/>
              </w:rPr>
            </w:pPr>
            <w:r w:rsidRPr="002F1CBE">
              <w:rPr>
                <w:szCs w:val="22"/>
                <w:lang w:val="en-US"/>
              </w:rPr>
              <w:t>Exponential (Week 32)</w:t>
            </w:r>
          </w:p>
        </w:tc>
        <w:tc>
          <w:tcPr>
            <w:tcW w:w="1473" w:type="pct"/>
            <w:shd w:val="clear" w:color="auto" w:fill="auto"/>
          </w:tcPr>
          <w:p w14:paraId="2D23154B" w14:textId="77777777" w:rsidR="006D3202" w:rsidRPr="002F1CBE" w:rsidRDefault="006D3202" w:rsidP="006D3202">
            <w:pPr>
              <w:pStyle w:val="Tabletext0"/>
              <w:rPr>
                <w:szCs w:val="22"/>
                <w:lang w:val="en-US"/>
              </w:rPr>
            </w:pPr>
            <w:r w:rsidRPr="002F1CBE">
              <w:rPr>
                <w:szCs w:val="22"/>
                <w:lang w:val="en-US"/>
              </w:rPr>
              <w:t>Weibull</w:t>
            </w:r>
          </w:p>
        </w:tc>
        <w:tc>
          <w:tcPr>
            <w:tcW w:w="1031" w:type="pct"/>
            <w:shd w:val="clear" w:color="auto" w:fill="auto"/>
            <w:vAlign w:val="bottom"/>
          </w:tcPr>
          <w:p w14:paraId="35F4AC3F" w14:textId="18EDA24E" w:rsidR="006D3202" w:rsidRPr="002F1CBE" w:rsidRDefault="00B30EBA" w:rsidP="0058642F">
            <w:pPr>
              <w:spacing w:before="0" w:after="0"/>
              <w:jc w:val="right"/>
              <w:rPr>
                <w:rFonts w:cs="Arial"/>
                <w:lang w:val="en-US"/>
              </w:rPr>
            </w:pPr>
            <w:r>
              <w:rPr>
                <w:rFonts w:cs="Arial"/>
                <w:lang w:val="en-US"/>
              </w:rPr>
              <w:t>95,591</w:t>
            </w:r>
          </w:p>
        </w:tc>
        <w:tc>
          <w:tcPr>
            <w:tcW w:w="953" w:type="pct"/>
            <w:vAlign w:val="bottom"/>
          </w:tcPr>
          <w:p w14:paraId="008728EE" w14:textId="6B35660B" w:rsidR="006D3202" w:rsidRDefault="006D3202">
            <w:pPr>
              <w:spacing w:before="0" w:after="0"/>
              <w:jc w:val="right"/>
              <w:rPr>
                <w:rFonts w:cs="Arial"/>
                <w:lang w:val="en-US"/>
              </w:rPr>
            </w:pPr>
            <w:r>
              <w:rPr>
                <w:lang w:val="en-US"/>
              </w:rPr>
              <w:t>NA</w:t>
            </w:r>
          </w:p>
        </w:tc>
      </w:tr>
      <w:tr w:rsidR="006D3202" w:rsidRPr="002F1CBE" w14:paraId="7AEA49FD" w14:textId="5C39F153" w:rsidTr="00A00B39">
        <w:tc>
          <w:tcPr>
            <w:tcW w:w="828" w:type="pct"/>
            <w:vMerge/>
            <w:shd w:val="clear" w:color="auto" w:fill="auto"/>
          </w:tcPr>
          <w:p w14:paraId="15D5F96D" w14:textId="77777777" w:rsidR="006D3202" w:rsidRPr="002F1CBE" w:rsidRDefault="006D3202" w:rsidP="006D3202">
            <w:pPr>
              <w:pStyle w:val="Tabletext0"/>
              <w:rPr>
                <w:b/>
                <w:szCs w:val="22"/>
                <w:lang w:val="en-US"/>
              </w:rPr>
            </w:pPr>
          </w:p>
        </w:tc>
        <w:tc>
          <w:tcPr>
            <w:tcW w:w="715" w:type="pct"/>
            <w:vMerge/>
            <w:shd w:val="clear" w:color="auto" w:fill="auto"/>
          </w:tcPr>
          <w:p w14:paraId="4CCE83FE" w14:textId="77777777" w:rsidR="006D3202" w:rsidRPr="002F1CBE" w:rsidRDefault="006D3202" w:rsidP="006D3202">
            <w:pPr>
              <w:pStyle w:val="Tabletext0"/>
              <w:rPr>
                <w:szCs w:val="22"/>
                <w:lang w:val="en-US"/>
              </w:rPr>
            </w:pPr>
          </w:p>
        </w:tc>
        <w:tc>
          <w:tcPr>
            <w:tcW w:w="1473" w:type="pct"/>
            <w:shd w:val="clear" w:color="auto" w:fill="auto"/>
          </w:tcPr>
          <w:p w14:paraId="29AA865C" w14:textId="77777777" w:rsidR="006D3202" w:rsidRPr="002F1CBE" w:rsidRDefault="006D3202" w:rsidP="006D3202">
            <w:pPr>
              <w:pStyle w:val="Tabletext0"/>
              <w:rPr>
                <w:szCs w:val="22"/>
                <w:lang w:val="en-US"/>
              </w:rPr>
            </w:pPr>
            <w:r w:rsidRPr="002F1CBE">
              <w:rPr>
                <w:szCs w:val="22"/>
                <w:lang w:val="en-US"/>
              </w:rPr>
              <w:t>Log-normal</w:t>
            </w:r>
          </w:p>
        </w:tc>
        <w:tc>
          <w:tcPr>
            <w:tcW w:w="1031" w:type="pct"/>
            <w:shd w:val="clear" w:color="auto" w:fill="auto"/>
            <w:vAlign w:val="bottom"/>
          </w:tcPr>
          <w:p w14:paraId="0DF13E28" w14:textId="6F78381D" w:rsidR="006D3202" w:rsidRPr="002F1CBE" w:rsidRDefault="00B30EBA" w:rsidP="0058642F">
            <w:pPr>
              <w:spacing w:before="0" w:after="0"/>
              <w:jc w:val="right"/>
              <w:rPr>
                <w:rFonts w:cs="Arial"/>
                <w:lang w:val="en-US"/>
              </w:rPr>
            </w:pPr>
            <w:r>
              <w:rPr>
                <w:rFonts w:cs="Arial"/>
                <w:lang w:val="en-US"/>
              </w:rPr>
              <w:t>112,475</w:t>
            </w:r>
          </w:p>
        </w:tc>
        <w:tc>
          <w:tcPr>
            <w:tcW w:w="953" w:type="pct"/>
            <w:vAlign w:val="bottom"/>
          </w:tcPr>
          <w:p w14:paraId="35EBE634" w14:textId="7A98B28C" w:rsidR="006D3202" w:rsidRDefault="006D3202">
            <w:pPr>
              <w:spacing w:before="0" w:after="0"/>
              <w:jc w:val="right"/>
              <w:rPr>
                <w:rFonts w:cs="Arial"/>
                <w:lang w:val="en-US"/>
              </w:rPr>
            </w:pPr>
            <w:r>
              <w:rPr>
                <w:lang w:val="en-US"/>
              </w:rPr>
              <w:t>NA</w:t>
            </w:r>
          </w:p>
        </w:tc>
      </w:tr>
      <w:tr w:rsidR="006D3202" w:rsidRPr="002F1CBE" w14:paraId="232C608D" w14:textId="35EB3128" w:rsidTr="00A00B39">
        <w:tc>
          <w:tcPr>
            <w:tcW w:w="828" w:type="pct"/>
            <w:vMerge/>
            <w:shd w:val="clear" w:color="auto" w:fill="auto"/>
          </w:tcPr>
          <w:p w14:paraId="0925575D" w14:textId="77777777" w:rsidR="006D3202" w:rsidRPr="002F1CBE" w:rsidRDefault="006D3202" w:rsidP="006D3202">
            <w:pPr>
              <w:pStyle w:val="Tabletext0"/>
              <w:rPr>
                <w:b/>
                <w:szCs w:val="22"/>
                <w:lang w:val="en-US"/>
              </w:rPr>
            </w:pPr>
          </w:p>
        </w:tc>
        <w:tc>
          <w:tcPr>
            <w:tcW w:w="715" w:type="pct"/>
            <w:vMerge/>
            <w:shd w:val="clear" w:color="auto" w:fill="auto"/>
          </w:tcPr>
          <w:p w14:paraId="7895465A" w14:textId="77777777" w:rsidR="006D3202" w:rsidRPr="002F1CBE" w:rsidRDefault="006D3202" w:rsidP="006D3202">
            <w:pPr>
              <w:pStyle w:val="Tabletext0"/>
              <w:rPr>
                <w:szCs w:val="22"/>
                <w:lang w:val="en-US"/>
              </w:rPr>
            </w:pPr>
          </w:p>
        </w:tc>
        <w:tc>
          <w:tcPr>
            <w:tcW w:w="1473" w:type="pct"/>
            <w:shd w:val="clear" w:color="auto" w:fill="auto"/>
          </w:tcPr>
          <w:p w14:paraId="11B8D40C" w14:textId="77777777" w:rsidR="006D3202" w:rsidRPr="002F1CBE" w:rsidRDefault="006D3202" w:rsidP="006D3202">
            <w:pPr>
              <w:pStyle w:val="Tabletext0"/>
              <w:rPr>
                <w:szCs w:val="22"/>
                <w:lang w:val="en-US"/>
              </w:rPr>
            </w:pPr>
            <w:r w:rsidRPr="002F1CBE">
              <w:rPr>
                <w:szCs w:val="22"/>
                <w:lang w:val="en-US"/>
              </w:rPr>
              <w:t>Log-logistic</w:t>
            </w:r>
          </w:p>
        </w:tc>
        <w:tc>
          <w:tcPr>
            <w:tcW w:w="1031" w:type="pct"/>
            <w:shd w:val="clear" w:color="auto" w:fill="auto"/>
            <w:vAlign w:val="bottom"/>
          </w:tcPr>
          <w:p w14:paraId="7AAB92D1" w14:textId="720DB00F" w:rsidR="006D3202" w:rsidRPr="002F1CBE" w:rsidRDefault="00B30EBA" w:rsidP="0058642F">
            <w:pPr>
              <w:spacing w:before="0" w:after="0"/>
              <w:jc w:val="right"/>
              <w:rPr>
                <w:rFonts w:cs="Arial"/>
                <w:lang w:val="en-US"/>
              </w:rPr>
            </w:pPr>
            <w:r>
              <w:rPr>
                <w:rFonts w:cs="Arial"/>
                <w:lang w:val="en-US"/>
              </w:rPr>
              <w:t>111,467</w:t>
            </w:r>
          </w:p>
        </w:tc>
        <w:tc>
          <w:tcPr>
            <w:tcW w:w="953" w:type="pct"/>
            <w:vAlign w:val="bottom"/>
          </w:tcPr>
          <w:p w14:paraId="1AC9A453" w14:textId="4F069D1E" w:rsidR="006D3202" w:rsidRDefault="006D3202">
            <w:pPr>
              <w:spacing w:before="0" w:after="0"/>
              <w:jc w:val="right"/>
              <w:rPr>
                <w:rFonts w:cs="Arial"/>
                <w:lang w:val="en-US"/>
              </w:rPr>
            </w:pPr>
            <w:r>
              <w:rPr>
                <w:lang w:val="en-US"/>
              </w:rPr>
              <w:t>NA</w:t>
            </w:r>
          </w:p>
        </w:tc>
      </w:tr>
      <w:tr w:rsidR="006D3202" w:rsidRPr="002F1CBE" w14:paraId="19E6496E" w14:textId="44B1C0FF" w:rsidTr="00A00B39">
        <w:tc>
          <w:tcPr>
            <w:tcW w:w="828" w:type="pct"/>
            <w:vMerge/>
            <w:shd w:val="clear" w:color="auto" w:fill="auto"/>
          </w:tcPr>
          <w:p w14:paraId="7880C82D" w14:textId="77777777" w:rsidR="006D3202" w:rsidRPr="002F1CBE" w:rsidRDefault="006D3202" w:rsidP="006D3202">
            <w:pPr>
              <w:pStyle w:val="Tabletext0"/>
              <w:rPr>
                <w:b/>
                <w:szCs w:val="22"/>
                <w:lang w:val="en-US"/>
              </w:rPr>
            </w:pPr>
          </w:p>
        </w:tc>
        <w:tc>
          <w:tcPr>
            <w:tcW w:w="715" w:type="pct"/>
            <w:vMerge/>
            <w:shd w:val="clear" w:color="auto" w:fill="auto"/>
          </w:tcPr>
          <w:p w14:paraId="7F8C6712" w14:textId="77777777" w:rsidR="006D3202" w:rsidRPr="002F1CBE" w:rsidRDefault="006D3202" w:rsidP="006D3202">
            <w:pPr>
              <w:pStyle w:val="Tabletext0"/>
              <w:rPr>
                <w:szCs w:val="22"/>
                <w:lang w:val="en-US"/>
              </w:rPr>
            </w:pPr>
          </w:p>
        </w:tc>
        <w:tc>
          <w:tcPr>
            <w:tcW w:w="1473" w:type="pct"/>
            <w:shd w:val="clear" w:color="auto" w:fill="auto"/>
          </w:tcPr>
          <w:p w14:paraId="485B2024" w14:textId="77777777" w:rsidR="006D3202" w:rsidRPr="002F1CBE" w:rsidRDefault="006D3202" w:rsidP="006D3202">
            <w:pPr>
              <w:pStyle w:val="Tabletext0"/>
              <w:rPr>
                <w:szCs w:val="22"/>
                <w:lang w:val="en-US"/>
              </w:rPr>
            </w:pPr>
            <w:r w:rsidRPr="002F1CBE">
              <w:rPr>
                <w:szCs w:val="22"/>
                <w:lang w:val="en-US"/>
              </w:rPr>
              <w:t>Gompertz</w:t>
            </w:r>
          </w:p>
        </w:tc>
        <w:tc>
          <w:tcPr>
            <w:tcW w:w="1031" w:type="pct"/>
            <w:shd w:val="clear" w:color="auto" w:fill="auto"/>
            <w:vAlign w:val="bottom"/>
          </w:tcPr>
          <w:p w14:paraId="6AECCFA1" w14:textId="122835A6" w:rsidR="006D3202" w:rsidRPr="002F1CBE" w:rsidRDefault="00B30EBA" w:rsidP="0058642F">
            <w:pPr>
              <w:spacing w:before="0" w:after="0"/>
              <w:jc w:val="right"/>
              <w:rPr>
                <w:rFonts w:cs="Arial"/>
                <w:lang w:val="en-US"/>
              </w:rPr>
            </w:pPr>
            <w:r>
              <w:rPr>
                <w:rFonts w:cs="Arial"/>
                <w:lang w:val="en-US"/>
              </w:rPr>
              <w:t>143,477</w:t>
            </w:r>
          </w:p>
        </w:tc>
        <w:tc>
          <w:tcPr>
            <w:tcW w:w="953" w:type="pct"/>
            <w:vAlign w:val="bottom"/>
          </w:tcPr>
          <w:p w14:paraId="7245BCFE" w14:textId="4BC67644" w:rsidR="006D3202" w:rsidRDefault="006D3202">
            <w:pPr>
              <w:spacing w:before="0" w:after="0"/>
              <w:jc w:val="right"/>
              <w:rPr>
                <w:rFonts w:cs="Arial"/>
                <w:lang w:val="en-US"/>
              </w:rPr>
            </w:pPr>
            <w:r>
              <w:rPr>
                <w:lang w:val="en-US"/>
              </w:rPr>
              <w:t>NA</w:t>
            </w:r>
          </w:p>
        </w:tc>
      </w:tr>
      <w:tr w:rsidR="006D3202" w:rsidRPr="002F1CBE" w14:paraId="1EE34C6D" w14:textId="78704B9D" w:rsidTr="00A00B39">
        <w:tc>
          <w:tcPr>
            <w:tcW w:w="828" w:type="pct"/>
            <w:vMerge/>
            <w:shd w:val="clear" w:color="auto" w:fill="auto"/>
          </w:tcPr>
          <w:p w14:paraId="329BB0D7" w14:textId="77777777" w:rsidR="006D3202" w:rsidRPr="002F1CBE" w:rsidRDefault="006D3202" w:rsidP="006D3202">
            <w:pPr>
              <w:pStyle w:val="Tabletext0"/>
              <w:rPr>
                <w:b/>
                <w:szCs w:val="22"/>
                <w:lang w:val="en-US"/>
              </w:rPr>
            </w:pPr>
          </w:p>
        </w:tc>
        <w:tc>
          <w:tcPr>
            <w:tcW w:w="715" w:type="pct"/>
            <w:vMerge/>
            <w:shd w:val="clear" w:color="auto" w:fill="auto"/>
          </w:tcPr>
          <w:p w14:paraId="19DC0492" w14:textId="77777777" w:rsidR="006D3202" w:rsidRPr="002F1CBE" w:rsidRDefault="006D3202" w:rsidP="006D3202">
            <w:pPr>
              <w:pStyle w:val="Tabletext0"/>
              <w:rPr>
                <w:szCs w:val="22"/>
                <w:lang w:val="en-US"/>
              </w:rPr>
            </w:pPr>
          </w:p>
        </w:tc>
        <w:tc>
          <w:tcPr>
            <w:tcW w:w="1473" w:type="pct"/>
            <w:shd w:val="clear" w:color="auto" w:fill="auto"/>
          </w:tcPr>
          <w:p w14:paraId="28A80E10" w14:textId="77777777" w:rsidR="006D3202" w:rsidRPr="002F1CBE" w:rsidRDefault="006D3202" w:rsidP="006D3202">
            <w:pPr>
              <w:pStyle w:val="Tabletext0"/>
              <w:rPr>
                <w:szCs w:val="22"/>
                <w:lang w:val="en-US"/>
              </w:rPr>
            </w:pPr>
            <w:r w:rsidRPr="002F1CBE">
              <w:rPr>
                <w:szCs w:val="22"/>
                <w:lang w:val="en-US"/>
              </w:rPr>
              <w:t>Gamma</w:t>
            </w:r>
          </w:p>
        </w:tc>
        <w:tc>
          <w:tcPr>
            <w:tcW w:w="1031" w:type="pct"/>
            <w:shd w:val="clear" w:color="auto" w:fill="auto"/>
            <w:vAlign w:val="bottom"/>
          </w:tcPr>
          <w:p w14:paraId="5230380E" w14:textId="2B9EE112" w:rsidR="006D3202" w:rsidRPr="002F1CBE" w:rsidRDefault="00B30EBA" w:rsidP="0058642F">
            <w:pPr>
              <w:spacing w:before="0" w:after="0"/>
              <w:jc w:val="right"/>
              <w:rPr>
                <w:rFonts w:cs="Arial"/>
                <w:lang w:val="en-US"/>
              </w:rPr>
            </w:pPr>
            <w:r>
              <w:rPr>
                <w:rFonts w:cs="Arial"/>
                <w:lang w:val="en-US"/>
              </w:rPr>
              <w:t>100,194</w:t>
            </w:r>
          </w:p>
        </w:tc>
        <w:tc>
          <w:tcPr>
            <w:tcW w:w="953" w:type="pct"/>
            <w:vAlign w:val="bottom"/>
          </w:tcPr>
          <w:p w14:paraId="0711C33E" w14:textId="17B3FDE6" w:rsidR="006D3202" w:rsidRDefault="006D3202">
            <w:pPr>
              <w:spacing w:before="0" w:after="0"/>
              <w:jc w:val="right"/>
              <w:rPr>
                <w:rFonts w:cs="Arial"/>
                <w:lang w:val="en-US"/>
              </w:rPr>
            </w:pPr>
            <w:r>
              <w:rPr>
                <w:lang w:val="en-US"/>
              </w:rPr>
              <w:t>NA</w:t>
            </w:r>
          </w:p>
        </w:tc>
      </w:tr>
      <w:tr w:rsidR="0031435B" w:rsidRPr="002F1CBE" w14:paraId="22E1988C" w14:textId="4F7BE914" w:rsidTr="00A00B39">
        <w:tc>
          <w:tcPr>
            <w:tcW w:w="828" w:type="pct"/>
            <w:vMerge w:val="restart"/>
            <w:shd w:val="clear" w:color="auto" w:fill="auto"/>
          </w:tcPr>
          <w:p w14:paraId="10F7B530" w14:textId="77777777" w:rsidR="0031435B" w:rsidRPr="002F1CBE" w:rsidDel="00662DCA" w:rsidRDefault="0031435B" w:rsidP="0031435B">
            <w:pPr>
              <w:pStyle w:val="Tabletext0"/>
              <w:rPr>
                <w:b/>
                <w:szCs w:val="22"/>
                <w:lang w:val="en-US"/>
              </w:rPr>
            </w:pPr>
            <w:r w:rsidRPr="002F1CBE">
              <w:rPr>
                <w:b/>
                <w:szCs w:val="22"/>
                <w:lang w:val="en-US"/>
              </w:rPr>
              <w:t>OS week cut-offs</w:t>
            </w:r>
          </w:p>
        </w:tc>
        <w:tc>
          <w:tcPr>
            <w:tcW w:w="715" w:type="pct"/>
            <w:vMerge w:val="restart"/>
            <w:shd w:val="clear" w:color="auto" w:fill="auto"/>
          </w:tcPr>
          <w:p w14:paraId="09EE9FC6" w14:textId="43DE9542" w:rsidR="0031435B" w:rsidRPr="002F1CBE" w:rsidDel="00662DCA" w:rsidRDefault="0031435B" w:rsidP="0031435B">
            <w:pPr>
              <w:pStyle w:val="Tabletext0"/>
              <w:rPr>
                <w:szCs w:val="22"/>
                <w:lang w:val="en-US"/>
              </w:rPr>
            </w:pPr>
            <w:r w:rsidRPr="002F1CBE">
              <w:rPr>
                <w:szCs w:val="22"/>
                <w:lang w:val="en-US"/>
              </w:rPr>
              <w:t xml:space="preserve">Week 32 – pembrolizumab: Log logistic control: exponential </w:t>
            </w:r>
          </w:p>
        </w:tc>
        <w:tc>
          <w:tcPr>
            <w:tcW w:w="1473" w:type="pct"/>
            <w:shd w:val="clear" w:color="auto" w:fill="auto"/>
          </w:tcPr>
          <w:p w14:paraId="22741E49" w14:textId="77777777" w:rsidR="0031435B" w:rsidRPr="002F1CBE" w:rsidRDefault="0031435B" w:rsidP="0031435B">
            <w:pPr>
              <w:pStyle w:val="Tabletext0"/>
              <w:rPr>
                <w:szCs w:val="22"/>
                <w:lang w:val="en-US"/>
              </w:rPr>
            </w:pPr>
            <w:r w:rsidRPr="002F1CBE">
              <w:rPr>
                <w:szCs w:val="22"/>
                <w:lang w:val="en-US"/>
              </w:rPr>
              <w:t xml:space="preserve">One piece – Pembrolizumab: Log normal. Control: Log logistic </w:t>
            </w:r>
          </w:p>
        </w:tc>
        <w:tc>
          <w:tcPr>
            <w:tcW w:w="1031" w:type="pct"/>
            <w:shd w:val="clear" w:color="auto" w:fill="auto"/>
            <w:vAlign w:val="bottom"/>
          </w:tcPr>
          <w:p w14:paraId="5BBAA891" w14:textId="26F51BFA" w:rsidR="0031435B" w:rsidRPr="002F1CBE" w:rsidRDefault="0031435B" w:rsidP="0031435B">
            <w:pPr>
              <w:spacing w:before="0" w:after="0"/>
              <w:jc w:val="right"/>
              <w:rPr>
                <w:lang w:val="en-US"/>
              </w:rPr>
            </w:pPr>
            <w:r>
              <w:rPr>
                <w:lang w:val="en-US"/>
              </w:rPr>
              <w:t>121,114</w:t>
            </w:r>
          </w:p>
        </w:tc>
        <w:tc>
          <w:tcPr>
            <w:tcW w:w="953" w:type="pct"/>
            <w:vAlign w:val="bottom"/>
          </w:tcPr>
          <w:p w14:paraId="5FA99003" w14:textId="0F0AD76B" w:rsidR="0031435B" w:rsidRPr="002F1CBE" w:rsidRDefault="0031435B" w:rsidP="0031435B">
            <w:pPr>
              <w:spacing w:before="0" w:after="0"/>
              <w:jc w:val="right"/>
              <w:rPr>
                <w:lang w:val="en-US"/>
              </w:rPr>
            </w:pPr>
            <w:r>
              <w:rPr>
                <w:lang w:val="en-US"/>
              </w:rPr>
              <w:t>Dominant</w:t>
            </w:r>
          </w:p>
        </w:tc>
      </w:tr>
      <w:tr w:rsidR="0031435B" w:rsidRPr="002F1CBE" w14:paraId="3FB6F12B" w14:textId="0706A493" w:rsidTr="00A00B39">
        <w:tc>
          <w:tcPr>
            <w:tcW w:w="828" w:type="pct"/>
            <w:vMerge/>
            <w:shd w:val="clear" w:color="auto" w:fill="auto"/>
          </w:tcPr>
          <w:p w14:paraId="43A5EC7B" w14:textId="77777777" w:rsidR="0031435B" w:rsidRPr="002F1CBE" w:rsidDel="00662DCA" w:rsidRDefault="0031435B" w:rsidP="0031435B">
            <w:pPr>
              <w:pStyle w:val="Tabletext0"/>
              <w:rPr>
                <w:b/>
                <w:szCs w:val="22"/>
                <w:lang w:val="en-US"/>
              </w:rPr>
            </w:pPr>
          </w:p>
        </w:tc>
        <w:tc>
          <w:tcPr>
            <w:tcW w:w="715" w:type="pct"/>
            <w:vMerge/>
            <w:shd w:val="clear" w:color="auto" w:fill="auto"/>
          </w:tcPr>
          <w:p w14:paraId="4F6DF84F" w14:textId="77777777" w:rsidR="0031435B" w:rsidRPr="002F1CBE" w:rsidDel="00662DCA" w:rsidRDefault="0031435B" w:rsidP="0031435B">
            <w:pPr>
              <w:pStyle w:val="Tabletext0"/>
              <w:rPr>
                <w:szCs w:val="22"/>
                <w:lang w:val="en-US"/>
              </w:rPr>
            </w:pPr>
          </w:p>
        </w:tc>
        <w:tc>
          <w:tcPr>
            <w:tcW w:w="1473" w:type="pct"/>
            <w:shd w:val="clear" w:color="auto" w:fill="auto"/>
          </w:tcPr>
          <w:p w14:paraId="48DBCF6E" w14:textId="77777777" w:rsidR="0031435B" w:rsidRPr="002F1CBE" w:rsidRDefault="0031435B" w:rsidP="0031435B">
            <w:pPr>
              <w:pStyle w:val="Tabletext0"/>
              <w:rPr>
                <w:szCs w:val="22"/>
                <w:lang w:val="en-US"/>
              </w:rPr>
            </w:pPr>
            <w:r w:rsidRPr="002F1CBE">
              <w:rPr>
                <w:szCs w:val="22"/>
                <w:lang w:val="en-US"/>
              </w:rPr>
              <w:t>Week 24 – Pembrolizumab: Gompertz. Control: Log normal</w:t>
            </w:r>
          </w:p>
        </w:tc>
        <w:tc>
          <w:tcPr>
            <w:tcW w:w="1031" w:type="pct"/>
            <w:shd w:val="clear" w:color="auto" w:fill="auto"/>
            <w:vAlign w:val="bottom"/>
          </w:tcPr>
          <w:p w14:paraId="33B19BE8" w14:textId="2D1CAED2" w:rsidR="0031435B" w:rsidRPr="002F1CBE" w:rsidRDefault="0031435B" w:rsidP="0031435B">
            <w:pPr>
              <w:spacing w:before="0" w:after="0"/>
              <w:jc w:val="right"/>
              <w:rPr>
                <w:lang w:val="en-US"/>
              </w:rPr>
            </w:pPr>
            <w:r>
              <w:rPr>
                <w:lang w:val="en-US"/>
              </w:rPr>
              <w:t>76,482</w:t>
            </w:r>
          </w:p>
        </w:tc>
        <w:tc>
          <w:tcPr>
            <w:tcW w:w="953" w:type="pct"/>
            <w:vAlign w:val="bottom"/>
          </w:tcPr>
          <w:p w14:paraId="24E45AF2" w14:textId="2DF6D04E" w:rsidR="0031435B" w:rsidRPr="002F1CBE" w:rsidRDefault="0031435B" w:rsidP="0031435B">
            <w:pPr>
              <w:spacing w:before="0" w:after="0"/>
              <w:jc w:val="right"/>
              <w:rPr>
                <w:lang w:val="en-US"/>
              </w:rPr>
            </w:pPr>
            <w:r>
              <w:rPr>
                <w:lang w:val="en-US"/>
              </w:rPr>
              <w:t>Dominant</w:t>
            </w:r>
          </w:p>
        </w:tc>
      </w:tr>
      <w:tr w:rsidR="0031435B" w:rsidRPr="002F1CBE" w14:paraId="7F7C5BA6" w14:textId="6781AA96" w:rsidTr="00A00B39">
        <w:tc>
          <w:tcPr>
            <w:tcW w:w="828" w:type="pct"/>
            <w:vMerge/>
            <w:shd w:val="clear" w:color="auto" w:fill="auto"/>
          </w:tcPr>
          <w:p w14:paraId="684EC8F3" w14:textId="77777777" w:rsidR="0031435B" w:rsidRPr="002F1CBE" w:rsidDel="00662DCA" w:rsidRDefault="0031435B" w:rsidP="0031435B">
            <w:pPr>
              <w:pStyle w:val="Tabletext0"/>
              <w:rPr>
                <w:b/>
                <w:szCs w:val="22"/>
                <w:lang w:val="en-US"/>
              </w:rPr>
            </w:pPr>
          </w:p>
        </w:tc>
        <w:tc>
          <w:tcPr>
            <w:tcW w:w="715" w:type="pct"/>
            <w:vMerge/>
            <w:shd w:val="clear" w:color="auto" w:fill="auto"/>
          </w:tcPr>
          <w:p w14:paraId="317FF350" w14:textId="77777777" w:rsidR="0031435B" w:rsidRPr="002F1CBE" w:rsidDel="00662DCA" w:rsidRDefault="0031435B" w:rsidP="0031435B">
            <w:pPr>
              <w:pStyle w:val="Tabletext0"/>
              <w:rPr>
                <w:szCs w:val="22"/>
                <w:lang w:val="en-US"/>
              </w:rPr>
            </w:pPr>
          </w:p>
        </w:tc>
        <w:tc>
          <w:tcPr>
            <w:tcW w:w="1473" w:type="pct"/>
            <w:shd w:val="clear" w:color="auto" w:fill="auto"/>
          </w:tcPr>
          <w:p w14:paraId="14A60028" w14:textId="77777777" w:rsidR="0031435B" w:rsidRPr="002F1CBE" w:rsidRDefault="0031435B" w:rsidP="0031435B">
            <w:pPr>
              <w:pStyle w:val="Tabletext0"/>
              <w:rPr>
                <w:szCs w:val="22"/>
                <w:lang w:val="en-US"/>
              </w:rPr>
            </w:pPr>
            <w:r w:rsidRPr="002F1CBE">
              <w:rPr>
                <w:szCs w:val="22"/>
                <w:lang w:val="en-US"/>
              </w:rPr>
              <w:t>Week 40 – Pembrolizumab: Log normal. Control: Log normal</w:t>
            </w:r>
          </w:p>
        </w:tc>
        <w:tc>
          <w:tcPr>
            <w:tcW w:w="1031" w:type="pct"/>
            <w:shd w:val="clear" w:color="auto" w:fill="auto"/>
            <w:vAlign w:val="bottom"/>
          </w:tcPr>
          <w:p w14:paraId="3F60CBEF" w14:textId="2D828D0D" w:rsidR="0031435B" w:rsidRPr="002F1CBE" w:rsidRDefault="0031435B" w:rsidP="0031435B">
            <w:pPr>
              <w:spacing w:before="0" w:after="0"/>
              <w:jc w:val="right"/>
              <w:rPr>
                <w:lang w:val="en-US"/>
              </w:rPr>
            </w:pPr>
            <w:r>
              <w:rPr>
                <w:lang w:val="en-US"/>
              </w:rPr>
              <w:t>117,399</w:t>
            </w:r>
          </w:p>
        </w:tc>
        <w:tc>
          <w:tcPr>
            <w:tcW w:w="953" w:type="pct"/>
            <w:vAlign w:val="bottom"/>
          </w:tcPr>
          <w:p w14:paraId="747A30EE" w14:textId="70A20F28" w:rsidR="0031435B" w:rsidRPr="002F1CBE" w:rsidRDefault="0031435B" w:rsidP="0031435B">
            <w:pPr>
              <w:spacing w:before="0" w:after="0"/>
              <w:jc w:val="right"/>
              <w:rPr>
                <w:lang w:val="en-US"/>
              </w:rPr>
            </w:pPr>
            <w:r>
              <w:rPr>
                <w:lang w:val="en-US"/>
              </w:rPr>
              <w:t>Dominant</w:t>
            </w:r>
          </w:p>
        </w:tc>
      </w:tr>
      <w:tr w:rsidR="0031435B" w:rsidRPr="002F1CBE" w14:paraId="5D481016" w14:textId="0EB3FEA5" w:rsidTr="00A00B39">
        <w:tc>
          <w:tcPr>
            <w:tcW w:w="828" w:type="pct"/>
            <w:vMerge w:val="restart"/>
            <w:shd w:val="clear" w:color="auto" w:fill="auto"/>
          </w:tcPr>
          <w:p w14:paraId="60D4E89D" w14:textId="77777777" w:rsidR="0031435B" w:rsidRPr="002F1CBE" w:rsidDel="00662DCA" w:rsidRDefault="0031435B" w:rsidP="0031435B">
            <w:pPr>
              <w:pStyle w:val="Tabletext0"/>
              <w:rPr>
                <w:b/>
                <w:szCs w:val="22"/>
                <w:lang w:val="en-US"/>
              </w:rPr>
            </w:pPr>
            <w:r w:rsidRPr="002F1CBE">
              <w:rPr>
                <w:b/>
                <w:szCs w:val="22"/>
                <w:lang w:val="en-US"/>
              </w:rPr>
              <w:t>PFS week cut-offs</w:t>
            </w:r>
          </w:p>
        </w:tc>
        <w:tc>
          <w:tcPr>
            <w:tcW w:w="715" w:type="pct"/>
            <w:vMerge w:val="restart"/>
            <w:shd w:val="clear" w:color="auto" w:fill="auto"/>
          </w:tcPr>
          <w:p w14:paraId="62ECABDF" w14:textId="621EE7DA" w:rsidR="0031435B" w:rsidRPr="002F1CBE" w:rsidDel="00662DCA" w:rsidRDefault="0031435B" w:rsidP="0031435B">
            <w:pPr>
              <w:pStyle w:val="Tabletext0"/>
              <w:rPr>
                <w:szCs w:val="22"/>
                <w:lang w:val="en-US"/>
              </w:rPr>
            </w:pPr>
            <w:r w:rsidRPr="002F1CBE">
              <w:rPr>
                <w:szCs w:val="22"/>
                <w:lang w:val="en-US"/>
              </w:rPr>
              <w:t xml:space="preserve">Week 15 – pembrolizumab: Log </w:t>
            </w:r>
            <w:r w:rsidRPr="002F1CBE">
              <w:rPr>
                <w:szCs w:val="22"/>
                <w:lang w:val="en-US"/>
              </w:rPr>
              <w:lastRenderedPageBreak/>
              <w:t>logistic, control: exponential</w:t>
            </w:r>
          </w:p>
        </w:tc>
        <w:tc>
          <w:tcPr>
            <w:tcW w:w="1473" w:type="pct"/>
            <w:shd w:val="clear" w:color="auto" w:fill="auto"/>
          </w:tcPr>
          <w:p w14:paraId="2C8A65E0" w14:textId="77777777" w:rsidR="0031435B" w:rsidRPr="002F1CBE" w:rsidRDefault="0031435B" w:rsidP="0031435B">
            <w:pPr>
              <w:pStyle w:val="Tabletext0"/>
              <w:rPr>
                <w:szCs w:val="22"/>
                <w:lang w:val="en-US"/>
              </w:rPr>
            </w:pPr>
            <w:r w:rsidRPr="002F1CBE">
              <w:rPr>
                <w:szCs w:val="22"/>
                <w:lang w:val="en-US"/>
              </w:rPr>
              <w:lastRenderedPageBreak/>
              <w:t>Week 9 – Pembrolizumab: Log normal. Control: Weibull</w:t>
            </w:r>
          </w:p>
        </w:tc>
        <w:tc>
          <w:tcPr>
            <w:tcW w:w="1031" w:type="pct"/>
            <w:shd w:val="clear" w:color="auto" w:fill="auto"/>
            <w:vAlign w:val="bottom"/>
          </w:tcPr>
          <w:p w14:paraId="54731060" w14:textId="39356E2E" w:rsidR="0031435B" w:rsidRPr="002F1CBE" w:rsidRDefault="0031435B" w:rsidP="0031435B">
            <w:pPr>
              <w:spacing w:before="0" w:after="0"/>
              <w:jc w:val="right"/>
              <w:rPr>
                <w:lang w:val="en-US"/>
              </w:rPr>
            </w:pPr>
            <w:r>
              <w:rPr>
                <w:lang w:val="en-US"/>
              </w:rPr>
              <w:t>92,108</w:t>
            </w:r>
          </w:p>
        </w:tc>
        <w:tc>
          <w:tcPr>
            <w:tcW w:w="953" w:type="pct"/>
            <w:vAlign w:val="bottom"/>
          </w:tcPr>
          <w:p w14:paraId="2A3CADE0" w14:textId="142C7509" w:rsidR="0031435B" w:rsidRPr="002F1CBE" w:rsidRDefault="0031435B" w:rsidP="0031435B">
            <w:pPr>
              <w:spacing w:before="0" w:after="0"/>
              <w:jc w:val="right"/>
              <w:rPr>
                <w:lang w:val="en-US"/>
              </w:rPr>
            </w:pPr>
            <w:r>
              <w:rPr>
                <w:lang w:val="en-US"/>
              </w:rPr>
              <w:t>NA</w:t>
            </w:r>
          </w:p>
        </w:tc>
      </w:tr>
      <w:tr w:rsidR="0031435B" w:rsidRPr="002F1CBE" w14:paraId="77C1E136" w14:textId="74E72B1C" w:rsidTr="00A00B39">
        <w:tc>
          <w:tcPr>
            <w:tcW w:w="828" w:type="pct"/>
            <w:vMerge/>
            <w:shd w:val="clear" w:color="auto" w:fill="auto"/>
          </w:tcPr>
          <w:p w14:paraId="309DF455" w14:textId="77777777" w:rsidR="0031435B" w:rsidRPr="002F1CBE" w:rsidDel="00662DCA" w:rsidRDefault="0031435B" w:rsidP="0031435B">
            <w:pPr>
              <w:pStyle w:val="Tabletext0"/>
              <w:rPr>
                <w:b/>
                <w:szCs w:val="22"/>
                <w:lang w:val="en-US"/>
              </w:rPr>
            </w:pPr>
          </w:p>
        </w:tc>
        <w:tc>
          <w:tcPr>
            <w:tcW w:w="715" w:type="pct"/>
            <w:vMerge/>
            <w:shd w:val="clear" w:color="auto" w:fill="auto"/>
          </w:tcPr>
          <w:p w14:paraId="36B340A3" w14:textId="77777777" w:rsidR="0031435B" w:rsidRPr="002F1CBE" w:rsidDel="00662DCA" w:rsidRDefault="0031435B" w:rsidP="0031435B">
            <w:pPr>
              <w:pStyle w:val="Tabletext0"/>
              <w:rPr>
                <w:szCs w:val="22"/>
                <w:lang w:val="en-US"/>
              </w:rPr>
            </w:pPr>
          </w:p>
        </w:tc>
        <w:tc>
          <w:tcPr>
            <w:tcW w:w="1473" w:type="pct"/>
            <w:shd w:val="clear" w:color="auto" w:fill="auto"/>
          </w:tcPr>
          <w:p w14:paraId="15C38C4D" w14:textId="77777777" w:rsidR="0031435B" w:rsidRPr="002F1CBE" w:rsidRDefault="0031435B" w:rsidP="0031435B">
            <w:pPr>
              <w:pStyle w:val="Tabletext0"/>
              <w:rPr>
                <w:szCs w:val="22"/>
                <w:lang w:val="en-US"/>
              </w:rPr>
            </w:pPr>
            <w:r w:rsidRPr="002F1CBE">
              <w:rPr>
                <w:szCs w:val="22"/>
                <w:lang w:val="en-US"/>
              </w:rPr>
              <w:t>Week 21 – Pembrolizumab: Log normal. Control: Weibull</w:t>
            </w:r>
          </w:p>
        </w:tc>
        <w:tc>
          <w:tcPr>
            <w:tcW w:w="1031" w:type="pct"/>
            <w:shd w:val="clear" w:color="auto" w:fill="auto"/>
            <w:vAlign w:val="bottom"/>
          </w:tcPr>
          <w:p w14:paraId="09EA2CB5" w14:textId="4F7145AC" w:rsidR="0031435B" w:rsidRPr="002F1CBE" w:rsidRDefault="0031435B" w:rsidP="0031435B">
            <w:pPr>
              <w:spacing w:before="0" w:after="0"/>
              <w:jc w:val="right"/>
              <w:rPr>
                <w:lang w:val="en-US"/>
              </w:rPr>
            </w:pPr>
            <w:r>
              <w:rPr>
                <w:lang w:val="en-US"/>
              </w:rPr>
              <w:t>93,518</w:t>
            </w:r>
          </w:p>
        </w:tc>
        <w:tc>
          <w:tcPr>
            <w:tcW w:w="953" w:type="pct"/>
            <w:vAlign w:val="bottom"/>
          </w:tcPr>
          <w:p w14:paraId="636DCEFA" w14:textId="0892855B" w:rsidR="0031435B" w:rsidRPr="002F1CBE" w:rsidRDefault="0031435B" w:rsidP="0031435B">
            <w:pPr>
              <w:spacing w:before="0" w:after="0"/>
              <w:jc w:val="right"/>
              <w:rPr>
                <w:lang w:val="en-US"/>
              </w:rPr>
            </w:pPr>
            <w:r>
              <w:rPr>
                <w:lang w:val="en-US"/>
              </w:rPr>
              <w:t>NA</w:t>
            </w:r>
          </w:p>
        </w:tc>
      </w:tr>
      <w:tr w:rsidR="0031435B" w:rsidRPr="002F1CBE" w14:paraId="4B897C94" w14:textId="06AA25C4" w:rsidTr="00A00B39">
        <w:tc>
          <w:tcPr>
            <w:tcW w:w="828" w:type="pct"/>
            <w:vMerge/>
            <w:shd w:val="clear" w:color="auto" w:fill="auto"/>
          </w:tcPr>
          <w:p w14:paraId="63E9BD11" w14:textId="77777777" w:rsidR="0031435B" w:rsidRPr="002F1CBE" w:rsidDel="00662DCA" w:rsidRDefault="0031435B" w:rsidP="0031435B">
            <w:pPr>
              <w:pStyle w:val="Tabletext0"/>
              <w:rPr>
                <w:b/>
                <w:szCs w:val="22"/>
                <w:lang w:val="en-US"/>
              </w:rPr>
            </w:pPr>
          </w:p>
        </w:tc>
        <w:tc>
          <w:tcPr>
            <w:tcW w:w="715" w:type="pct"/>
            <w:vMerge/>
            <w:shd w:val="clear" w:color="auto" w:fill="auto"/>
          </w:tcPr>
          <w:p w14:paraId="1907171C" w14:textId="77777777" w:rsidR="0031435B" w:rsidRPr="002F1CBE" w:rsidDel="00662DCA" w:rsidRDefault="0031435B" w:rsidP="0031435B">
            <w:pPr>
              <w:pStyle w:val="Tabletext0"/>
              <w:rPr>
                <w:szCs w:val="22"/>
                <w:lang w:val="en-US"/>
              </w:rPr>
            </w:pPr>
          </w:p>
        </w:tc>
        <w:tc>
          <w:tcPr>
            <w:tcW w:w="1473" w:type="pct"/>
            <w:shd w:val="clear" w:color="auto" w:fill="auto"/>
          </w:tcPr>
          <w:p w14:paraId="400E5028" w14:textId="77777777" w:rsidR="0031435B" w:rsidRPr="002F1CBE" w:rsidRDefault="0031435B" w:rsidP="0031435B">
            <w:pPr>
              <w:pStyle w:val="Tabletext0"/>
              <w:rPr>
                <w:szCs w:val="22"/>
                <w:lang w:val="en-US"/>
              </w:rPr>
            </w:pPr>
            <w:r w:rsidRPr="002F1CBE">
              <w:rPr>
                <w:szCs w:val="22"/>
                <w:lang w:val="en-US"/>
              </w:rPr>
              <w:t>Week 27 – Pembrolizumab: Weibull. Control: Gamma</w:t>
            </w:r>
          </w:p>
        </w:tc>
        <w:tc>
          <w:tcPr>
            <w:tcW w:w="1031" w:type="pct"/>
            <w:shd w:val="clear" w:color="auto" w:fill="auto"/>
            <w:vAlign w:val="bottom"/>
          </w:tcPr>
          <w:p w14:paraId="0025F736" w14:textId="11020A7B" w:rsidR="0031435B" w:rsidRPr="002F1CBE" w:rsidRDefault="0031435B" w:rsidP="0031435B">
            <w:pPr>
              <w:spacing w:before="0" w:after="0"/>
              <w:jc w:val="right"/>
              <w:rPr>
                <w:lang w:val="en-US"/>
              </w:rPr>
            </w:pPr>
            <w:r>
              <w:rPr>
                <w:lang w:val="en-US"/>
              </w:rPr>
              <w:t>94,854</w:t>
            </w:r>
          </w:p>
        </w:tc>
        <w:tc>
          <w:tcPr>
            <w:tcW w:w="953" w:type="pct"/>
            <w:vAlign w:val="bottom"/>
          </w:tcPr>
          <w:p w14:paraId="4877749E" w14:textId="7812B88A" w:rsidR="0031435B" w:rsidRPr="002F1CBE" w:rsidRDefault="0031435B" w:rsidP="0031435B">
            <w:pPr>
              <w:spacing w:before="0" w:after="0"/>
              <w:jc w:val="right"/>
              <w:rPr>
                <w:lang w:val="en-US"/>
              </w:rPr>
            </w:pPr>
            <w:r>
              <w:rPr>
                <w:lang w:val="en-US"/>
              </w:rPr>
              <w:t>NA</w:t>
            </w:r>
          </w:p>
        </w:tc>
      </w:tr>
      <w:tr w:rsidR="006D3202" w:rsidRPr="002F1CBE" w14:paraId="718762B0" w14:textId="29C1B5E1" w:rsidTr="00A00B39">
        <w:trPr>
          <w:trHeight w:val="266"/>
        </w:trPr>
        <w:tc>
          <w:tcPr>
            <w:tcW w:w="828" w:type="pct"/>
            <w:vMerge w:val="restart"/>
            <w:shd w:val="clear" w:color="auto" w:fill="auto"/>
          </w:tcPr>
          <w:p w14:paraId="747D08D0" w14:textId="77777777" w:rsidR="006D3202" w:rsidRPr="002F1CBE" w:rsidRDefault="006D3202" w:rsidP="006D3202">
            <w:pPr>
              <w:pStyle w:val="Tabletext0"/>
              <w:rPr>
                <w:b/>
                <w:szCs w:val="22"/>
                <w:lang w:val="en-US"/>
              </w:rPr>
            </w:pPr>
            <w:r w:rsidRPr="002F1CBE">
              <w:rPr>
                <w:b/>
                <w:szCs w:val="22"/>
                <w:lang w:val="en-US"/>
              </w:rPr>
              <w:t>OS adjustment</w:t>
            </w:r>
          </w:p>
        </w:tc>
        <w:tc>
          <w:tcPr>
            <w:tcW w:w="715" w:type="pct"/>
            <w:vMerge w:val="restart"/>
            <w:shd w:val="clear" w:color="auto" w:fill="auto"/>
          </w:tcPr>
          <w:p w14:paraId="7BC813FC" w14:textId="7DEB18AD" w:rsidR="006D3202" w:rsidRPr="002F1CBE" w:rsidRDefault="006D3202" w:rsidP="006D3202">
            <w:pPr>
              <w:pStyle w:val="Tabletext0"/>
              <w:rPr>
                <w:szCs w:val="22"/>
                <w:lang w:val="en-US"/>
              </w:rPr>
            </w:pPr>
            <w:r w:rsidRPr="002F1CBE">
              <w:rPr>
                <w:szCs w:val="22"/>
                <w:lang w:val="en-US"/>
              </w:rPr>
              <w:t>Two-stage adjustment</w:t>
            </w:r>
          </w:p>
        </w:tc>
        <w:tc>
          <w:tcPr>
            <w:tcW w:w="1473" w:type="pct"/>
            <w:shd w:val="clear" w:color="auto" w:fill="auto"/>
          </w:tcPr>
          <w:p w14:paraId="45B3B7A3" w14:textId="77777777" w:rsidR="006D3202" w:rsidRPr="002F1CBE" w:rsidRDefault="006D3202" w:rsidP="006D3202">
            <w:pPr>
              <w:pStyle w:val="Tabletext0"/>
              <w:rPr>
                <w:szCs w:val="22"/>
                <w:lang w:val="en-US"/>
              </w:rPr>
            </w:pPr>
            <w:r w:rsidRPr="002F1CBE">
              <w:rPr>
                <w:szCs w:val="22"/>
                <w:lang w:val="en-US"/>
              </w:rPr>
              <w:t>Without adjustment</w:t>
            </w:r>
          </w:p>
        </w:tc>
        <w:tc>
          <w:tcPr>
            <w:tcW w:w="1031" w:type="pct"/>
            <w:shd w:val="clear" w:color="auto" w:fill="auto"/>
            <w:vAlign w:val="bottom"/>
          </w:tcPr>
          <w:p w14:paraId="1A98C341" w14:textId="5F074F1F" w:rsidR="006D3202" w:rsidRPr="002F1CBE" w:rsidRDefault="00B30EBA" w:rsidP="0058642F">
            <w:pPr>
              <w:spacing w:before="0" w:after="0"/>
              <w:jc w:val="right"/>
              <w:rPr>
                <w:lang w:val="en-US"/>
              </w:rPr>
            </w:pPr>
            <w:r>
              <w:rPr>
                <w:lang w:val="en-US"/>
              </w:rPr>
              <w:t>98,522</w:t>
            </w:r>
          </w:p>
        </w:tc>
        <w:tc>
          <w:tcPr>
            <w:tcW w:w="953" w:type="pct"/>
            <w:vAlign w:val="bottom"/>
          </w:tcPr>
          <w:p w14:paraId="076B4279" w14:textId="76CA9D12" w:rsidR="006D3202" w:rsidRPr="002F1CBE" w:rsidRDefault="006D3202">
            <w:pPr>
              <w:spacing w:before="0" w:after="0"/>
              <w:jc w:val="right"/>
              <w:rPr>
                <w:lang w:val="en-US"/>
              </w:rPr>
            </w:pPr>
            <w:r>
              <w:rPr>
                <w:lang w:val="en-US"/>
              </w:rPr>
              <w:t>NA</w:t>
            </w:r>
          </w:p>
        </w:tc>
      </w:tr>
      <w:tr w:rsidR="006D3202" w:rsidRPr="002F1CBE" w14:paraId="7E8E23A3" w14:textId="38E1C53E" w:rsidTr="00A00B39">
        <w:tc>
          <w:tcPr>
            <w:tcW w:w="828" w:type="pct"/>
            <w:vMerge/>
            <w:shd w:val="clear" w:color="auto" w:fill="auto"/>
          </w:tcPr>
          <w:p w14:paraId="71E1DE1D" w14:textId="77777777" w:rsidR="006D3202" w:rsidRPr="002F1CBE" w:rsidRDefault="006D3202" w:rsidP="006D3202">
            <w:pPr>
              <w:pStyle w:val="Tabletext0"/>
              <w:rPr>
                <w:b/>
                <w:szCs w:val="22"/>
                <w:lang w:val="en-US"/>
              </w:rPr>
            </w:pPr>
          </w:p>
        </w:tc>
        <w:tc>
          <w:tcPr>
            <w:tcW w:w="715" w:type="pct"/>
            <w:vMerge/>
            <w:shd w:val="clear" w:color="auto" w:fill="auto"/>
          </w:tcPr>
          <w:p w14:paraId="0112F932" w14:textId="77777777" w:rsidR="006D3202" w:rsidRPr="002F1CBE" w:rsidRDefault="006D3202" w:rsidP="006D3202">
            <w:pPr>
              <w:pStyle w:val="Tabletext0"/>
              <w:rPr>
                <w:szCs w:val="22"/>
                <w:lang w:val="en-US"/>
              </w:rPr>
            </w:pPr>
          </w:p>
        </w:tc>
        <w:tc>
          <w:tcPr>
            <w:tcW w:w="1473" w:type="pct"/>
            <w:shd w:val="clear" w:color="auto" w:fill="auto"/>
          </w:tcPr>
          <w:p w14:paraId="4FEEB3FA" w14:textId="77777777" w:rsidR="006D3202" w:rsidRPr="002F1CBE" w:rsidRDefault="006D3202" w:rsidP="006D3202">
            <w:pPr>
              <w:pStyle w:val="Tabletext0"/>
              <w:rPr>
                <w:szCs w:val="22"/>
                <w:lang w:val="en-US"/>
              </w:rPr>
            </w:pPr>
            <w:r w:rsidRPr="002F1CBE">
              <w:rPr>
                <w:szCs w:val="22"/>
                <w:lang w:val="en-US"/>
              </w:rPr>
              <w:t xml:space="preserve">With RPSFT adjustment </w:t>
            </w:r>
          </w:p>
        </w:tc>
        <w:tc>
          <w:tcPr>
            <w:tcW w:w="1031" w:type="pct"/>
            <w:shd w:val="clear" w:color="auto" w:fill="auto"/>
            <w:vAlign w:val="bottom"/>
          </w:tcPr>
          <w:p w14:paraId="137B5C3C" w14:textId="7D55B59B" w:rsidR="006D3202" w:rsidRPr="002F1CBE" w:rsidRDefault="00B30EBA" w:rsidP="0058642F">
            <w:pPr>
              <w:spacing w:before="0" w:after="0"/>
              <w:jc w:val="right"/>
              <w:rPr>
                <w:lang w:val="en-US"/>
              </w:rPr>
            </w:pPr>
            <w:r>
              <w:rPr>
                <w:lang w:val="en-US"/>
              </w:rPr>
              <w:t>96,869</w:t>
            </w:r>
          </w:p>
        </w:tc>
        <w:tc>
          <w:tcPr>
            <w:tcW w:w="953" w:type="pct"/>
            <w:vAlign w:val="bottom"/>
          </w:tcPr>
          <w:p w14:paraId="4858B896" w14:textId="55F8BE70" w:rsidR="006D3202" w:rsidRPr="002F1CBE" w:rsidRDefault="006D3202">
            <w:pPr>
              <w:spacing w:before="0" w:after="0"/>
              <w:jc w:val="right"/>
              <w:rPr>
                <w:lang w:val="en-US"/>
              </w:rPr>
            </w:pPr>
            <w:r>
              <w:rPr>
                <w:lang w:val="en-US"/>
              </w:rPr>
              <w:t>NA</w:t>
            </w:r>
          </w:p>
        </w:tc>
      </w:tr>
      <w:tr w:rsidR="006D3202" w:rsidRPr="002F1CBE" w14:paraId="1D46BDCE" w14:textId="0EAE1CE6" w:rsidTr="00A00B39">
        <w:tc>
          <w:tcPr>
            <w:tcW w:w="828" w:type="pct"/>
            <w:vMerge/>
            <w:shd w:val="clear" w:color="auto" w:fill="auto"/>
          </w:tcPr>
          <w:p w14:paraId="2DFA2D1C" w14:textId="77777777" w:rsidR="006D3202" w:rsidRPr="002F1CBE" w:rsidRDefault="006D3202" w:rsidP="006D3202">
            <w:pPr>
              <w:pStyle w:val="Tabletext0"/>
              <w:rPr>
                <w:b/>
                <w:szCs w:val="22"/>
                <w:lang w:val="en-US"/>
              </w:rPr>
            </w:pPr>
          </w:p>
        </w:tc>
        <w:tc>
          <w:tcPr>
            <w:tcW w:w="715" w:type="pct"/>
            <w:vMerge/>
            <w:shd w:val="clear" w:color="auto" w:fill="auto"/>
          </w:tcPr>
          <w:p w14:paraId="71A15F9D" w14:textId="77777777" w:rsidR="006D3202" w:rsidRPr="002F1CBE" w:rsidRDefault="006D3202" w:rsidP="006D3202">
            <w:pPr>
              <w:pStyle w:val="Tabletext0"/>
              <w:rPr>
                <w:szCs w:val="22"/>
                <w:lang w:val="en-US"/>
              </w:rPr>
            </w:pPr>
          </w:p>
        </w:tc>
        <w:tc>
          <w:tcPr>
            <w:tcW w:w="1473" w:type="pct"/>
            <w:shd w:val="clear" w:color="auto" w:fill="auto"/>
          </w:tcPr>
          <w:p w14:paraId="56DDFF12" w14:textId="77777777" w:rsidR="006D3202" w:rsidRPr="002F1CBE" w:rsidRDefault="006D3202" w:rsidP="006D3202">
            <w:pPr>
              <w:pStyle w:val="Tabletext0"/>
              <w:rPr>
                <w:szCs w:val="22"/>
                <w:lang w:val="en-US"/>
              </w:rPr>
            </w:pPr>
            <w:r w:rsidRPr="002F1CBE">
              <w:rPr>
                <w:szCs w:val="22"/>
                <w:lang w:val="en-US"/>
              </w:rPr>
              <w:t xml:space="preserve">With IPCW adjustment </w:t>
            </w:r>
          </w:p>
        </w:tc>
        <w:tc>
          <w:tcPr>
            <w:tcW w:w="1031" w:type="pct"/>
            <w:shd w:val="clear" w:color="auto" w:fill="auto"/>
            <w:vAlign w:val="bottom"/>
          </w:tcPr>
          <w:p w14:paraId="1D8F4B41" w14:textId="0E87684F" w:rsidR="006D3202" w:rsidRPr="002F1CBE" w:rsidRDefault="00B30EBA" w:rsidP="0058642F">
            <w:pPr>
              <w:spacing w:before="0" w:after="0"/>
              <w:jc w:val="right"/>
              <w:rPr>
                <w:lang w:val="en-US"/>
              </w:rPr>
            </w:pPr>
            <w:r>
              <w:rPr>
                <w:lang w:val="en-US"/>
              </w:rPr>
              <w:t>93,997</w:t>
            </w:r>
          </w:p>
        </w:tc>
        <w:tc>
          <w:tcPr>
            <w:tcW w:w="953" w:type="pct"/>
            <w:vAlign w:val="bottom"/>
          </w:tcPr>
          <w:p w14:paraId="48976531" w14:textId="42AEB51D" w:rsidR="006D3202" w:rsidRPr="002F1CBE" w:rsidRDefault="006D3202">
            <w:pPr>
              <w:spacing w:before="0" w:after="0"/>
              <w:jc w:val="right"/>
              <w:rPr>
                <w:lang w:val="en-US"/>
              </w:rPr>
            </w:pPr>
            <w:r>
              <w:rPr>
                <w:lang w:val="en-US"/>
              </w:rPr>
              <w:t>NA</w:t>
            </w:r>
          </w:p>
        </w:tc>
      </w:tr>
      <w:tr w:rsidR="006D3202" w:rsidRPr="002F1CBE" w14:paraId="601B411C" w14:textId="77777777" w:rsidTr="00A00B39">
        <w:tc>
          <w:tcPr>
            <w:tcW w:w="828" w:type="pct"/>
            <w:shd w:val="clear" w:color="auto" w:fill="auto"/>
          </w:tcPr>
          <w:p w14:paraId="76CDA0B2" w14:textId="63240C36" w:rsidR="006D3202" w:rsidRPr="002F1CBE" w:rsidRDefault="006D3202" w:rsidP="006D3202">
            <w:pPr>
              <w:pStyle w:val="Tabletext0"/>
              <w:rPr>
                <w:b/>
                <w:szCs w:val="22"/>
                <w:lang w:val="en-US"/>
              </w:rPr>
            </w:pPr>
            <w:r>
              <w:rPr>
                <w:b/>
                <w:szCs w:val="22"/>
                <w:lang w:val="en-US"/>
              </w:rPr>
              <w:t>ITC HR</w:t>
            </w:r>
          </w:p>
        </w:tc>
        <w:tc>
          <w:tcPr>
            <w:tcW w:w="715" w:type="pct"/>
            <w:shd w:val="clear" w:color="auto" w:fill="auto"/>
          </w:tcPr>
          <w:p w14:paraId="499AB44A" w14:textId="1EF955F8" w:rsidR="006D3202" w:rsidRPr="002F1CBE" w:rsidRDefault="006D3202" w:rsidP="006D3202">
            <w:pPr>
              <w:pStyle w:val="Tabletext0"/>
              <w:rPr>
                <w:szCs w:val="22"/>
                <w:lang w:val="en-US"/>
              </w:rPr>
            </w:pPr>
            <w:r>
              <w:rPr>
                <w:szCs w:val="22"/>
                <w:lang w:val="en-US"/>
              </w:rPr>
              <w:t>MAIC</w:t>
            </w:r>
          </w:p>
        </w:tc>
        <w:tc>
          <w:tcPr>
            <w:tcW w:w="1473" w:type="pct"/>
            <w:shd w:val="clear" w:color="auto" w:fill="auto"/>
          </w:tcPr>
          <w:p w14:paraId="4F035CD0" w14:textId="6D602954" w:rsidR="006D3202" w:rsidRPr="002F1CBE" w:rsidRDefault="006D3202" w:rsidP="006D3202">
            <w:pPr>
              <w:pStyle w:val="Tabletext0"/>
              <w:rPr>
                <w:szCs w:val="22"/>
                <w:lang w:val="en-US"/>
              </w:rPr>
            </w:pPr>
            <w:r>
              <w:rPr>
                <w:szCs w:val="22"/>
                <w:lang w:val="en-US"/>
              </w:rPr>
              <w:t>NM</w:t>
            </w:r>
            <w:r w:rsidR="00E846CA">
              <w:rPr>
                <w:szCs w:val="22"/>
                <w:lang w:val="en-US"/>
              </w:rPr>
              <w:t>A</w:t>
            </w:r>
          </w:p>
        </w:tc>
        <w:tc>
          <w:tcPr>
            <w:tcW w:w="1031" w:type="pct"/>
            <w:shd w:val="clear" w:color="auto" w:fill="auto"/>
            <w:vAlign w:val="bottom"/>
          </w:tcPr>
          <w:p w14:paraId="4F0C80E9" w14:textId="6598E2F3" w:rsidR="006D3202" w:rsidRPr="002F1CBE" w:rsidRDefault="006D3202" w:rsidP="0058642F">
            <w:pPr>
              <w:spacing w:before="0" w:after="0"/>
              <w:jc w:val="right"/>
              <w:rPr>
                <w:lang w:val="en-US"/>
              </w:rPr>
            </w:pPr>
            <w:r>
              <w:rPr>
                <w:lang w:val="en-US"/>
              </w:rPr>
              <w:t>NA</w:t>
            </w:r>
          </w:p>
        </w:tc>
        <w:tc>
          <w:tcPr>
            <w:tcW w:w="953" w:type="pct"/>
            <w:vAlign w:val="bottom"/>
          </w:tcPr>
          <w:p w14:paraId="2DBA5352" w14:textId="013E8717" w:rsidR="006D3202" w:rsidRDefault="0031435B">
            <w:pPr>
              <w:spacing w:before="0" w:after="0"/>
              <w:jc w:val="right"/>
              <w:rPr>
                <w:lang w:val="en-US"/>
              </w:rPr>
            </w:pPr>
            <w:r>
              <w:rPr>
                <w:lang w:val="en-US"/>
              </w:rPr>
              <w:t>Dominant</w:t>
            </w:r>
          </w:p>
        </w:tc>
      </w:tr>
      <w:tr w:rsidR="0031435B" w:rsidRPr="002F1CBE" w14:paraId="75FE18CA" w14:textId="77777777" w:rsidTr="00A00B39">
        <w:tc>
          <w:tcPr>
            <w:tcW w:w="828" w:type="pct"/>
            <w:vMerge w:val="restart"/>
            <w:shd w:val="clear" w:color="auto" w:fill="auto"/>
          </w:tcPr>
          <w:p w14:paraId="2881ACB7" w14:textId="56D121B2" w:rsidR="0031435B" w:rsidRDefault="0031435B" w:rsidP="006D3202">
            <w:pPr>
              <w:pStyle w:val="Tabletext0"/>
              <w:rPr>
                <w:b/>
                <w:szCs w:val="22"/>
                <w:lang w:val="en-US"/>
              </w:rPr>
            </w:pPr>
            <w:r>
              <w:rPr>
                <w:b/>
                <w:szCs w:val="22"/>
                <w:lang w:val="en-US"/>
              </w:rPr>
              <w:t xml:space="preserve">Atezolizumab </w:t>
            </w:r>
            <w:r w:rsidR="000F49C4">
              <w:rPr>
                <w:b/>
                <w:szCs w:val="22"/>
                <w:lang w:val="en-US"/>
              </w:rPr>
              <w:t>ToT and PFS settings</w:t>
            </w:r>
          </w:p>
        </w:tc>
        <w:tc>
          <w:tcPr>
            <w:tcW w:w="715" w:type="pct"/>
            <w:vMerge w:val="restart"/>
            <w:shd w:val="clear" w:color="auto" w:fill="auto"/>
          </w:tcPr>
          <w:p w14:paraId="66E63A05" w14:textId="77777777" w:rsidR="0031435B" w:rsidRDefault="0031435B" w:rsidP="006D3202">
            <w:pPr>
              <w:pStyle w:val="Tabletext0"/>
              <w:rPr>
                <w:szCs w:val="22"/>
                <w:lang w:val="en-US"/>
              </w:rPr>
            </w:pPr>
            <w:r>
              <w:rPr>
                <w:szCs w:val="22"/>
                <w:lang w:val="en-US"/>
              </w:rPr>
              <w:t>ToT based on naïve IMvigor data.</w:t>
            </w:r>
          </w:p>
          <w:p w14:paraId="58031CFB" w14:textId="77777777" w:rsidR="0031435B" w:rsidRDefault="0031435B" w:rsidP="006D3202">
            <w:pPr>
              <w:pStyle w:val="Tabletext0"/>
              <w:rPr>
                <w:szCs w:val="22"/>
                <w:lang w:val="en-US"/>
              </w:rPr>
            </w:pPr>
            <w:r>
              <w:rPr>
                <w:szCs w:val="22"/>
                <w:lang w:val="en-US"/>
              </w:rPr>
              <w:t>No PFS.</w:t>
            </w:r>
          </w:p>
          <w:p w14:paraId="11CBA5ED" w14:textId="003767B2" w:rsidR="0031435B" w:rsidRDefault="0031435B" w:rsidP="006D3202">
            <w:pPr>
              <w:pStyle w:val="Tabletext0"/>
              <w:rPr>
                <w:szCs w:val="22"/>
                <w:lang w:val="en-US"/>
              </w:rPr>
            </w:pPr>
            <w:r>
              <w:rPr>
                <w:szCs w:val="22"/>
                <w:lang w:val="en-US"/>
              </w:rPr>
              <w:t>Disease management based on TTD</w:t>
            </w:r>
          </w:p>
        </w:tc>
        <w:tc>
          <w:tcPr>
            <w:tcW w:w="1473" w:type="pct"/>
            <w:shd w:val="clear" w:color="auto" w:fill="auto"/>
          </w:tcPr>
          <w:p w14:paraId="18B663DE" w14:textId="77777777" w:rsidR="0031435B" w:rsidRDefault="0031435B" w:rsidP="006D3202">
            <w:pPr>
              <w:pStyle w:val="Tabletext0"/>
              <w:rPr>
                <w:szCs w:val="22"/>
                <w:lang w:val="en-US"/>
              </w:rPr>
            </w:pPr>
            <w:r>
              <w:rPr>
                <w:szCs w:val="22"/>
                <w:lang w:val="en-US"/>
              </w:rPr>
              <w:t>ToT based on cox HR</w:t>
            </w:r>
          </w:p>
          <w:p w14:paraId="374FBEBA" w14:textId="77777777" w:rsidR="0031435B" w:rsidRDefault="0031435B" w:rsidP="006D3202">
            <w:pPr>
              <w:pStyle w:val="Tabletext0"/>
              <w:rPr>
                <w:szCs w:val="22"/>
                <w:lang w:val="en-US"/>
              </w:rPr>
            </w:pPr>
            <w:r>
              <w:rPr>
                <w:szCs w:val="22"/>
                <w:lang w:val="en-US"/>
              </w:rPr>
              <w:t>No PFS</w:t>
            </w:r>
          </w:p>
          <w:p w14:paraId="4CA9267A" w14:textId="1311954B" w:rsidR="0031435B" w:rsidRDefault="0031435B" w:rsidP="006D3202">
            <w:pPr>
              <w:pStyle w:val="Tabletext0"/>
              <w:rPr>
                <w:szCs w:val="22"/>
                <w:lang w:val="en-US"/>
              </w:rPr>
            </w:pPr>
            <w:r>
              <w:rPr>
                <w:szCs w:val="22"/>
                <w:lang w:val="en-US"/>
              </w:rPr>
              <w:t>Disease management based on TTD</w:t>
            </w:r>
          </w:p>
        </w:tc>
        <w:tc>
          <w:tcPr>
            <w:tcW w:w="1031" w:type="pct"/>
            <w:shd w:val="clear" w:color="auto" w:fill="auto"/>
            <w:vAlign w:val="bottom"/>
          </w:tcPr>
          <w:p w14:paraId="1035E4B3" w14:textId="23576932" w:rsidR="0031435B" w:rsidRDefault="0031435B" w:rsidP="0058642F">
            <w:pPr>
              <w:spacing w:before="0" w:after="0"/>
              <w:jc w:val="right"/>
              <w:rPr>
                <w:lang w:val="en-US"/>
              </w:rPr>
            </w:pPr>
            <w:r>
              <w:rPr>
                <w:lang w:val="en-US"/>
              </w:rPr>
              <w:t>NA</w:t>
            </w:r>
          </w:p>
        </w:tc>
        <w:tc>
          <w:tcPr>
            <w:tcW w:w="953" w:type="pct"/>
            <w:vAlign w:val="bottom"/>
          </w:tcPr>
          <w:p w14:paraId="7E935A5A" w14:textId="60377434" w:rsidR="0031435B" w:rsidDel="0031435B" w:rsidRDefault="0031435B">
            <w:pPr>
              <w:spacing w:before="0" w:after="0"/>
              <w:jc w:val="right"/>
              <w:rPr>
                <w:lang w:val="en-US"/>
              </w:rPr>
            </w:pPr>
            <w:r>
              <w:rPr>
                <w:lang w:val="en-US"/>
              </w:rPr>
              <w:t>60,089</w:t>
            </w:r>
          </w:p>
        </w:tc>
      </w:tr>
      <w:tr w:rsidR="0031435B" w:rsidRPr="002F1CBE" w14:paraId="6839A479" w14:textId="77777777" w:rsidTr="00A00B39">
        <w:tc>
          <w:tcPr>
            <w:tcW w:w="828" w:type="pct"/>
            <w:vMerge/>
            <w:shd w:val="clear" w:color="auto" w:fill="auto"/>
          </w:tcPr>
          <w:p w14:paraId="0EF5E684" w14:textId="77777777" w:rsidR="0031435B" w:rsidRDefault="0031435B" w:rsidP="006D3202">
            <w:pPr>
              <w:pStyle w:val="Tabletext0"/>
              <w:rPr>
                <w:b/>
                <w:szCs w:val="22"/>
                <w:lang w:val="en-US"/>
              </w:rPr>
            </w:pPr>
          </w:p>
        </w:tc>
        <w:tc>
          <w:tcPr>
            <w:tcW w:w="715" w:type="pct"/>
            <w:vMerge/>
            <w:shd w:val="clear" w:color="auto" w:fill="auto"/>
          </w:tcPr>
          <w:p w14:paraId="0A98FEDE" w14:textId="77777777" w:rsidR="0031435B" w:rsidRDefault="0031435B" w:rsidP="006D3202">
            <w:pPr>
              <w:pStyle w:val="Tabletext0"/>
              <w:rPr>
                <w:szCs w:val="22"/>
                <w:lang w:val="en-US"/>
              </w:rPr>
            </w:pPr>
          </w:p>
        </w:tc>
        <w:tc>
          <w:tcPr>
            <w:tcW w:w="1473" w:type="pct"/>
            <w:shd w:val="clear" w:color="auto" w:fill="auto"/>
          </w:tcPr>
          <w:p w14:paraId="752B8C31" w14:textId="77777777" w:rsidR="0031435B" w:rsidRDefault="0031435B" w:rsidP="006D3202">
            <w:pPr>
              <w:pStyle w:val="Tabletext0"/>
              <w:rPr>
                <w:szCs w:val="22"/>
                <w:lang w:val="en-US"/>
              </w:rPr>
            </w:pPr>
            <w:r>
              <w:rPr>
                <w:szCs w:val="22"/>
                <w:lang w:val="en-US"/>
              </w:rPr>
              <w:t>ToT based on naïve IMvigor data.</w:t>
            </w:r>
          </w:p>
          <w:p w14:paraId="71B6C0C4" w14:textId="77777777" w:rsidR="0031435B" w:rsidRDefault="0031435B" w:rsidP="006D3202">
            <w:pPr>
              <w:pStyle w:val="Tabletext0"/>
              <w:rPr>
                <w:szCs w:val="22"/>
                <w:lang w:val="en-US"/>
              </w:rPr>
            </w:pPr>
            <w:r>
              <w:rPr>
                <w:szCs w:val="22"/>
                <w:lang w:val="en-US"/>
              </w:rPr>
              <w:t>PFS based on cox HR (OS vs PFS) 2.28</w:t>
            </w:r>
          </w:p>
          <w:p w14:paraId="2A7644DF" w14:textId="0F1E2FD2" w:rsidR="0031435B" w:rsidRDefault="0031435B" w:rsidP="006D3202">
            <w:pPr>
              <w:pStyle w:val="Tabletext0"/>
              <w:rPr>
                <w:szCs w:val="22"/>
                <w:lang w:val="en-US"/>
              </w:rPr>
            </w:pPr>
            <w:r>
              <w:rPr>
                <w:szCs w:val="22"/>
                <w:lang w:val="en-US"/>
              </w:rPr>
              <w:t>Disease management based on progression.</w:t>
            </w:r>
          </w:p>
        </w:tc>
        <w:tc>
          <w:tcPr>
            <w:tcW w:w="1031" w:type="pct"/>
            <w:shd w:val="clear" w:color="auto" w:fill="auto"/>
            <w:vAlign w:val="bottom"/>
          </w:tcPr>
          <w:p w14:paraId="163CD7A9" w14:textId="111B356A" w:rsidR="0031435B" w:rsidRDefault="0031435B" w:rsidP="0058642F">
            <w:pPr>
              <w:spacing w:before="0" w:after="0"/>
              <w:jc w:val="right"/>
              <w:rPr>
                <w:lang w:val="en-US"/>
              </w:rPr>
            </w:pPr>
            <w:r>
              <w:rPr>
                <w:lang w:val="en-US"/>
              </w:rPr>
              <w:t>NA</w:t>
            </w:r>
          </w:p>
        </w:tc>
        <w:tc>
          <w:tcPr>
            <w:tcW w:w="953" w:type="pct"/>
            <w:vAlign w:val="bottom"/>
          </w:tcPr>
          <w:p w14:paraId="372A2E29" w14:textId="47C75DDE" w:rsidR="0031435B" w:rsidDel="0031435B" w:rsidRDefault="0031435B">
            <w:pPr>
              <w:spacing w:before="0" w:after="0"/>
              <w:jc w:val="right"/>
              <w:rPr>
                <w:lang w:val="en-US"/>
              </w:rPr>
            </w:pPr>
            <w:r>
              <w:rPr>
                <w:lang w:val="en-US"/>
              </w:rPr>
              <w:t>Dominant</w:t>
            </w:r>
          </w:p>
        </w:tc>
      </w:tr>
      <w:tr w:rsidR="0031435B" w:rsidRPr="002F1CBE" w14:paraId="77CFFB80" w14:textId="77777777" w:rsidTr="00A00B39">
        <w:tc>
          <w:tcPr>
            <w:tcW w:w="828" w:type="pct"/>
            <w:vMerge/>
            <w:shd w:val="clear" w:color="auto" w:fill="auto"/>
          </w:tcPr>
          <w:p w14:paraId="1D694CD5" w14:textId="77777777" w:rsidR="0031435B" w:rsidRDefault="0031435B" w:rsidP="006D3202">
            <w:pPr>
              <w:pStyle w:val="Tabletext0"/>
              <w:rPr>
                <w:b/>
                <w:szCs w:val="22"/>
                <w:lang w:val="en-US"/>
              </w:rPr>
            </w:pPr>
          </w:p>
        </w:tc>
        <w:tc>
          <w:tcPr>
            <w:tcW w:w="715" w:type="pct"/>
            <w:vMerge/>
            <w:shd w:val="clear" w:color="auto" w:fill="auto"/>
          </w:tcPr>
          <w:p w14:paraId="6BB54471" w14:textId="77777777" w:rsidR="0031435B" w:rsidRDefault="0031435B" w:rsidP="006D3202">
            <w:pPr>
              <w:pStyle w:val="Tabletext0"/>
              <w:rPr>
                <w:szCs w:val="22"/>
                <w:lang w:val="en-US"/>
              </w:rPr>
            </w:pPr>
          </w:p>
        </w:tc>
        <w:tc>
          <w:tcPr>
            <w:tcW w:w="1473" w:type="pct"/>
            <w:shd w:val="clear" w:color="auto" w:fill="auto"/>
          </w:tcPr>
          <w:p w14:paraId="5B822271" w14:textId="3F6A2A12" w:rsidR="0031435B" w:rsidRDefault="0031435B" w:rsidP="0031435B">
            <w:pPr>
              <w:pStyle w:val="Tabletext0"/>
              <w:rPr>
                <w:szCs w:val="22"/>
                <w:lang w:val="en-US"/>
              </w:rPr>
            </w:pPr>
            <w:r>
              <w:rPr>
                <w:szCs w:val="22"/>
                <w:lang w:val="en-US"/>
              </w:rPr>
              <w:t>ToT based on cox HR (ToT vs OS) 2.16.</w:t>
            </w:r>
          </w:p>
          <w:p w14:paraId="2A702CA2" w14:textId="77777777" w:rsidR="0031435B" w:rsidRDefault="0031435B" w:rsidP="0031435B">
            <w:pPr>
              <w:pStyle w:val="Tabletext0"/>
              <w:rPr>
                <w:szCs w:val="22"/>
                <w:lang w:val="en-US"/>
              </w:rPr>
            </w:pPr>
            <w:r>
              <w:rPr>
                <w:szCs w:val="22"/>
                <w:lang w:val="en-US"/>
              </w:rPr>
              <w:t>PFS based on cox HR (OS vs PFS) 2.28</w:t>
            </w:r>
          </w:p>
          <w:p w14:paraId="240FA4AE" w14:textId="2C6D1127" w:rsidR="0031435B" w:rsidRDefault="0031435B" w:rsidP="0031435B">
            <w:pPr>
              <w:pStyle w:val="Tabletext0"/>
              <w:rPr>
                <w:szCs w:val="22"/>
                <w:lang w:val="en-US"/>
              </w:rPr>
            </w:pPr>
            <w:r>
              <w:rPr>
                <w:szCs w:val="22"/>
                <w:lang w:val="en-US"/>
              </w:rPr>
              <w:t>Disease management based on progression.</w:t>
            </w:r>
          </w:p>
        </w:tc>
        <w:tc>
          <w:tcPr>
            <w:tcW w:w="1031" w:type="pct"/>
            <w:shd w:val="clear" w:color="auto" w:fill="auto"/>
            <w:vAlign w:val="bottom"/>
          </w:tcPr>
          <w:p w14:paraId="072D63FB" w14:textId="450A725F" w:rsidR="0031435B" w:rsidRDefault="0031435B" w:rsidP="0058642F">
            <w:pPr>
              <w:spacing w:before="0" w:after="0"/>
              <w:jc w:val="right"/>
              <w:rPr>
                <w:lang w:val="en-US"/>
              </w:rPr>
            </w:pPr>
            <w:r>
              <w:rPr>
                <w:lang w:val="en-US"/>
              </w:rPr>
              <w:t>NA</w:t>
            </w:r>
          </w:p>
        </w:tc>
        <w:tc>
          <w:tcPr>
            <w:tcW w:w="953" w:type="pct"/>
            <w:vAlign w:val="bottom"/>
          </w:tcPr>
          <w:p w14:paraId="73615392" w14:textId="3BB395AC" w:rsidR="0031435B" w:rsidDel="0031435B" w:rsidRDefault="0031435B">
            <w:pPr>
              <w:spacing w:before="0" w:after="0"/>
              <w:jc w:val="right"/>
              <w:rPr>
                <w:lang w:val="en-US"/>
              </w:rPr>
            </w:pPr>
            <w:r>
              <w:rPr>
                <w:lang w:val="en-US"/>
              </w:rPr>
              <w:t>51,334</w:t>
            </w:r>
          </w:p>
        </w:tc>
      </w:tr>
      <w:tr w:rsidR="006D3202" w:rsidRPr="002F1CBE" w14:paraId="2AD47BED" w14:textId="7311E722" w:rsidTr="006D3202">
        <w:tc>
          <w:tcPr>
            <w:tcW w:w="5000" w:type="pct"/>
            <w:gridSpan w:val="5"/>
            <w:shd w:val="clear" w:color="auto" w:fill="auto"/>
          </w:tcPr>
          <w:p w14:paraId="32AF0658" w14:textId="2702F191" w:rsidR="006D3202" w:rsidRPr="002F1CBE" w:rsidRDefault="006D3202" w:rsidP="006D3202">
            <w:pPr>
              <w:pStyle w:val="Legend"/>
              <w:rPr>
                <w:lang w:val="en-US"/>
              </w:rPr>
            </w:pPr>
            <w:r w:rsidRPr="002F1CBE">
              <w:rPr>
                <w:b/>
                <w:lang w:val="en-US"/>
              </w:rPr>
              <w:t>Key:</w:t>
            </w:r>
            <w:r w:rsidRPr="002F1CBE">
              <w:rPr>
                <w:lang w:val="en-US"/>
              </w:rPr>
              <w:t xml:space="preserve"> chemo, chemotherapy; EUR, Euro;</w:t>
            </w:r>
            <w:r>
              <w:rPr>
                <w:lang w:val="en-US"/>
              </w:rPr>
              <w:t xml:space="preserve"> HR, hazard ratio;</w:t>
            </w:r>
            <w:r w:rsidRPr="002F1CBE">
              <w:rPr>
                <w:lang w:val="en-US"/>
              </w:rPr>
              <w:t xml:space="preserve"> ICER, incremental cost-effectiveness ratio; IPCW, inverse probability of censoring weights; </w:t>
            </w:r>
            <w:r>
              <w:rPr>
                <w:lang w:val="en-US"/>
              </w:rPr>
              <w:t xml:space="preserve">MAIC, match-adjusted indirect comparison; NMA, network meta-analysis; </w:t>
            </w:r>
            <w:r w:rsidRPr="002F1CBE">
              <w:rPr>
                <w:lang w:val="en-US"/>
              </w:rPr>
              <w:t>OS, overall survival; PFS, progression-free survival; pembro, pembrolizumab; QALY, quality-adjusted life year; RPSFT, rank preserving structural failure time; ToT, time on treatment</w:t>
            </w:r>
            <w:r w:rsidR="0031435B">
              <w:rPr>
                <w:lang w:val="en-US"/>
              </w:rPr>
              <w:t>; TTD, time to death</w:t>
            </w:r>
            <w:r w:rsidRPr="002F1CBE">
              <w:rPr>
                <w:lang w:val="en-US"/>
              </w:rPr>
              <w:t>.</w:t>
            </w:r>
          </w:p>
          <w:p w14:paraId="10DCF77E" w14:textId="7F93273F" w:rsidR="006D3202" w:rsidRPr="002F1CBE" w:rsidRDefault="006D3202" w:rsidP="006D3202">
            <w:pPr>
              <w:pStyle w:val="Legend"/>
              <w:rPr>
                <w:b/>
                <w:lang w:val="en-US"/>
              </w:rPr>
            </w:pPr>
            <w:r w:rsidRPr="002F1CBE">
              <w:rPr>
                <w:b/>
                <w:lang w:val="en-US"/>
              </w:rPr>
              <w:t>Notes:</w:t>
            </w:r>
            <w:r>
              <w:rPr>
                <w:b/>
                <w:lang w:val="en-US"/>
              </w:rPr>
              <w:t xml:space="preserve"> </w:t>
            </w:r>
            <w:r w:rsidRPr="00233F4B">
              <w:rPr>
                <w:lang w:val="en-US"/>
              </w:rPr>
              <w:t>*Adjusts utility values in line with general population natural decline with age</w:t>
            </w:r>
            <w:r w:rsidRPr="002F1CBE">
              <w:rPr>
                <w:lang w:val="en-US"/>
              </w:rPr>
              <w:t xml:space="preserve">. </w:t>
            </w:r>
          </w:p>
        </w:tc>
      </w:tr>
    </w:tbl>
    <w:p w14:paraId="501636BB" w14:textId="77777777" w:rsidR="00B41BBB" w:rsidRDefault="00B41BBB" w:rsidP="00C40109">
      <w:pPr>
        <w:rPr>
          <w:lang w:val="en-US"/>
        </w:rPr>
        <w:sectPr w:rsidR="00B41BBB" w:rsidSect="00B00D97">
          <w:pgSz w:w="11906" w:h="16838"/>
          <w:pgMar w:top="2835" w:right="1134" w:bottom="1134" w:left="1134" w:header="1984" w:footer="567" w:gutter="0"/>
          <w:cols w:space="708"/>
          <w:docGrid w:linePitch="360"/>
        </w:sectPr>
      </w:pPr>
    </w:p>
    <w:p w14:paraId="2FB5EB0C" w14:textId="74E20376" w:rsidR="004F3A36" w:rsidRDefault="00CF7369" w:rsidP="00CF6D9E">
      <w:pPr>
        <w:pStyle w:val="Heading3"/>
        <w:rPr>
          <w:lang w:val="en-US"/>
        </w:rPr>
      </w:pPr>
      <w:r>
        <w:rPr>
          <w:lang w:val="en-US"/>
        </w:rPr>
        <w:lastRenderedPageBreak/>
        <w:t>Comparison of different approaches to OS and PFS from the literature</w:t>
      </w:r>
      <w:r w:rsidR="00CF6D9E">
        <w:rPr>
          <w:lang w:val="en-US"/>
        </w:rPr>
        <w:t xml:space="preserve"> vs model base case</w:t>
      </w:r>
    </w:p>
    <w:p w14:paraId="447F462C" w14:textId="0E928588" w:rsidR="00CF6D9E" w:rsidRDefault="006D1497" w:rsidP="00CF6D9E">
      <w:pPr>
        <w:pStyle w:val="Caption"/>
      </w:pPr>
      <w:r>
        <w:t xml:space="preserve">Supplementary </w:t>
      </w:r>
      <w:r w:rsidR="00CF6D9E">
        <w:t xml:space="preserve">Figure </w:t>
      </w:r>
      <w:r w:rsidR="00C7436B">
        <w:rPr>
          <w:noProof/>
        </w:rPr>
        <w:fldChar w:fldCharType="begin"/>
      </w:r>
      <w:r w:rsidR="00C7436B">
        <w:rPr>
          <w:noProof/>
        </w:rPr>
        <w:instrText xml:space="preserve"> SEQ Figure \* ARABIC </w:instrText>
      </w:r>
      <w:r w:rsidR="00C7436B">
        <w:rPr>
          <w:noProof/>
        </w:rPr>
        <w:fldChar w:fldCharType="separate"/>
      </w:r>
      <w:r w:rsidR="00483494">
        <w:rPr>
          <w:noProof/>
        </w:rPr>
        <w:t>10</w:t>
      </w:r>
      <w:r w:rsidR="00C7436B">
        <w:rPr>
          <w:noProof/>
        </w:rPr>
        <w:fldChar w:fldCharType="end"/>
      </w:r>
      <w:r w:rsidR="00CF6D9E">
        <w:t xml:space="preserve">: Pembrolizumab OS: </w:t>
      </w:r>
      <w:r w:rsidR="005036E4">
        <w:t xml:space="preserve"> base case </w:t>
      </w:r>
      <w:r w:rsidR="00127C71">
        <w:t xml:space="preserve">in model </w:t>
      </w:r>
      <w:r w:rsidR="005036E4">
        <w:t>vs literature</w:t>
      </w:r>
    </w:p>
    <w:p w14:paraId="5726599B" w14:textId="0DAB6C8D" w:rsidR="00CF6D9E" w:rsidRDefault="004A0F28" w:rsidP="00CF6D9E">
      <w:pPr>
        <w:rPr>
          <w:lang w:val="en-US"/>
        </w:rPr>
      </w:pPr>
      <w:r>
        <w:rPr>
          <w:noProof/>
          <w:lang w:val="en-US"/>
        </w:rPr>
        <w:drawing>
          <wp:inline distT="0" distB="0" distL="0" distR="0" wp14:anchorId="42B49A9C" wp14:editId="5B19F3D1">
            <wp:extent cx="5712460" cy="32556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2460" cy="3255645"/>
                    </a:xfrm>
                    <a:prstGeom prst="rect">
                      <a:avLst/>
                    </a:prstGeom>
                    <a:noFill/>
                  </pic:spPr>
                </pic:pic>
              </a:graphicData>
            </a:graphic>
          </wp:inline>
        </w:drawing>
      </w:r>
    </w:p>
    <w:p w14:paraId="4998A52E" w14:textId="0FF8E4E2" w:rsidR="00CF6D9E" w:rsidRDefault="00CF6D9E" w:rsidP="00CF6D9E">
      <w:pPr>
        <w:pStyle w:val="Legend"/>
        <w:rPr>
          <w:lang w:val="en-US"/>
        </w:rPr>
      </w:pPr>
      <w:r w:rsidRPr="00CF6D9E">
        <w:rPr>
          <w:b/>
          <w:lang w:val="en-US"/>
        </w:rPr>
        <w:t>Key:</w:t>
      </w:r>
      <w:r>
        <w:rPr>
          <w:lang w:val="en-US"/>
        </w:rPr>
        <w:t xml:space="preserve"> KM, Kaplan-Meier; OS, overall survival</w:t>
      </w:r>
    </w:p>
    <w:p w14:paraId="5A715CA9" w14:textId="6D1ECD79" w:rsidR="00CF7369" w:rsidRDefault="00CF7369" w:rsidP="00CF6D9E">
      <w:pPr>
        <w:pStyle w:val="Legend"/>
        <w:rPr>
          <w:lang w:val="en-US"/>
        </w:rPr>
      </w:pPr>
      <w:r w:rsidRPr="00233F4B">
        <w:rPr>
          <w:b/>
          <w:lang w:val="en-US"/>
        </w:rPr>
        <w:t>Note:</w:t>
      </w:r>
      <w:r>
        <w:rPr>
          <w:lang w:val="en-US"/>
        </w:rPr>
        <w:t xml:space="preserve"> Criss et al base case (exponential one-piece); Sarfaty et al base case (Weibull one-piece); Model base case (log-logistic piece-wise)</w:t>
      </w:r>
    </w:p>
    <w:p w14:paraId="7BA82EF1" w14:textId="26197B04" w:rsidR="00946C8A" w:rsidRDefault="006D1497" w:rsidP="00946C8A">
      <w:pPr>
        <w:pStyle w:val="Caption"/>
      </w:pPr>
      <w:r>
        <w:t xml:space="preserve">Supplementary </w:t>
      </w:r>
      <w:r w:rsidR="00946C8A">
        <w:t xml:space="preserve">Figure </w:t>
      </w:r>
      <w:r w:rsidR="00C7436B">
        <w:rPr>
          <w:noProof/>
        </w:rPr>
        <w:fldChar w:fldCharType="begin"/>
      </w:r>
      <w:r w:rsidR="00C7436B">
        <w:rPr>
          <w:noProof/>
        </w:rPr>
        <w:instrText xml:space="preserve"> SEQ Figure \* ARABIC </w:instrText>
      </w:r>
      <w:r w:rsidR="00C7436B">
        <w:rPr>
          <w:noProof/>
        </w:rPr>
        <w:fldChar w:fldCharType="separate"/>
      </w:r>
      <w:r w:rsidR="00483494">
        <w:rPr>
          <w:noProof/>
        </w:rPr>
        <w:t>11</w:t>
      </w:r>
      <w:r w:rsidR="00C7436B">
        <w:rPr>
          <w:noProof/>
        </w:rPr>
        <w:fldChar w:fldCharType="end"/>
      </w:r>
      <w:r w:rsidR="00946C8A">
        <w:t xml:space="preserve">: </w:t>
      </w:r>
      <w:r w:rsidR="00D71305">
        <w:t>Pembrolizumab</w:t>
      </w:r>
      <w:r w:rsidR="00946C8A">
        <w:t xml:space="preserve"> PFS:</w:t>
      </w:r>
      <w:r w:rsidR="005036E4">
        <w:t xml:space="preserve"> base case</w:t>
      </w:r>
      <w:r w:rsidR="00127C71">
        <w:t xml:space="preserve"> in model</w:t>
      </w:r>
      <w:r w:rsidR="005036E4">
        <w:t xml:space="preserve"> vs literature</w:t>
      </w:r>
    </w:p>
    <w:p w14:paraId="5A78D032" w14:textId="72F4ABB2" w:rsidR="00D71305" w:rsidRDefault="004A0F28" w:rsidP="00D71305">
      <w:r>
        <w:rPr>
          <w:noProof/>
        </w:rPr>
        <w:drawing>
          <wp:inline distT="0" distB="0" distL="0" distR="0" wp14:anchorId="59588B9B" wp14:editId="019958EA">
            <wp:extent cx="5651500" cy="333502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1500" cy="3335020"/>
                    </a:xfrm>
                    <a:prstGeom prst="rect">
                      <a:avLst/>
                    </a:prstGeom>
                    <a:noFill/>
                  </pic:spPr>
                </pic:pic>
              </a:graphicData>
            </a:graphic>
          </wp:inline>
        </w:drawing>
      </w:r>
    </w:p>
    <w:p w14:paraId="5A1EDFFC" w14:textId="55415055" w:rsidR="00D71305" w:rsidRDefault="00D71305" w:rsidP="00933057">
      <w:pPr>
        <w:pStyle w:val="Legend"/>
        <w:rPr>
          <w:lang w:val="en-US"/>
        </w:rPr>
      </w:pPr>
      <w:r w:rsidRPr="00CF6D9E">
        <w:rPr>
          <w:b/>
          <w:lang w:val="en-US"/>
        </w:rPr>
        <w:t>Key:</w:t>
      </w:r>
      <w:r>
        <w:rPr>
          <w:lang w:val="en-US"/>
        </w:rPr>
        <w:t xml:space="preserve"> KM, Kaplan-Meier; PFS, progression-free survival</w:t>
      </w:r>
    </w:p>
    <w:p w14:paraId="45B3B0FC" w14:textId="0A780549" w:rsidR="005036E4" w:rsidRPr="00933057" w:rsidRDefault="005036E4" w:rsidP="00933057">
      <w:pPr>
        <w:pStyle w:val="Legend"/>
        <w:rPr>
          <w:lang w:val="en-US"/>
        </w:rPr>
      </w:pPr>
      <w:r w:rsidRPr="00233F4B">
        <w:rPr>
          <w:b/>
          <w:lang w:val="en-US"/>
        </w:rPr>
        <w:lastRenderedPageBreak/>
        <w:t>Note</w:t>
      </w:r>
      <w:r>
        <w:rPr>
          <w:lang w:val="en-US"/>
        </w:rPr>
        <w:t xml:space="preserve">: </w:t>
      </w:r>
      <w:r>
        <w:t>Criss et al base case (exponential one-piece); Sarfaty et al base case (Weibull one-piece); model base case (log-logistic piece-wise)</w:t>
      </w:r>
    </w:p>
    <w:p w14:paraId="40C52D3C" w14:textId="77777777" w:rsidR="00B41BBB" w:rsidRDefault="00B41BBB" w:rsidP="00C40109">
      <w:pPr>
        <w:rPr>
          <w:lang w:val="en-US"/>
        </w:rPr>
        <w:sectPr w:rsidR="00B41BBB" w:rsidSect="00EC669A">
          <w:pgSz w:w="11906" w:h="16838"/>
          <w:pgMar w:top="720" w:right="720" w:bottom="720" w:left="720" w:header="1984" w:footer="567" w:gutter="0"/>
          <w:cols w:space="708"/>
          <w:docGrid w:linePitch="360"/>
        </w:sectPr>
      </w:pPr>
    </w:p>
    <w:p w14:paraId="7388A089" w14:textId="609069D8" w:rsidR="00EC1D80" w:rsidRPr="002F1CBE" w:rsidRDefault="00EC1D80" w:rsidP="00EC1D80">
      <w:pPr>
        <w:pStyle w:val="Heading2"/>
        <w:rPr>
          <w:lang w:val="en-US"/>
        </w:rPr>
      </w:pPr>
      <w:r w:rsidRPr="002F1CBE">
        <w:rPr>
          <w:lang w:val="en-US"/>
        </w:rPr>
        <w:lastRenderedPageBreak/>
        <w:t>References</w:t>
      </w:r>
    </w:p>
    <w:p w14:paraId="7DB0DD49" w14:textId="6DD6711E" w:rsidR="00E74CCA" w:rsidRPr="00E74CCA" w:rsidRDefault="00AC2318" w:rsidP="00E74CCA">
      <w:pPr>
        <w:pStyle w:val="EndNoteBibliography"/>
        <w:spacing w:after="0"/>
        <w:ind w:left="720" w:hanging="720"/>
      </w:pPr>
      <w:r w:rsidRPr="002F1CBE">
        <w:rPr>
          <w:noProof w:val="0"/>
          <w:lang w:val="en-US"/>
        </w:rPr>
        <w:fldChar w:fldCharType="begin"/>
      </w:r>
      <w:r w:rsidRPr="002F1CBE">
        <w:rPr>
          <w:noProof w:val="0"/>
          <w:lang w:val="en-US"/>
        </w:rPr>
        <w:instrText xml:space="preserve"> ADDIN EN.REFLIST </w:instrText>
      </w:r>
      <w:r w:rsidRPr="002F1CBE">
        <w:rPr>
          <w:noProof w:val="0"/>
          <w:lang w:val="en-US"/>
        </w:rPr>
        <w:fldChar w:fldCharType="separate"/>
      </w:r>
      <w:r w:rsidR="00E74CCA" w:rsidRPr="00E74CCA">
        <w:t>1.</w:t>
      </w:r>
      <w:r w:rsidR="00E74CCA" w:rsidRPr="00E74CCA">
        <w:tab/>
        <w:t xml:space="preserve">Institute for Clinical and Economic Review (ICER). ICER's Reference Case for Economic Evaluations: Principles and Rationale 2018 [May 2019]. Available from: </w:t>
      </w:r>
      <w:hyperlink r:id="rId31" w:history="1">
        <w:r w:rsidR="00E74CCA" w:rsidRPr="00E74CCA">
          <w:rPr>
            <w:rStyle w:val="Hyperlink"/>
          </w:rPr>
          <w:t>https://icer-review.org/wp-content/uploads/2018/07/ICER_Reference_Case_July-2018.pdf</w:t>
        </w:r>
      </w:hyperlink>
    </w:p>
    <w:p w14:paraId="2C242C77" w14:textId="0179884E" w:rsidR="00E74CCA" w:rsidRPr="00E74CCA" w:rsidRDefault="00E74CCA" w:rsidP="00E74CCA">
      <w:pPr>
        <w:pStyle w:val="EndNoteBibliography"/>
        <w:spacing w:after="0"/>
        <w:ind w:left="720" w:hanging="720"/>
      </w:pPr>
      <w:r w:rsidRPr="00E74CCA">
        <w:t>2.</w:t>
      </w:r>
      <w:r w:rsidRPr="00E74CCA">
        <w:tab/>
        <w:t xml:space="preserve">DMD America. AnalySource Suite of Drug Pricing Services. 2018 [January 2019]. Available from: </w:t>
      </w:r>
      <w:hyperlink r:id="rId32" w:history="1">
        <w:r w:rsidRPr="00E74CCA">
          <w:rPr>
            <w:rStyle w:val="Hyperlink"/>
          </w:rPr>
          <w:t>https://www.analysource.com/about.html</w:t>
        </w:r>
      </w:hyperlink>
    </w:p>
    <w:p w14:paraId="31F84D50" w14:textId="0A6E2C38" w:rsidR="00E74CCA" w:rsidRPr="00E74CCA" w:rsidRDefault="00E74CCA" w:rsidP="00E74CCA">
      <w:pPr>
        <w:pStyle w:val="EndNoteBibliography"/>
        <w:spacing w:after="0"/>
        <w:ind w:left="720" w:hanging="720"/>
      </w:pPr>
      <w:r w:rsidRPr="00E74CCA">
        <w:t>3.</w:t>
      </w:r>
      <w:r w:rsidRPr="00E74CCA">
        <w:tab/>
        <w:t xml:space="preserve">Centers for Medicare &amp; Medicaid Services. Physician Fee Schedule Search 2018 [10 May 2018]. Available from: </w:t>
      </w:r>
      <w:hyperlink r:id="rId33" w:history="1">
        <w:r w:rsidRPr="00E74CCA">
          <w:rPr>
            <w:rStyle w:val="Hyperlink"/>
          </w:rPr>
          <w:t>https://www.cms.gov/apps/physician-fee-schedule/search/search-criteria.aspx</w:t>
        </w:r>
      </w:hyperlink>
    </w:p>
    <w:p w14:paraId="143C7E2E" w14:textId="76D2601A" w:rsidR="00E74CCA" w:rsidRPr="00E74CCA" w:rsidRDefault="00E74CCA" w:rsidP="00E74CCA">
      <w:pPr>
        <w:pStyle w:val="EndNoteBibliography"/>
        <w:spacing w:after="0"/>
        <w:ind w:left="720" w:hanging="720"/>
      </w:pPr>
      <w:r w:rsidRPr="00E74CCA">
        <w:t>4.</w:t>
      </w:r>
      <w:r w:rsidRPr="00E74CCA">
        <w:tab/>
        <w:t xml:space="preserve">Centers for Medicare &amp; Medicaid Services. ASP Drug Pricing Files 2018 [10 May 2018]. Available from: </w:t>
      </w:r>
      <w:hyperlink r:id="rId34" w:history="1">
        <w:r w:rsidRPr="00E74CCA">
          <w:rPr>
            <w:rStyle w:val="Hyperlink"/>
          </w:rPr>
          <w:t>https://www.cms.gov/Medicare/Medicare-Fee-for-Service-Part-B-Drugs/McrPartBDrugAvgSalesPrice/2018ASPFiles.html</w:t>
        </w:r>
      </w:hyperlink>
    </w:p>
    <w:p w14:paraId="68D402C5" w14:textId="77777777" w:rsidR="00E74CCA" w:rsidRPr="00E74CCA" w:rsidRDefault="00E74CCA" w:rsidP="00E74CCA">
      <w:pPr>
        <w:pStyle w:val="EndNoteBibliography"/>
        <w:spacing w:after="0"/>
        <w:ind w:left="720" w:hanging="720"/>
      </w:pPr>
      <w:r w:rsidRPr="00E74CCA">
        <w:t>5.</w:t>
      </w:r>
      <w:r w:rsidRPr="00E74CCA">
        <w:tab/>
        <w:t>Zhong Y, Li H, He J, et al. C17 Pattern of Disease Management Costs for Advanced Bladder Cancer Patients Receiving Chemotherapy. AMCP Managed Care &amp; Speciality Pharamacy Annual Meeting. San Diego, California US; 2019.</w:t>
      </w:r>
    </w:p>
    <w:p w14:paraId="680A860F" w14:textId="77777777" w:rsidR="00E74CCA" w:rsidRPr="00E74CCA" w:rsidRDefault="00E74CCA" w:rsidP="00E74CCA">
      <w:pPr>
        <w:pStyle w:val="EndNoteBibliography"/>
        <w:spacing w:after="0"/>
        <w:ind w:left="720" w:hanging="720"/>
      </w:pPr>
      <w:r w:rsidRPr="00E74CCA">
        <w:t>6.</w:t>
      </w:r>
      <w:r w:rsidRPr="00E74CCA">
        <w:tab/>
        <w:t>Powles T, Duran I, van der Heijden MS, et al. Atezolizumab versus chemotherapy in patients with platinum-treated locally advanced or metastatic urothelial carcinoma (IMvigor211): a multicentre, open-label, phase 3 randomised controlled trial. Lancet (London, England). 2018 Feb 24;391(10122):748-757.</w:t>
      </w:r>
    </w:p>
    <w:p w14:paraId="1F44137C" w14:textId="16ED925D" w:rsidR="00E74CCA" w:rsidRPr="00E74CCA" w:rsidRDefault="00E74CCA" w:rsidP="00E74CCA">
      <w:pPr>
        <w:pStyle w:val="EndNoteBibliography"/>
        <w:spacing w:after="0"/>
        <w:ind w:left="720" w:hanging="720"/>
      </w:pPr>
      <w:r w:rsidRPr="00E74CCA">
        <w:t>7.</w:t>
      </w:r>
      <w:r w:rsidRPr="00E74CCA">
        <w:tab/>
        <w:t xml:space="preserve">Agency for Healthcare Research and Quality. Healthcare Cost and Utilization Project [10 May 2018]. Available from: </w:t>
      </w:r>
      <w:hyperlink r:id="rId35" w:anchor="setup" w:history="1">
        <w:r w:rsidRPr="00E74CCA">
          <w:rPr>
            <w:rStyle w:val="Hyperlink"/>
          </w:rPr>
          <w:t>https://hcupnet.ahrq.gov/#setup</w:t>
        </w:r>
      </w:hyperlink>
    </w:p>
    <w:p w14:paraId="71983F67" w14:textId="77777777" w:rsidR="00E74CCA" w:rsidRPr="00E74CCA" w:rsidRDefault="00E74CCA" w:rsidP="00E74CCA">
      <w:pPr>
        <w:pStyle w:val="EndNoteBibliography"/>
        <w:spacing w:after="0"/>
        <w:ind w:left="720" w:hanging="720"/>
      </w:pPr>
      <w:r w:rsidRPr="00E74CCA">
        <w:t>8.</w:t>
      </w:r>
      <w:r w:rsidRPr="00E74CCA">
        <w:tab/>
        <w:t>Gelb D, Zhong Y, Perini R, et al. [P786] Network meta-analysis (NMA) and matching-adjusted indirect comparison (MAIC) of pembrolizumab (pembro) versus atezolizumab (atezo) for second-line (2L) locally advanced/metastatic urothelial carcinoma (mUC). Society of Immunotherapy of Cancer. National Harbour, Maryland: US; 2019.</w:t>
      </w:r>
    </w:p>
    <w:p w14:paraId="67A5674B" w14:textId="77777777" w:rsidR="00E74CCA" w:rsidRPr="00E74CCA" w:rsidRDefault="00E74CCA" w:rsidP="00E74CCA">
      <w:pPr>
        <w:pStyle w:val="EndNoteBibliography"/>
        <w:spacing w:after="0"/>
        <w:ind w:left="720" w:hanging="720"/>
      </w:pPr>
      <w:r w:rsidRPr="00E74CCA">
        <w:t>9.</w:t>
      </w:r>
      <w:r w:rsidRPr="00E74CCA">
        <w:tab/>
        <w:t>Kamat AM, Cao Z, He J, et al. Costs of Care for Patients Receiving Chemotherapy for Advanced Bladder Cancer. Journal of Clinical Pathways. 2017;3(10):63-70.</w:t>
      </w:r>
    </w:p>
    <w:p w14:paraId="37A19B83" w14:textId="77777777" w:rsidR="00E74CCA" w:rsidRPr="00E74CCA" w:rsidRDefault="00E74CCA" w:rsidP="00E74CCA">
      <w:pPr>
        <w:pStyle w:val="EndNoteBibliography"/>
        <w:spacing w:after="0"/>
        <w:ind w:left="720" w:hanging="720"/>
      </w:pPr>
      <w:r w:rsidRPr="00E74CCA">
        <w:t>10.</w:t>
      </w:r>
      <w:r w:rsidRPr="00E74CCA">
        <w:tab/>
        <w:t>Choueiri TK, Ross RW, Jacobus S, et al. Double-blind, randomized trial of docetaxel plus vandetanib versus docetaxel plus placebo in platinum-pretreated metastatic urothelial cancer. Journal of clinical oncology : official journal of the American Society of Clinical Oncology. 2012 Feb 10;30(5):507-12.</w:t>
      </w:r>
    </w:p>
    <w:p w14:paraId="711EE898" w14:textId="77777777" w:rsidR="00E74CCA" w:rsidRPr="00E74CCA" w:rsidRDefault="00E74CCA" w:rsidP="00E74CCA">
      <w:pPr>
        <w:pStyle w:val="EndNoteBibliography"/>
        <w:spacing w:after="0"/>
        <w:ind w:left="720" w:hanging="720"/>
      </w:pPr>
      <w:r w:rsidRPr="00E74CCA">
        <w:t>11.</w:t>
      </w:r>
      <w:r w:rsidRPr="00E74CCA">
        <w:tab/>
        <w:t>Petrylak DP, Tagawa ST, Kohli M, et al. Docetaxel As Monotherapy or Combined With Ramucirumab or Icrucumab in Second-Line Treatment for Locally Advanced or Metastatic Urothelial Carcinoma: An Open-Label, Three-Arm, Randomized Controlled Phase II Trial. Journal of clinical oncology : official journal of the American Society of Clinical Oncology. 2016 May 1;34(13):1500-9.</w:t>
      </w:r>
    </w:p>
    <w:p w14:paraId="7EE80E5C" w14:textId="77777777" w:rsidR="00E74CCA" w:rsidRPr="00E74CCA" w:rsidRDefault="00E74CCA" w:rsidP="00E74CCA">
      <w:pPr>
        <w:pStyle w:val="EndNoteBibliography"/>
        <w:spacing w:after="0"/>
        <w:ind w:left="720" w:hanging="720"/>
      </w:pPr>
      <w:r w:rsidRPr="00E74CCA">
        <w:t>12.</w:t>
      </w:r>
      <w:r w:rsidRPr="00E74CCA">
        <w:tab/>
        <w:t xml:space="preserve">Drummond MF, Sculpher MJ, Claxton K, Stoddart, G. L.,, et al. Methods for the Economic Evaluation of Health Care Programmes. 4th ed. Oxford: Oxford University Press; 2015. </w:t>
      </w:r>
    </w:p>
    <w:p w14:paraId="56BA6962" w14:textId="77777777" w:rsidR="00E74CCA" w:rsidRPr="00E74CCA" w:rsidRDefault="00E74CCA" w:rsidP="00E74CCA">
      <w:pPr>
        <w:pStyle w:val="EndNoteBibliography"/>
        <w:spacing w:after="0"/>
        <w:ind w:left="720" w:hanging="720"/>
      </w:pPr>
      <w:r w:rsidRPr="00E74CCA">
        <w:lastRenderedPageBreak/>
        <w:t>13.</w:t>
      </w:r>
      <w:r w:rsidRPr="00E74CCA">
        <w:tab/>
        <w:t>Criss SD, Weaver DT, Sheehan DF, et al. Effect of PD-L1 testing on the cost-effectiveness and budget impact of pembrolizumab for advanced urothelial carcinoma of the bladder in the United States. Urologic oncology. 2019 Mar;37(3):180.e11-180.e18.</w:t>
      </w:r>
    </w:p>
    <w:p w14:paraId="1B0C0D99" w14:textId="77777777" w:rsidR="00E74CCA" w:rsidRPr="00E74CCA" w:rsidRDefault="00E74CCA" w:rsidP="00E74CCA">
      <w:pPr>
        <w:pStyle w:val="EndNoteBibliography"/>
        <w:ind w:left="720" w:hanging="720"/>
      </w:pPr>
      <w:r w:rsidRPr="00E74CCA">
        <w:t>14.</w:t>
      </w:r>
      <w:r w:rsidRPr="00E74CCA">
        <w:tab/>
        <w:t>Sarfaty M, Hall PS, Chan KKW, et al. Cost-effectiveness of Pembrolizumab in Second-line Advanced Bladder Cancer. European urology. 2018 Jul;74(1):57-62.</w:t>
      </w:r>
    </w:p>
    <w:p w14:paraId="016A7387" w14:textId="5C15A04C" w:rsidR="00C40109" w:rsidRPr="002F1CBE" w:rsidRDefault="00AC2318" w:rsidP="00C40109">
      <w:pPr>
        <w:rPr>
          <w:lang w:val="en-US"/>
        </w:rPr>
      </w:pPr>
      <w:r w:rsidRPr="002F1CBE">
        <w:rPr>
          <w:lang w:val="en-US"/>
        </w:rPr>
        <w:fldChar w:fldCharType="end"/>
      </w:r>
    </w:p>
    <w:sectPr w:rsidR="00C40109" w:rsidRPr="002F1CBE" w:rsidSect="00B00D97">
      <w:pgSz w:w="11906" w:h="16838"/>
      <w:pgMar w:top="2835" w:right="1134" w:bottom="1134" w:left="1134" w:header="19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9C80" w14:textId="77777777" w:rsidR="002623BE" w:rsidRDefault="002623BE" w:rsidP="009F10B7">
      <w:r>
        <w:separator/>
      </w:r>
    </w:p>
  </w:endnote>
  <w:endnote w:type="continuationSeparator" w:id="0">
    <w:p w14:paraId="440DB344" w14:textId="77777777" w:rsidR="002623BE" w:rsidRDefault="002623BE" w:rsidP="009F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2BDF" w14:textId="77777777" w:rsidR="00CF2D23" w:rsidRDefault="00CF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89C5" w14:textId="5F872808" w:rsidR="00C4043D" w:rsidRPr="00A874F9" w:rsidRDefault="00CF2D23" w:rsidP="00A874F9">
    <w:pPr>
      <w:pStyle w:val="Footer"/>
      <w:tabs>
        <w:tab w:val="clear" w:pos="9026"/>
        <w:tab w:val="right" w:pos="9639"/>
      </w:tabs>
    </w:pPr>
    <w:r>
      <w:rPr>
        <w:noProof/>
      </w:rPr>
      <mc:AlternateContent>
        <mc:Choice Requires="wps">
          <w:drawing>
            <wp:anchor distT="0" distB="0" distL="114300" distR="114300" simplePos="0" relativeHeight="251663360" behindDoc="0" locked="0" layoutInCell="0" allowOverlap="1" wp14:anchorId="5F179259" wp14:editId="075BDEEB">
              <wp:simplePos x="0" y="0"/>
              <wp:positionH relativeFrom="page">
                <wp:align>left</wp:align>
              </wp:positionH>
              <wp:positionV relativeFrom="page">
                <wp:align>bottom</wp:align>
              </wp:positionV>
              <wp:extent cx="7772400" cy="457200"/>
              <wp:effectExtent l="0" t="0" r="0" b="0"/>
              <wp:wrapNone/>
              <wp:docPr id="8" name="MSIPCMf01441379316f86d26b243ca" descr="{&quot;HashCode&quot;:156159341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B2ABD3" w14:textId="337D910F" w:rsidR="00CF2D23" w:rsidRPr="00CF2D23" w:rsidRDefault="00CF2D23" w:rsidP="00CF2D23">
                          <w:pPr>
                            <w:spacing w:before="0" w:after="0"/>
                            <w:rPr>
                              <w:rFonts w:ascii="Rockwell" w:hAnsi="Rockwell"/>
                              <w:color w:val="0078D7"/>
                              <w:sz w:val="18"/>
                            </w:rPr>
                          </w:pPr>
                          <w:r w:rsidRPr="00CF2D23">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F179259" id="_x0000_t202" coordsize="21600,21600" o:spt="202" path="m,l,21600r21600,l21600,xe">
              <v:stroke joinstyle="miter"/>
              <v:path gradientshapeok="t" o:connecttype="rect"/>
            </v:shapetype>
            <v:shape id="MSIPCMf01441379316f86d26b243ca" o:spid="_x0000_s1026" type="#_x0000_t202" alt="{&quot;HashCode&quot;:1561593418,&quot;Height&quot;:9999999.0,&quot;Width&quot;:9999999.0,&quot;Placement&quot;:&quot;Footer&quot;,&quot;Index&quot;:&quot;Primary&quot;,&quot;Section&quot;:1,&quot;Top&quot;:0.0,&quot;Left&quot;:0.0}" style="position:absolute;margin-left:0;margin-top:0;width:612pt;height:36pt;z-index:25166336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" o:allowincell="f" filled="f" stroked="f" strokeweight=".5pt">
              <v:fill o:detectmouseclick="t"/>
              <v:textbox inset="20pt,0,,0">
                <w:txbxContent>
                  <w:p w14:paraId="4AB2ABD3" w14:textId="337D910F" w:rsidR="00CF2D23" w:rsidRPr="00CF2D23" w:rsidRDefault="00CF2D23" w:rsidP="00CF2D23">
                    <w:pPr>
                      <w:spacing w:before="0" w:after="0"/>
                      <w:rPr>
                        <w:rFonts w:ascii="Rockwell" w:hAnsi="Rockwell"/>
                        <w:color w:val="0078D7"/>
                        <w:sz w:val="18"/>
                      </w:rPr>
                    </w:pPr>
                    <w:r w:rsidRPr="00CF2D23">
                      <w:rPr>
                        <w:rFonts w:ascii="Rockwell" w:hAnsi="Rockwell"/>
                        <w:color w:val="0078D7"/>
                        <w:sz w:val="18"/>
                      </w:rPr>
                      <w:t>Information Classification: General</w:t>
                    </w:r>
                  </w:p>
                </w:txbxContent>
              </v:textbox>
              <w10:wrap anchorx="page" anchory="page"/>
            </v:shape>
          </w:pict>
        </mc:Fallback>
      </mc:AlternateContent>
    </w:r>
    <w:r w:rsidR="00C4043D">
      <w:rPr>
        <w:noProof/>
      </w:rPr>
      <w:drawing>
        <wp:anchor distT="0" distB="0" distL="114300" distR="114300" simplePos="0" relativeHeight="251662336" behindDoc="0" locked="0" layoutInCell="1" allowOverlap="1" wp14:anchorId="591FD0BF" wp14:editId="62AB399C">
          <wp:simplePos x="0" y="0"/>
          <wp:positionH relativeFrom="margin">
            <wp:align>left</wp:align>
          </wp:positionH>
          <wp:positionV relativeFrom="bottomMargin">
            <wp:posOffset>63500</wp:posOffset>
          </wp:positionV>
          <wp:extent cx="807720" cy="325755"/>
          <wp:effectExtent l="0" t="0" r="0" b="0"/>
          <wp:wrapNone/>
          <wp:docPr id="3"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r w:rsidR="00C4043D">
      <w:rPr>
        <w:noProof/>
      </w:rPr>
      <w:drawing>
        <wp:anchor distT="0" distB="0" distL="114300" distR="114300" simplePos="0" relativeHeight="251661312" behindDoc="0" locked="0" layoutInCell="1" allowOverlap="1" wp14:anchorId="21A15453" wp14:editId="3AEAE52B">
          <wp:simplePos x="0" y="0"/>
          <wp:positionH relativeFrom="margin">
            <wp:align>left</wp:align>
          </wp:positionH>
          <wp:positionV relativeFrom="bottomMargin">
            <wp:posOffset>63500</wp:posOffset>
          </wp:positionV>
          <wp:extent cx="807720" cy="325755"/>
          <wp:effectExtent l="0" t="0" r="0" b="0"/>
          <wp:wrapNone/>
          <wp:docPr id="14"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r w:rsidR="00C4043D">
      <w:rPr>
        <w:noProof/>
      </w:rPr>
      <w:drawing>
        <wp:anchor distT="0" distB="0" distL="114300" distR="114300" simplePos="0" relativeHeight="251660288" behindDoc="0" locked="0" layoutInCell="1" allowOverlap="1" wp14:anchorId="47E501E5" wp14:editId="5A42814B">
          <wp:simplePos x="0" y="0"/>
          <wp:positionH relativeFrom="margin">
            <wp:align>left</wp:align>
          </wp:positionH>
          <wp:positionV relativeFrom="bottomMargin">
            <wp:posOffset>63500</wp:posOffset>
          </wp:positionV>
          <wp:extent cx="807720" cy="325755"/>
          <wp:effectExtent l="0" t="0" r="0" b="0"/>
          <wp:wrapNone/>
          <wp:docPr id="10"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r w:rsidR="00C4043D">
      <w:rPr>
        <w:noProof/>
      </w:rPr>
      <w:drawing>
        <wp:anchor distT="0" distB="0" distL="114300" distR="114300" simplePos="0" relativeHeight="251659264" behindDoc="0" locked="0" layoutInCell="1" allowOverlap="1" wp14:anchorId="4B33E133" wp14:editId="1275671F">
          <wp:simplePos x="0" y="0"/>
          <wp:positionH relativeFrom="margin">
            <wp:align>left</wp:align>
          </wp:positionH>
          <wp:positionV relativeFrom="bottomMargin">
            <wp:posOffset>63500</wp:posOffset>
          </wp:positionV>
          <wp:extent cx="807720" cy="325755"/>
          <wp:effectExtent l="0" t="0" r="0" b="0"/>
          <wp:wrapNone/>
          <wp:docPr id="4"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r w:rsidR="00C4043D">
      <w:tab/>
    </w:r>
    <w:r w:rsidR="00C4043D" w:rsidRPr="00A874F9">
      <w:tab/>
    </w:r>
    <w:sdt>
      <w:sdtPr>
        <w:id w:val="1406183919"/>
        <w:docPartObj>
          <w:docPartGallery w:val="Page Numbers (Top of Page)"/>
          <w:docPartUnique/>
        </w:docPartObj>
      </w:sdtPr>
      <w:sdtEndPr/>
      <w:sdtContent>
        <w:r w:rsidR="00C4043D" w:rsidRPr="00A874F9">
          <w:t xml:space="preserve">Page </w:t>
        </w:r>
        <w:r w:rsidR="00C4043D" w:rsidRPr="00A874F9">
          <w:fldChar w:fldCharType="begin"/>
        </w:r>
        <w:r w:rsidR="00C4043D" w:rsidRPr="00A874F9">
          <w:instrText xml:space="preserve"> PAGE </w:instrText>
        </w:r>
        <w:r w:rsidR="00C4043D" w:rsidRPr="00A874F9">
          <w:fldChar w:fldCharType="separate"/>
        </w:r>
        <w:r w:rsidR="00C4043D">
          <w:rPr>
            <w:noProof/>
          </w:rPr>
          <w:t>1</w:t>
        </w:r>
        <w:r w:rsidR="00C4043D" w:rsidRPr="00A874F9">
          <w:fldChar w:fldCharType="end"/>
        </w:r>
        <w:r w:rsidR="00C4043D" w:rsidRPr="00A874F9">
          <w:t xml:space="preserve"> of </w:t>
        </w:r>
        <w:r w:rsidR="00C4043D">
          <w:rPr>
            <w:noProof/>
          </w:rPr>
          <w:fldChar w:fldCharType="begin"/>
        </w:r>
        <w:r w:rsidR="00C4043D">
          <w:rPr>
            <w:noProof/>
          </w:rPr>
          <w:instrText xml:space="preserve"> NUMPAGES  </w:instrText>
        </w:r>
        <w:r w:rsidR="00C4043D">
          <w:rPr>
            <w:noProof/>
          </w:rPr>
          <w:fldChar w:fldCharType="separate"/>
        </w:r>
        <w:r w:rsidR="00C4043D">
          <w:rPr>
            <w:noProof/>
          </w:rPr>
          <w:t>1</w:t>
        </w:r>
        <w:r w:rsidR="00C4043D">
          <w:rPr>
            <w:noProof/>
          </w:rPr>
          <w:fldChar w:fldCharType="end"/>
        </w:r>
      </w:sdtContent>
    </w:sdt>
    <w:r w:rsidR="00C4043D">
      <w:rPr>
        <w:noProof/>
      </w:rPr>
      <w:drawing>
        <wp:anchor distT="0" distB="0" distL="114300" distR="114300" simplePos="0" relativeHeight="251658240" behindDoc="0" locked="0" layoutInCell="1" allowOverlap="1" wp14:anchorId="11D7505E" wp14:editId="05D40DA8">
          <wp:simplePos x="0" y="0"/>
          <wp:positionH relativeFrom="margin">
            <wp:align>left</wp:align>
          </wp:positionH>
          <wp:positionV relativeFrom="bottomMargin">
            <wp:posOffset>63500</wp:posOffset>
          </wp:positionV>
          <wp:extent cx="807720" cy="325755"/>
          <wp:effectExtent l="0" t="0" r="0" b="0"/>
          <wp:wrapNone/>
          <wp:docPr id="5"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FC07" w14:textId="77777777" w:rsidR="00CF2D23" w:rsidRDefault="00CF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F57AB" w14:textId="77777777" w:rsidR="002623BE" w:rsidRDefault="002623BE" w:rsidP="009F10B7">
      <w:r>
        <w:separator/>
      </w:r>
    </w:p>
  </w:footnote>
  <w:footnote w:type="continuationSeparator" w:id="0">
    <w:p w14:paraId="5AA7D815" w14:textId="77777777" w:rsidR="002623BE" w:rsidRDefault="002623BE" w:rsidP="009F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C950" w14:textId="77777777" w:rsidR="00CF2D23" w:rsidRDefault="00CF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8965" w14:textId="77777777" w:rsidR="00CF2D23" w:rsidRDefault="00CF2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499F" w14:textId="77777777" w:rsidR="00C4043D" w:rsidRPr="00D82E12" w:rsidRDefault="00C4043D" w:rsidP="00B72ACC">
    <w:r>
      <w:t xml:space="preserve">                                    </w:t>
    </w:r>
  </w:p>
  <w:p w14:paraId="62953F90" w14:textId="77777777" w:rsidR="00C4043D" w:rsidRDefault="00C4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9C2"/>
    <w:multiLevelType w:val="hybridMultilevel"/>
    <w:tmpl w:val="A1C6A824"/>
    <w:lvl w:ilvl="0" w:tplc="7F3A41DC">
      <w:start w:val="1"/>
      <w:numFmt w:val="decimal"/>
      <w:lvlText w:val="%1."/>
      <w:lvlJc w:val="left"/>
      <w:pPr>
        <w:ind w:left="6" w:hanging="360"/>
      </w:pPr>
      <w:rPr>
        <w:rFonts w:hint="default"/>
      </w:rPr>
    </w:lvl>
    <w:lvl w:ilvl="1" w:tplc="46548F68">
      <w:start w:val="1"/>
      <w:numFmt w:val="bullet"/>
      <w:lvlText w:val=""/>
      <w:lvlJc w:val="left"/>
      <w:pPr>
        <w:ind w:left="726" w:hanging="272"/>
      </w:pPr>
      <w:rPr>
        <w:rFonts w:ascii="Symbol" w:hAnsi="Symbol" w:hint="default"/>
      </w:r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 w15:restartNumberingAfterBreak="0">
    <w:nsid w:val="09C74CE0"/>
    <w:multiLevelType w:val="hybridMultilevel"/>
    <w:tmpl w:val="EA14AE66"/>
    <w:lvl w:ilvl="0" w:tplc="0809000B">
      <w:start w:val="3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37172"/>
    <w:multiLevelType w:val="hybridMultilevel"/>
    <w:tmpl w:val="C95A2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044668"/>
    <w:multiLevelType w:val="hybridMultilevel"/>
    <w:tmpl w:val="A08E0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06D06"/>
    <w:multiLevelType w:val="hybridMultilevel"/>
    <w:tmpl w:val="7F460B8A"/>
    <w:lvl w:ilvl="0" w:tplc="7F3A41DC">
      <w:start w:val="1"/>
      <w:numFmt w:val="decimal"/>
      <w:lvlText w:val="%1."/>
      <w:lvlJc w:val="left"/>
      <w:pPr>
        <w:ind w:left="6" w:hanging="360"/>
      </w:pPr>
      <w:rPr>
        <w:rFonts w:hint="default"/>
      </w:rPr>
    </w:lvl>
    <w:lvl w:ilvl="1" w:tplc="20D0393C">
      <w:start w:val="1"/>
      <w:numFmt w:val="lowerLetter"/>
      <w:pStyle w:val="Item2"/>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6" w15:restartNumberingAfterBreak="0">
    <w:nsid w:val="15E17FB4"/>
    <w:multiLevelType w:val="hybridMultilevel"/>
    <w:tmpl w:val="C0063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53A08"/>
    <w:multiLevelType w:val="hybridMultilevel"/>
    <w:tmpl w:val="425E7C80"/>
    <w:lvl w:ilvl="0" w:tplc="B338FBC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D11BA2"/>
    <w:multiLevelType w:val="hybridMultilevel"/>
    <w:tmpl w:val="BC28FE4E"/>
    <w:lvl w:ilvl="0" w:tplc="7F3A41DC">
      <w:start w:val="1"/>
      <w:numFmt w:val="decimal"/>
      <w:lvlText w:val="%1."/>
      <w:lvlJc w:val="left"/>
      <w:pPr>
        <w:ind w:left="6" w:hanging="360"/>
      </w:pPr>
      <w:rPr>
        <w:rFonts w:hint="default"/>
      </w:rPr>
    </w:lvl>
    <w:lvl w:ilvl="1" w:tplc="08090001">
      <w:start w:val="1"/>
      <w:numFmt w:val="bullet"/>
      <w:lvlText w:val=""/>
      <w:lvlJc w:val="left"/>
      <w:pPr>
        <w:ind w:left="726" w:hanging="360"/>
      </w:pPr>
      <w:rPr>
        <w:rFonts w:ascii="Symbol" w:hAnsi="Symbol" w:hint="default"/>
      </w:r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9" w15:restartNumberingAfterBreak="0">
    <w:nsid w:val="24DD6040"/>
    <w:multiLevelType w:val="hybridMultilevel"/>
    <w:tmpl w:val="79E81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94BF7"/>
    <w:multiLevelType w:val="hybridMultilevel"/>
    <w:tmpl w:val="0DD2878E"/>
    <w:lvl w:ilvl="0" w:tplc="D622685A">
      <w:start w:val="1"/>
      <w:numFmt w:val="bullet"/>
      <w:lvlText w:val="–"/>
      <w:lvlJc w:val="left"/>
      <w:pPr>
        <w:tabs>
          <w:tab w:val="num" w:pos="720"/>
        </w:tabs>
        <w:ind w:left="720" w:hanging="360"/>
      </w:pPr>
      <w:rPr>
        <w:rFonts w:ascii="Arial" w:hAnsi="Arial" w:hint="default"/>
      </w:rPr>
    </w:lvl>
    <w:lvl w:ilvl="1" w:tplc="AB0A52EC">
      <w:start w:val="1"/>
      <w:numFmt w:val="bullet"/>
      <w:lvlText w:val="–"/>
      <w:lvlJc w:val="left"/>
      <w:pPr>
        <w:tabs>
          <w:tab w:val="num" w:pos="1440"/>
        </w:tabs>
        <w:ind w:left="1440" w:hanging="360"/>
      </w:pPr>
      <w:rPr>
        <w:rFonts w:ascii="Arial" w:hAnsi="Arial" w:hint="default"/>
      </w:rPr>
    </w:lvl>
    <w:lvl w:ilvl="2" w:tplc="BDF62020" w:tentative="1">
      <w:start w:val="1"/>
      <w:numFmt w:val="bullet"/>
      <w:lvlText w:val="–"/>
      <w:lvlJc w:val="left"/>
      <w:pPr>
        <w:tabs>
          <w:tab w:val="num" w:pos="2160"/>
        </w:tabs>
        <w:ind w:left="2160" w:hanging="360"/>
      </w:pPr>
      <w:rPr>
        <w:rFonts w:ascii="Arial" w:hAnsi="Arial" w:hint="default"/>
      </w:rPr>
    </w:lvl>
    <w:lvl w:ilvl="3" w:tplc="EC7E2154" w:tentative="1">
      <w:start w:val="1"/>
      <w:numFmt w:val="bullet"/>
      <w:lvlText w:val="–"/>
      <w:lvlJc w:val="left"/>
      <w:pPr>
        <w:tabs>
          <w:tab w:val="num" w:pos="2880"/>
        </w:tabs>
        <w:ind w:left="2880" w:hanging="360"/>
      </w:pPr>
      <w:rPr>
        <w:rFonts w:ascii="Arial" w:hAnsi="Arial" w:hint="default"/>
      </w:rPr>
    </w:lvl>
    <w:lvl w:ilvl="4" w:tplc="1DA49268" w:tentative="1">
      <w:start w:val="1"/>
      <w:numFmt w:val="bullet"/>
      <w:lvlText w:val="–"/>
      <w:lvlJc w:val="left"/>
      <w:pPr>
        <w:tabs>
          <w:tab w:val="num" w:pos="3600"/>
        </w:tabs>
        <w:ind w:left="3600" w:hanging="360"/>
      </w:pPr>
      <w:rPr>
        <w:rFonts w:ascii="Arial" w:hAnsi="Arial" w:hint="default"/>
      </w:rPr>
    </w:lvl>
    <w:lvl w:ilvl="5" w:tplc="03E26572" w:tentative="1">
      <w:start w:val="1"/>
      <w:numFmt w:val="bullet"/>
      <w:lvlText w:val="–"/>
      <w:lvlJc w:val="left"/>
      <w:pPr>
        <w:tabs>
          <w:tab w:val="num" w:pos="4320"/>
        </w:tabs>
        <w:ind w:left="4320" w:hanging="360"/>
      </w:pPr>
      <w:rPr>
        <w:rFonts w:ascii="Arial" w:hAnsi="Arial" w:hint="default"/>
      </w:rPr>
    </w:lvl>
    <w:lvl w:ilvl="6" w:tplc="40F68590" w:tentative="1">
      <w:start w:val="1"/>
      <w:numFmt w:val="bullet"/>
      <w:lvlText w:val="–"/>
      <w:lvlJc w:val="left"/>
      <w:pPr>
        <w:tabs>
          <w:tab w:val="num" w:pos="5040"/>
        </w:tabs>
        <w:ind w:left="5040" w:hanging="360"/>
      </w:pPr>
      <w:rPr>
        <w:rFonts w:ascii="Arial" w:hAnsi="Arial" w:hint="default"/>
      </w:rPr>
    </w:lvl>
    <w:lvl w:ilvl="7" w:tplc="722A2AFC" w:tentative="1">
      <w:start w:val="1"/>
      <w:numFmt w:val="bullet"/>
      <w:lvlText w:val="–"/>
      <w:lvlJc w:val="left"/>
      <w:pPr>
        <w:tabs>
          <w:tab w:val="num" w:pos="5760"/>
        </w:tabs>
        <w:ind w:left="5760" w:hanging="360"/>
      </w:pPr>
      <w:rPr>
        <w:rFonts w:ascii="Arial" w:hAnsi="Arial" w:hint="default"/>
      </w:rPr>
    </w:lvl>
    <w:lvl w:ilvl="8" w:tplc="6A06EF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0B21ED"/>
    <w:multiLevelType w:val="hybridMultilevel"/>
    <w:tmpl w:val="613232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D459DD"/>
    <w:multiLevelType w:val="hybridMultilevel"/>
    <w:tmpl w:val="6CB26290"/>
    <w:lvl w:ilvl="0" w:tplc="AEA47CC6">
      <w:start w:val="1"/>
      <w:numFmt w:val="bullet"/>
      <w:lvlText w:val=""/>
      <w:lvlJc w:val="left"/>
      <w:pPr>
        <w:tabs>
          <w:tab w:val="num" w:pos="720"/>
        </w:tabs>
        <w:ind w:left="720" w:hanging="360"/>
      </w:pPr>
      <w:rPr>
        <w:rFonts w:ascii="Wingdings" w:hAnsi="Wingdings" w:hint="default"/>
      </w:rPr>
    </w:lvl>
    <w:lvl w:ilvl="1" w:tplc="43BE39BC" w:tentative="1">
      <w:start w:val="1"/>
      <w:numFmt w:val="bullet"/>
      <w:lvlText w:val=""/>
      <w:lvlJc w:val="left"/>
      <w:pPr>
        <w:tabs>
          <w:tab w:val="num" w:pos="1440"/>
        </w:tabs>
        <w:ind w:left="1440" w:hanging="360"/>
      </w:pPr>
      <w:rPr>
        <w:rFonts w:ascii="Wingdings" w:hAnsi="Wingdings" w:hint="default"/>
      </w:rPr>
    </w:lvl>
    <w:lvl w:ilvl="2" w:tplc="2EF83F0C">
      <w:start w:val="1"/>
      <w:numFmt w:val="bullet"/>
      <w:lvlText w:val=""/>
      <w:lvlJc w:val="left"/>
      <w:pPr>
        <w:tabs>
          <w:tab w:val="num" w:pos="2160"/>
        </w:tabs>
        <w:ind w:left="2160" w:hanging="360"/>
      </w:pPr>
      <w:rPr>
        <w:rFonts w:ascii="Wingdings" w:hAnsi="Wingdings" w:hint="default"/>
      </w:rPr>
    </w:lvl>
    <w:lvl w:ilvl="3" w:tplc="27E4D9B6" w:tentative="1">
      <w:start w:val="1"/>
      <w:numFmt w:val="bullet"/>
      <w:lvlText w:val=""/>
      <w:lvlJc w:val="left"/>
      <w:pPr>
        <w:tabs>
          <w:tab w:val="num" w:pos="2880"/>
        </w:tabs>
        <w:ind w:left="2880" w:hanging="360"/>
      </w:pPr>
      <w:rPr>
        <w:rFonts w:ascii="Wingdings" w:hAnsi="Wingdings" w:hint="default"/>
      </w:rPr>
    </w:lvl>
    <w:lvl w:ilvl="4" w:tplc="9C026BE4" w:tentative="1">
      <w:start w:val="1"/>
      <w:numFmt w:val="bullet"/>
      <w:lvlText w:val=""/>
      <w:lvlJc w:val="left"/>
      <w:pPr>
        <w:tabs>
          <w:tab w:val="num" w:pos="3600"/>
        </w:tabs>
        <w:ind w:left="3600" w:hanging="360"/>
      </w:pPr>
      <w:rPr>
        <w:rFonts w:ascii="Wingdings" w:hAnsi="Wingdings" w:hint="default"/>
      </w:rPr>
    </w:lvl>
    <w:lvl w:ilvl="5" w:tplc="A29A982C" w:tentative="1">
      <w:start w:val="1"/>
      <w:numFmt w:val="bullet"/>
      <w:lvlText w:val=""/>
      <w:lvlJc w:val="left"/>
      <w:pPr>
        <w:tabs>
          <w:tab w:val="num" w:pos="4320"/>
        </w:tabs>
        <w:ind w:left="4320" w:hanging="360"/>
      </w:pPr>
      <w:rPr>
        <w:rFonts w:ascii="Wingdings" w:hAnsi="Wingdings" w:hint="default"/>
      </w:rPr>
    </w:lvl>
    <w:lvl w:ilvl="6" w:tplc="43D21ADA" w:tentative="1">
      <w:start w:val="1"/>
      <w:numFmt w:val="bullet"/>
      <w:lvlText w:val=""/>
      <w:lvlJc w:val="left"/>
      <w:pPr>
        <w:tabs>
          <w:tab w:val="num" w:pos="5040"/>
        </w:tabs>
        <w:ind w:left="5040" w:hanging="360"/>
      </w:pPr>
      <w:rPr>
        <w:rFonts w:ascii="Wingdings" w:hAnsi="Wingdings" w:hint="default"/>
      </w:rPr>
    </w:lvl>
    <w:lvl w:ilvl="7" w:tplc="61E04F54" w:tentative="1">
      <w:start w:val="1"/>
      <w:numFmt w:val="bullet"/>
      <w:lvlText w:val=""/>
      <w:lvlJc w:val="left"/>
      <w:pPr>
        <w:tabs>
          <w:tab w:val="num" w:pos="5760"/>
        </w:tabs>
        <w:ind w:left="5760" w:hanging="360"/>
      </w:pPr>
      <w:rPr>
        <w:rFonts w:ascii="Wingdings" w:hAnsi="Wingdings" w:hint="default"/>
      </w:rPr>
    </w:lvl>
    <w:lvl w:ilvl="8" w:tplc="C0922E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42629"/>
    <w:multiLevelType w:val="hybridMultilevel"/>
    <w:tmpl w:val="B36CBA0E"/>
    <w:lvl w:ilvl="0" w:tplc="7F3A41DC">
      <w:start w:val="1"/>
      <w:numFmt w:val="decimal"/>
      <w:lvlText w:val="%1."/>
      <w:lvlJc w:val="left"/>
      <w:pPr>
        <w:ind w:left="6" w:hanging="360"/>
      </w:pPr>
      <w:rPr>
        <w:rFonts w:hint="default"/>
      </w:rPr>
    </w:lvl>
    <w:lvl w:ilvl="1" w:tplc="515CCD6A">
      <w:start w:val="1"/>
      <w:numFmt w:val="bullet"/>
      <w:pStyle w:val="BulletPoint1"/>
      <w:lvlText w:val=""/>
      <w:lvlJc w:val="left"/>
      <w:pPr>
        <w:ind w:left="726" w:hanging="159"/>
      </w:pPr>
      <w:rPr>
        <w:rFonts w:ascii="Symbol" w:hAnsi="Symbol" w:hint="default"/>
      </w:r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4" w15:restartNumberingAfterBreak="0">
    <w:nsid w:val="3A0A5F4F"/>
    <w:multiLevelType w:val="hybridMultilevel"/>
    <w:tmpl w:val="39A6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31791"/>
    <w:multiLevelType w:val="hybridMultilevel"/>
    <w:tmpl w:val="A7CE1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90929"/>
    <w:multiLevelType w:val="hybridMultilevel"/>
    <w:tmpl w:val="146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9440B"/>
    <w:multiLevelType w:val="hybridMultilevel"/>
    <w:tmpl w:val="15A6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07AFE"/>
    <w:multiLevelType w:val="hybridMultilevel"/>
    <w:tmpl w:val="548CF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9F3B1D"/>
    <w:multiLevelType w:val="hybridMultilevel"/>
    <w:tmpl w:val="FB70C390"/>
    <w:lvl w:ilvl="0" w:tplc="E3027322">
      <w:start w:val="1"/>
      <w:numFmt w:val="bullet"/>
      <w:lvlText w:val="–"/>
      <w:lvlJc w:val="left"/>
      <w:pPr>
        <w:tabs>
          <w:tab w:val="num" w:pos="720"/>
        </w:tabs>
        <w:ind w:left="720" w:hanging="360"/>
      </w:pPr>
      <w:rPr>
        <w:rFonts w:ascii="Arial" w:hAnsi="Arial" w:hint="default"/>
      </w:rPr>
    </w:lvl>
    <w:lvl w:ilvl="1" w:tplc="82F2139C">
      <w:start w:val="1"/>
      <w:numFmt w:val="bullet"/>
      <w:lvlText w:val="–"/>
      <w:lvlJc w:val="left"/>
      <w:pPr>
        <w:tabs>
          <w:tab w:val="num" w:pos="1440"/>
        </w:tabs>
        <w:ind w:left="1440" w:hanging="360"/>
      </w:pPr>
      <w:rPr>
        <w:rFonts w:ascii="Arial" w:hAnsi="Arial" w:hint="default"/>
      </w:rPr>
    </w:lvl>
    <w:lvl w:ilvl="2" w:tplc="885CC530" w:tentative="1">
      <w:start w:val="1"/>
      <w:numFmt w:val="bullet"/>
      <w:lvlText w:val="–"/>
      <w:lvlJc w:val="left"/>
      <w:pPr>
        <w:tabs>
          <w:tab w:val="num" w:pos="2160"/>
        </w:tabs>
        <w:ind w:left="2160" w:hanging="360"/>
      </w:pPr>
      <w:rPr>
        <w:rFonts w:ascii="Arial" w:hAnsi="Arial" w:hint="default"/>
      </w:rPr>
    </w:lvl>
    <w:lvl w:ilvl="3" w:tplc="47B8CD62" w:tentative="1">
      <w:start w:val="1"/>
      <w:numFmt w:val="bullet"/>
      <w:lvlText w:val="–"/>
      <w:lvlJc w:val="left"/>
      <w:pPr>
        <w:tabs>
          <w:tab w:val="num" w:pos="2880"/>
        </w:tabs>
        <w:ind w:left="2880" w:hanging="360"/>
      </w:pPr>
      <w:rPr>
        <w:rFonts w:ascii="Arial" w:hAnsi="Arial" w:hint="default"/>
      </w:rPr>
    </w:lvl>
    <w:lvl w:ilvl="4" w:tplc="C6E4B886" w:tentative="1">
      <w:start w:val="1"/>
      <w:numFmt w:val="bullet"/>
      <w:lvlText w:val="–"/>
      <w:lvlJc w:val="left"/>
      <w:pPr>
        <w:tabs>
          <w:tab w:val="num" w:pos="3600"/>
        </w:tabs>
        <w:ind w:left="3600" w:hanging="360"/>
      </w:pPr>
      <w:rPr>
        <w:rFonts w:ascii="Arial" w:hAnsi="Arial" w:hint="default"/>
      </w:rPr>
    </w:lvl>
    <w:lvl w:ilvl="5" w:tplc="783CF33C" w:tentative="1">
      <w:start w:val="1"/>
      <w:numFmt w:val="bullet"/>
      <w:lvlText w:val="–"/>
      <w:lvlJc w:val="left"/>
      <w:pPr>
        <w:tabs>
          <w:tab w:val="num" w:pos="4320"/>
        </w:tabs>
        <w:ind w:left="4320" w:hanging="360"/>
      </w:pPr>
      <w:rPr>
        <w:rFonts w:ascii="Arial" w:hAnsi="Arial" w:hint="default"/>
      </w:rPr>
    </w:lvl>
    <w:lvl w:ilvl="6" w:tplc="DDF21930" w:tentative="1">
      <w:start w:val="1"/>
      <w:numFmt w:val="bullet"/>
      <w:lvlText w:val="–"/>
      <w:lvlJc w:val="left"/>
      <w:pPr>
        <w:tabs>
          <w:tab w:val="num" w:pos="5040"/>
        </w:tabs>
        <w:ind w:left="5040" w:hanging="360"/>
      </w:pPr>
      <w:rPr>
        <w:rFonts w:ascii="Arial" w:hAnsi="Arial" w:hint="default"/>
      </w:rPr>
    </w:lvl>
    <w:lvl w:ilvl="7" w:tplc="B6881B8E" w:tentative="1">
      <w:start w:val="1"/>
      <w:numFmt w:val="bullet"/>
      <w:lvlText w:val="–"/>
      <w:lvlJc w:val="left"/>
      <w:pPr>
        <w:tabs>
          <w:tab w:val="num" w:pos="5760"/>
        </w:tabs>
        <w:ind w:left="5760" w:hanging="360"/>
      </w:pPr>
      <w:rPr>
        <w:rFonts w:ascii="Arial" w:hAnsi="Arial" w:hint="default"/>
      </w:rPr>
    </w:lvl>
    <w:lvl w:ilvl="8" w:tplc="735AAC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574A2E"/>
    <w:multiLevelType w:val="hybridMultilevel"/>
    <w:tmpl w:val="425E7C80"/>
    <w:lvl w:ilvl="0" w:tplc="B338FBC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F87359"/>
    <w:multiLevelType w:val="hybridMultilevel"/>
    <w:tmpl w:val="A3C67886"/>
    <w:lvl w:ilvl="0" w:tplc="8A80C1B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E5F312A"/>
    <w:multiLevelType w:val="hybridMultilevel"/>
    <w:tmpl w:val="E2546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00EDB"/>
    <w:multiLevelType w:val="hybridMultilevel"/>
    <w:tmpl w:val="2DFC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77D35"/>
    <w:multiLevelType w:val="hybridMultilevel"/>
    <w:tmpl w:val="07746E8E"/>
    <w:lvl w:ilvl="0" w:tplc="D0F866AE">
      <w:start w:val="1"/>
      <w:numFmt w:val="bullet"/>
      <w:lvlText w:val=""/>
      <w:lvlJc w:val="left"/>
      <w:pPr>
        <w:ind w:left="164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46B2741"/>
    <w:multiLevelType w:val="hybridMultilevel"/>
    <w:tmpl w:val="DC16ED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94564"/>
    <w:multiLevelType w:val="hybridMultilevel"/>
    <w:tmpl w:val="AC886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464711"/>
    <w:multiLevelType w:val="hybridMultilevel"/>
    <w:tmpl w:val="6E84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62627"/>
    <w:multiLevelType w:val="hybridMultilevel"/>
    <w:tmpl w:val="5B30A826"/>
    <w:lvl w:ilvl="0" w:tplc="37006A60">
      <w:start w:val="1"/>
      <w:numFmt w:val="decimal"/>
      <w:pStyle w:val="Item1"/>
      <w:lvlText w:val="%1."/>
      <w:lvlJc w:val="left"/>
      <w:pPr>
        <w:tabs>
          <w:tab w:val="num" w:pos="11"/>
        </w:tabs>
        <w:ind w:left="28" w:hanging="28"/>
      </w:pPr>
      <w:rPr>
        <w:rFonts w:hint="default"/>
      </w:rPr>
    </w:lvl>
    <w:lvl w:ilvl="1" w:tplc="20D0393C">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num w:numId="1">
    <w:abstractNumId w:val="1"/>
  </w:num>
  <w:num w:numId="2">
    <w:abstractNumId w:val="1"/>
  </w:num>
  <w:num w:numId="3">
    <w:abstractNumId w:val="1"/>
  </w:num>
  <w:num w:numId="4">
    <w:abstractNumId w:val="16"/>
  </w:num>
  <w:num w:numId="5">
    <w:abstractNumId w:val="5"/>
  </w:num>
  <w:num w:numId="6">
    <w:abstractNumId w:val="28"/>
  </w:num>
  <w:num w:numId="7">
    <w:abstractNumId w:val="14"/>
  </w:num>
  <w:num w:numId="8">
    <w:abstractNumId w:val="24"/>
  </w:num>
  <w:num w:numId="9">
    <w:abstractNumId w:val="8"/>
  </w:num>
  <w:num w:numId="10">
    <w:abstractNumId w:val="0"/>
  </w:num>
  <w:num w:numId="11">
    <w:abstractNumId w:val="13"/>
  </w:num>
  <w:num w:numId="12">
    <w:abstractNumId w:val="6"/>
  </w:num>
  <w:num w:numId="13">
    <w:abstractNumId w:val="22"/>
  </w:num>
  <w:num w:numId="14">
    <w:abstractNumId w:val="18"/>
  </w:num>
  <w:num w:numId="15">
    <w:abstractNumId w:val="4"/>
  </w:num>
  <w:num w:numId="16">
    <w:abstractNumId w:val="17"/>
  </w:num>
  <w:num w:numId="17">
    <w:abstractNumId w:val="21"/>
  </w:num>
  <w:num w:numId="18">
    <w:abstractNumId w:val="27"/>
  </w:num>
  <w:num w:numId="19">
    <w:abstractNumId w:val="11"/>
  </w:num>
  <w:num w:numId="20">
    <w:abstractNumId w:val="23"/>
  </w:num>
  <w:num w:numId="21">
    <w:abstractNumId w:val="19"/>
  </w:num>
  <w:num w:numId="22">
    <w:abstractNumId w:val="10"/>
  </w:num>
  <w:num w:numId="23">
    <w:abstractNumId w:val="3"/>
  </w:num>
  <w:num w:numId="24">
    <w:abstractNumId w:val="26"/>
  </w:num>
  <w:num w:numId="25">
    <w:abstractNumId w:val="12"/>
  </w:num>
  <w:num w:numId="26">
    <w:abstractNumId w:val="9"/>
  </w:num>
  <w:num w:numId="27">
    <w:abstractNumId w:val="15"/>
  </w:num>
  <w:num w:numId="28">
    <w:abstractNumId w:val="25"/>
  </w:num>
  <w:num w:numId="29">
    <w:abstractNumId w:val="20"/>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 (1)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0re5vpexw0fmexwr6x0t91xt9zt5dxfxvz&quot;&gt;2LGlobalBC&lt;record-ids&gt;&lt;item&gt;14&lt;/item&gt;&lt;item&gt;15&lt;/item&gt;&lt;item&gt;16&lt;/item&gt;&lt;item&gt;17&lt;/item&gt;&lt;item&gt;21&lt;/item&gt;&lt;item&gt;22&lt;/item&gt;&lt;item&gt;46&lt;/item&gt;&lt;item&gt;47&lt;/item&gt;&lt;item&gt;64&lt;/item&gt;&lt;item&gt;75&lt;/item&gt;&lt;item&gt;77&lt;/item&gt;&lt;item&gt;91&lt;/item&gt;&lt;item&gt;92&lt;/item&gt;&lt;item&gt;99&lt;/item&gt;&lt;/record-ids&gt;&lt;/item&gt;&lt;/Libraries&gt;"/>
  </w:docVars>
  <w:rsids>
    <w:rsidRoot w:val="009F10B7"/>
    <w:rsid w:val="00012351"/>
    <w:rsid w:val="000157D1"/>
    <w:rsid w:val="000240CA"/>
    <w:rsid w:val="000265EB"/>
    <w:rsid w:val="00026C5A"/>
    <w:rsid w:val="0003506B"/>
    <w:rsid w:val="00037820"/>
    <w:rsid w:val="00052E7F"/>
    <w:rsid w:val="00053ECA"/>
    <w:rsid w:val="00061150"/>
    <w:rsid w:val="00071942"/>
    <w:rsid w:val="00082E89"/>
    <w:rsid w:val="00082EA5"/>
    <w:rsid w:val="00092B78"/>
    <w:rsid w:val="000A2259"/>
    <w:rsid w:val="000A57EF"/>
    <w:rsid w:val="000A58A4"/>
    <w:rsid w:val="000B1F48"/>
    <w:rsid w:val="000C3D28"/>
    <w:rsid w:val="000C7C44"/>
    <w:rsid w:val="000E08C8"/>
    <w:rsid w:val="000E7A00"/>
    <w:rsid w:val="000F31B3"/>
    <w:rsid w:val="000F49C4"/>
    <w:rsid w:val="000F5F6C"/>
    <w:rsid w:val="000F6CB7"/>
    <w:rsid w:val="001071F4"/>
    <w:rsid w:val="00110F23"/>
    <w:rsid w:val="00114F04"/>
    <w:rsid w:val="0012199D"/>
    <w:rsid w:val="00122734"/>
    <w:rsid w:val="001239B5"/>
    <w:rsid w:val="00124797"/>
    <w:rsid w:val="00127C71"/>
    <w:rsid w:val="00131EBB"/>
    <w:rsid w:val="0013796A"/>
    <w:rsid w:val="0015376A"/>
    <w:rsid w:val="00162C9D"/>
    <w:rsid w:val="00163F0E"/>
    <w:rsid w:val="00171FF3"/>
    <w:rsid w:val="00175282"/>
    <w:rsid w:val="00190B75"/>
    <w:rsid w:val="0019220A"/>
    <w:rsid w:val="00197095"/>
    <w:rsid w:val="001A5206"/>
    <w:rsid w:val="001A6C98"/>
    <w:rsid w:val="001B1648"/>
    <w:rsid w:val="001D37AF"/>
    <w:rsid w:val="001E7052"/>
    <w:rsid w:val="001F12E8"/>
    <w:rsid w:val="00201147"/>
    <w:rsid w:val="00201927"/>
    <w:rsid w:val="00203045"/>
    <w:rsid w:val="00204579"/>
    <w:rsid w:val="00226186"/>
    <w:rsid w:val="0023014D"/>
    <w:rsid w:val="00233F4B"/>
    <w:rsid w:val="00241FD8"/>
    <w:rsid w:val="00242625"/>
    <w:rsid w:val="00244A6B"/>
    <w:rsid w:val="002511D9"/>
    <w:rsid w:val="002623BE"/>
    <w:rsid w:val="00266517"/>
    <w:rsid w:val="0027345D"/>
    <w:rsid w:val="002773D6"/>
    <w:rsid w:val="0028198F"/>
    <w:rsid w:val="00281D9C"/>
    <w:rsid w:val="002829DA"/>
    <w:rsid w:val="00286A6D"/>
    <w:rsid w:val="00292153"/>
    <w:rsid w:val="002937CD"/>
    <w:rsid w:val="002A4F8E"/>
    <w:rsid w:val="002A69A5"/>
    <w:rsid w:val="002C3BEB"/>
    <w:rsid w:val="002C5053"/>
    <w:rsid w:val="002C6603"/>
    <w:rsid w:val="002C66A8"/>
    <w:rsid w:val="002D031C"/>
    <w:rsid w:val="002D28EA"/>
    <w:rsid w:val="002E0CAD"/>
    <w:rsid w:val="002E1953"/>
    <w:rsid w:val="002E5614"/>
    <w:rsid w:val="002E60EE"/>
    <w:rsid w:val="002F0D8B"/>
    <w:rsid w:val="002F1CBE"/>
    <w:rsid w:val="002F46DF"/>
    <w:rsid w:val="002F798D"/>
    <w:rsid w:val="0030409A"/>
    <w:rsid w:val="003114A9"/>
    <w:rsid w:val="003140E7"/>
    <w:rsid w:val="0031435B"/>
    <w:rsid w:val="00321DBE"/>
    <w:rsid w:val="003220D6"/>
    <w:rsid w:val="00323238"/>
    <w:rsid w:val="003235AA"/>
    <w:rsid w:val="00332B61"/>
    <w:rsid w:val="00334131"/>
    <w:rsid w:val="00334582"/>
    <w:rsid w:val="00336B78"/>
    <w:rsid w:val="003435E1"/>
    <w:rsid w:val="00373755"/>
    <w:rsid w:val="0037542E"/>
    <w:rsid w:val="003772DB"/>
    <w:rsid w:val="00380ACB"/>
    <w:rsid w:val="00384981"/>
    <w:rsid w:val="0039504D"/>
    <w:rsid w:val="00395F79"/>
    <w:rsid w:val="00396ED3"/>
    <w:rsid w:val="003B0743"/>
    <w:rsid w:val="003C7871"/>
    <w:rsid w:val="003D5115"/>
    <w:rsid w:val="003D63CF"/>
    <w:rsid w:val="003D7A6B"/>
    <w:rsid w:val="003E6836"/>
    <w:rsid w:val="003F1CFB"/>
    <w:rsid w:val="003F5120"/>
    <w:rsid w:val="003F6826"/>
    <w:rsid w:val="004047B6"/>
    <w:rsid w:val="00421575"/>
    <w:rsid w:val="00422812"/>
    <w:rsid w:val="00426C3B"/>
    <w:rsid w:val="00441757"/>
    <w:rsid w:val="00445EFB"/>
    <w:rsid w:val="004462D3"/>
    <w:rsid w:val="00447832"/>
    <w:rsid w:val="00452998"/>
    <w:rsid w:val="00463148"/>
    <w:rsid w:val="004772C1"/>
    <w:rsid w:val="00483494"/>
    <w:rsid w:val="00493F6A"/>
    <w:rsid w:val="004A0756"/>
    <w:rsid w:val="004A0F28"/>
    <w:rsid w:val="004A263C"/>
    <w:rsid w:val="004A3396"/>
    <w:rsid w:val="004A39CA"/>
    <w:rsid w:val="004B12DA"/>
    <w:rsid w:val="004B191E"/>
    <w:rsid w:val="004B2AB7"/>
    <w:rsid w:val="004B3F3C"/>
    <w:rsid w:val="004B40A9"/>
    <w:rsid w:val="004B41DA"/>
    <w:rsid w:val="004C0003"/>
    <w:rsid w:val="004C406F"/>
    <w:rsid w:val="004C4F0A"/>
    <w:rsid w:val="004E0815"/>
    <w:rsid w:val="004E523B"/>
    <w:rsid w:val="004F14D1"/>
    <w:rsid w:val="004F2DD3"/>
    <w:rsid w:val="004F3A36"/>
    <w:rsid w:val="004F5C1A"/>
    <w:rsid w:val="0050152C"/>
    <w:rsid w:val="0050266F"/>
    <w:rsid w:val="00502FEF"/>
    <w:rsid w:val="005036E4"/>
    <w:rsid w:val="00520610"/>
    <w:rsid w:val="00531720"/>
    <w:rsid w:val="0053577F"/>
    <w:rsid w:val="00565D0E"/>
    <w:rsid w:val="0057018F"/>
    <w:rsid w:val="005702B4"/>
    <w:rsid w:val="00576A62"/>
    <w:rsid w:val="0058642F"/>
    <w:rsid w:val="00593110"/>
    <w:rsid w:val="005B7F4C"/>
    <w:rsid w:val="005C25EE"/>
    <w:rsid w:val="005C2BDB"/>
    <w:rsid w:val="005C3116"/>
    <w:rsid w:val="005E3714"/>
    <w:rsid w:val="005F6E94"/>
    <w:rsid w:val="00604A81"/>
    <w:rsid w:val="00605905"/>
    <w:rsid w:val="006064E7"/>
    <w:rsid w:val="00607875"/>
    <w:rsid w:val="00613D4D"/>
    <w:rsid w:val="0061536D"/>
    <w:rsid w:val="00615D15"/>
    <w:rsid w:val="006200E4"/>
    <w:rsid w:val="00620B51"/>
    <w:rsid w:val="0062215A"/>
    <w:rsid w:val="0062678C"/>
    <w:rsid w:val="00642B7F"/>
    <w:rsid w:val="0064543A"/>
    <w:rsid w:val="006523E7"/>
    <w:rsid w:val="00655C89"/>
    <w:rsid w:val="00655D9D"/>
    <w:rsid w:val="006735E3"/>
    <w:rsid w:val="00675E6B"/>
    <w:rsid w:val="0067721D"/>
    <w:rsid w:val="006916F1"/>
    <w:rsid w:val="006A0882"/>
    <w:rsid w:val="006A4C1F"/>
    <w:rsid w:val="006B11A7"/>
    <w:rsid w:val="006B5BE5"/>
    <w:rsid w:val="006C5959"/>
    <w:rsid w:val="006D1497"/>
    <w:rsid w:val="006D3202"/>
    <w:rsid w:val="006D7911"/>
    <w:rsid w:val="006E3234"/>
    <w:rsid w:val="006E7377"/>
    <w:rsid w:val="007123C5"/>
    <w:rsid w:val="00715CAC"/>
    <w:rsid w:val="00717340"/>
    <w:rsid w:val="00717514"/>
    <w:rsid w:val="007262A0"/>
    <w:rsid w:val="00727504"/>
    <w:rsid w:val="00736D62"/>
    <w:rsid w:val="00742852"/>
    <w:rsid w:val="00745EF3"/>
    <w:rsid w:val="007474C3"/>
    <w:rsid w:val="0075562D"/>
    <w:rsid w:val="007565F9"/>
    <w:rsid w:val="00761538"/>
    <w:rsid w:val="00765A22"/>
    <w:rsid w:val="00775168"/>
    <w:rsid w:val="00783683"/>
    <w:rsid w:val="00795065"/>
    <w:rsid w:val="00795F9E"/>
    <w:rsid w:val="007B3B88"/>
    <w:rsid w:val="007B5447"/>
    <w:rsid w:val="007C3E20"/>
    <w:rsid w:val="007C481A"/>
    <w:rsid w:val="007D1AF1"/>
    <w:rsid w:val="007D7F12"/>
    <w:rsid w:val="007E1D8D"/>
    <w:rsid w:val="007E41DD"/>
    <w:rsid w:val="007E5FD9"/>
    <w:rsid w:val="00815D7B"/>
    <w:rsid w:val="008177FC"/>
    <w:rsid w:val="00821DB1"/>
    <w:rsid w:val="00830445"/>
    <w:rsid w:val="0083573C"/>
    <w:rsid w:val="00837422"/>
    <w:rsid w:val="008449DC"/>
    <w:rsid w:val="00844B12"/>
    <w:rsid w:val="00846878"/>
    <w:rsid w:val="00852736"/>
    <w:rsid w:val="00861E98"/>
    <w:rsid w:val="0086673C"/>
    <w:rsid w:val="0086758D"/>
    <w:rsid w:val="00867B19"/>
    <w:rsid w:val="00867D8B"/>
    <w:rsid w:val="0087300E"/>
    <w:rsid w:val="008758A7"/>
    <w:rsid w:val="0087640D"/>
    <w:rsid w:val="0087793B"/>
    <w:rsid w:val="00880E7D"/>
    <w:rsid w:val="008823E3"/>
    <w:rsid w:val="008B73AF"/>
    <w:rsid w:val="008C3916"/>
    <w:rsid w:val="008C6386"/>
    <w:rsid w:val="008C6DE5"/>
    <w:rsid w:val="008C7E26"/>
    <w:rsid w:val="008D1D45"/>
    <w:rsid w:val="008D46CC"/>
    <w:rsid w:val="008E15BE"/>
    <w:rsid w:val="008E1D42"/>
    <w:rsid w:val="008E2EBD"/>
    <w:rsid w:val="008E33F8"/>
    <w:rsid w:val="008E5211"/>
    <w:rsid w:val="008F5213"/>
    <w:rsid w:val="00900122"/>
    <w:rsid w:val="009120C6"/>
    <w:rsid w:val="00912AB0"/>
    <w:rsid w:val="00913A7B"/>
    <w:rsid w:val="00914CD9"/>
    <w:rsid w:val="00915F8C"/>
    <w:rsid w:val="009206B2"/>
    <w:rsid w:val="00933057"/>
    <w:rsid w:val="009353E4"/>
    <w:rsid w:val="00937691"/>
    <w:rsid w:val="009416FD"/>
    <w:rsid w:val="00942C07"/>
    <w:rsid w:val="00944AB8"/>
    <w:rsid w:val="00946C8A"/>
    <w:rsid w:val="00955D50"/>
    <w:rsid w:val="00966BD8"/>
    <w:rsid w:val="009709F9"/>
    <w:rsid w:val="00970F10"/>
    <w:rsid w:val="009736B9"/>
    <w:rsid w:val="0097659A"/>
    <w:rsid w:val="00976C3A"/>
    <w:rsid w:val="00980197"/>
    <w:rsid w:val="00987C82"/>
    <w:rsid w:val="00990A2E"/>
    <w:rsid w:val="009A2F31"/>
    <w:rsid w:val="009A2F7C"/>
    <w:rsid w:val="009A34F5"/>
    <w:rsid w:val="009A4E56"/>
    <w:rsid w:val="009B1CAB"/>
    <w:rsid w:val="009B487E"/>
    <w:rsid w:val="009D217B"/>
    <w:rsid w:val="009D6233"/>
    <w:rsid w:val="009E22F2"/>
    <w:rsid w:val="009E4B38"/>
    <w:rsid w:val="009E5CB6"/>
    <w:rsid w:val="009F0DB6"/>
    <w:rsid w:val="009F10B7"/>
    <w:rsid w:val="009F1B33"/>
    <w:rsid w:val="009F2504"/>
    <w:rsid w:val="009F2F88"/>
    <w:rsid w:val="009F56F7"/>
    <w:rsid w:val="009F5FD6"/>
    <w:rsid w:val="00A00B39"/>
    <w:rsid w:val="00A07B5C"/>
    <w:rsid w:val="00A1045E"/>
    <w:rsid w:val="00A14A05"/>
    <w:rsid w:val="00A224C0"/>
    <w:rsid w:val="00A25484"/>
    <w:rsid w:val="00A273D2"/>
    <w:rsid w:val="00A3300D"/>
    <w:rsid w:val="00A3780A"/>
    <w:rsid w:val="00A4433C"/>
    <w:rsid w:val="00A55F02"/>
    <w:rsid w:val="00A61BFB"/>
    <w:rsid w:val="00A63965"/>
    <w:rsid w:val="00A73ED4"/>
    <w:rsid w:val="00A77757"/>
    <w:rsid w:val="00A80F7C"/>
    <w:rsid w:val="00A874F9"/>
    <w:rsid w:val="00A87A87"/>
    <w:rsid w:val="00A9008B"/>
    <w:rsid w:val="00A95BFA"/>
    <w:rsid w:val="00AA001F"/>
    <w:rsid w:val="00AA0B7F"/>
    <w:rsid w:val="00AA3422"/>
    <w:rsid w:val="00AB70D5"/>
    <w:rsid w:val="00AC2318"/>
    <w:rsid w:val="00AC78A1"/>
    <w:rsid w:val="00AD667D"/>
    <w:rsid w:val="00AF4298"/>
    <w:rsid w:val="00AF45F0"/>
    <w:rsid w:val="00B00D97"/>
    <w:rsid w:val="00B043D4"/>
    <w:rsid w:val="00B146CF"/>
    <w:rsid w:val="00B20A93"/>
    <w:rsid w:val="00B22FCA"/>
    <w:rsid w:val="00B30EBA"/>
    <w:rsid w:val="00B330FE"/>
    <w:rsid w:val="00B34B65"/>
    <w:rsid w:val="00B36DA7"/>
    <w:rsid w:val="00B3744D"/>
    <w:rsid w:val="00B41BBB"/>
    <w:rsid w:val="00B444FE"/>
    <w:rsid w:val="00B539F2"/>
    <w:rsid w:val="00B55653"/>
    <w:rsid w:val="00B64DDB"/>
    <w:rsid w:val="00B660CD"/>
    <w:rsid w:val="00B72ACC"/>
    <w:rsid w:val="00B86A48"/>
    <w:rsid w:val="00B9461A"/>
    <w:rsid w:val="00B964AF"/>
    <w:rsid w:val="00B97BBC"/>
    <w:rsid w:val="00BA3184"/>
    <w:rsid w:val="00BB6650"/>
    <w:rsid w:val="00BC0AE8"/>
    <w:rsid w:val="00BD775F"/>
    <w:rsid w:val="00BE67BD"/>
    <w:rsid w:val="00BE684F"/>
    <w:rsid w:val="00BF7AC3"/>
    <w:rsid w:val="00C0023D"/>
    <w:rsid w:val="00C02314"/>
    <w:rsid w:val="00C25438"/>
    <w:rsid w:val="00C351B0"/>
    <w:rsid w:val="00C40109"/>
    <w:rsid w:val="00C4043D"/>
    <w:rsid w:val="00C424A3"/>
    <w:rsid w:val="00C432A9"/>
    <w:rsid w:val="00C50131"/>
    <w:rsid w:val="00C55A10"/>
    <w:rsid w:val="00C5641A"/>
    <w:rsid w:val="00C5750C"/>
    <w:rsid w:val="00C62E6B"/>
    <w:rsid w:val="00C73427"/>
    <w:rsid w:val="00C7436B"/>
    <w:rsid w:val="00C75687"/>
    <w:rsid w:val="00C82F04"/>
    <w:rsid w:val="00C92270"/>
    <w:rsid w:val="00C97063"/>
    <w:rsid w:val="00CA0E61"/>
    <w:rsid w:val="00CA6BC1"/>
    <w:rsid w:val="00CB7FD5"/>
    <w:rsid w:val="00CC1E28"/>
    <w:rsid w:val="00CC427C"/>
    <w:rsid w:val="00CC66EF"/>
    <w:rsid w:val="00CC7BAD"/>
    <w:rsid w:val="00CE3A85"/>
    <w:rsid w:val="00CE4CE9"/>
    <w:rsid w:val="00CF2D23"/>
    <w:rsid w:val="00CF5FDF"/>
    <w:rsid w:val="00CF6D9E"/>
    <w:rsid w:val="00CF7369"/>
    <w:rsid w:val="00D0101C"/>
    <w:rsid w:val="00D0105E"/>
    <w:rsid w:val="00D170B0"/>
    <w:rsid w:val="00D17EE9"/>
    <w:rsid w:val="00D210E0"/>
    <w:rsid w:val="00D21C36"/>
    <w:rsid w:val="00D2294E"/>
    <w:rsid w:val="00D2346F"/>
    <w:rsid w:val="00D23611"/>
    <w:rsid w:val="00D2499A"/>
    <w:rsid w:val="00D259BD"/>
    <w:rsid w:val="00D2697B"/>
    <w:rsid w:val="00D31494"/>
    <w:rsid w:val="00D41BBB"/>
    <w:rsid w:val="00D46F08"/>
    <w:rsid w:val="00D47B6E"/>
    <w:rsid w:val="00D511E7"/>
    <w:rsid w:val="00D51927"/>
    <w:rsid w:val="00D607D2"/>
    <w:rsid w:val="00D65703"/>
    <w:rsid w:val="00D67538"/>
    <w:rsid w:val="00D71305"/>
    <w:rsid w:val="00D80D85"/>
    <w:rsid w:val="00D82391"/>
    <w:rsid w:val="00D82E12"/>
    <w:rsid w:val="00D87964"/>
    <w:rsid w:val="00D9008A"/>
    <w:rsid w:val="00D91B09"/>
    <w:rsid w:val="00D97270"/>
    <w:rsid w:val="00DA16C6"/>
    <w:rsid w:val="00DA3857"/>
    <w:rsid w:val="00DA45A1"/>
    <w:rsid w:val="00DC123C"/>
    <w:rsid w:val="00DC46C3"/>
    <w:rsid w:val="00DC4812"/>
    <w:rsid w:val="00DC6D15"/>
    <w:rsid w:val="00DE45CA"/>
    <w:rsid w:val="00DE7CE3"/>
    <w:rsid w:val="00DF3F08"/>
    <w:rsid w:val="00DF5D45"/>
    <w:rsid w:val="00E02A0D"/>
    <w:rsid w:val="00E115E7"/>
    <w:rsid w:val="00E13FEE"/>
    <w:rsid w:val="00E16A68"/>
    <w:rsid w:val="00E305F3"/>
    <w:rsid w:val="00E3323A"/>
    <w:rsid w:val="00E37D51"/>
    <w:rsid w:val="00E40F7B"/>
    <w:rsid w:val="00E41504"/>
    <w:rsid w:val="00E4162C"/>
    <w:rsid w:val="00E50BCA"/>
    <w:rsid w:val="00E56078"/>
    <w:rsid w:val="00E565A8"/>
    <w:rsid w:val="00E6605C"/>
    <w:rsid w:val="00E74CCA"/>
    <w:rsid w:val="00E75219"/>
    <w:rsid w:val="00E766E7"/>
    <w:rsid w:val="00E84687"/>
    <w:rsid w:val="00E846CA"/>
    <w:rsid w:val="00E94B19"/>
    <w:rsid w:val="00EA1158"/>
    <w:rsid w:val="00EA55DA"/>
    <w:rsid w:val="00EB2AC2"/>
    <w:rsid w:val="00EB2BA0"/>
    <w:rsid w:val="00EC1D80"/>
    <w:rsid w:val="00EC669A"/>
    <w:rsid w:val="00F043F0"/>
    <w:rsid w:val="00F047CB"/>
    <w:rsid w:val="00F24755"/>
    <w:rsid w:val="00F2732E"/>
    <w:rsid w:val="00F331CA"/>
    <w:rsid w:val="00F356C4"/>
    <w:rsid w:val="00F3650B"/>
    <w:rsid w:val="00F368B8"/>
    <w:rsid w:val="00F37E70"/>
    <w:rsid w:val="00F44BF4"/>
    <w:rsid w:val="00F55489"/>
    <w:rsid w:val="00F677FA"/>
    <w:rsid w:val="00F7339B"/>
    <w:rsid w:val="00F74D2F"/>
    <w:rsid w:val="00F841B9"/>
    <w:rsid w:val="00FA27A1"/>
    <w:rsid w:val="00FA2DAB"/>
    <w:rsid w:val="00FA58B0"/>
    <w:rsid w:val="00FA74F4"/>
    <w:rsid w:val="00FA754B"/>
    <w:rsid w:val="00FB1B14"/>
    <w:rsid w:val="00FB60F0"/>
    <w:rsid w:val="00FB675C"/>
    <w:rsid w:val="00FC3ED0"/>
    <w:rsid w:val="00FC52C5"/>
    <w:rsid w:val="00FC57E2"/>
    <w:rsid w:val="00FC5E2B"/>
    <w:rsid w:val="00FD4BDD"/>
    <w:rsid w:val="00FD7AA3"/>
    <w:rsid w:val="00FE28D0"/>
    <w:rsid w:val="00FE661A"/>
    <w:rsid w:val="00FF3636"/>
    <w:rsid w:val="00FF567C"/>
    <w:rsid w:val="00FF61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9F402"/>
  <w15:docId w15:val="{1B7E6854-DA36-4191-AAA0-454A3568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2259"/>
    <w:pPr>
      <w:spacing w:before="120" w:after="120" w:line="240" w:lineRule="auto"/>
    </w:pPr>
    <w:rPr>
      <w:rFonts w:ascii="Arial" w:eastAsia="Times New Roman" w:hAnsi="Arial" w:cs="Times New Roman"/>
      <w:sz w:val="24"/>
      <w:szCs w:val="24"/>
      <w:lang w:eastAsia="en-GB"/>
    </w:rPr>
  </w:style>
  <w:style w:type="paragraph" w:styleId="Heading1">
    <w:name w:val="heading 1"/>
    <w:basedOn w:val="Header"/>
    <w:next w:val="Normal"/>
    <w:link w:val="Heading1Char"/>
    <w:uiPriority w:val="9"/>
    <w:qFormat/>
    <w:rsid w:val="00B34B65"/>
    <w:pPr>
      <w:tabs>
        <w:tab w:val="clear" w:pos="9026"/>
        <w:tab w:val="right" w:pos="9356"/>
      </w:tabs>
      <w:outlineLvl w:val="0"/>
    </w:pPr>
    <w:rPr>
      <w:rFonts w:cs="Arial"/>
      <w:color w:val="45B9D1"/>
      <w:sz w:val="44"/>
      <w:szCs w:val="44"/>
    </w:rPr>
  </w:style>
  <w:style w:type="paragraph" w:styleId="Heading2">
    <w:name w:val="heading 2"/>
    <w:basedOn w:val="Normal"/>
    <w:next w:val="Normal"/>
    <w:link w:val="Heading2Char"/>
    <w:uiPriority w:val="9"/>
    <w:unhideWhenUsed/>
    <w:qFormat/>
    <w:rsid w:val="00EB2BA0"/>
    <w:pPr>
      <w:spacing w:before="0"/>
      <w:outlineLvl w:val="1"/>
    </w:pPr>
    <w:rPr>
      <w:rFonts w:cs="Arial"/>
      <w:b/>
      <w:sz w:val="28"/>
    </w:rPr>
  </w:style>
  <w:style w:type="paragraph" w:styleId="Heading3">
    <w:name w:val="heading 3"/>
    <w:basedOn w:val="Normal"/>
    <w:next w:val="Normal"/>
    <w:link w:val="Heading3Char"/>
    <w:uiPriority w:val="9"/>
    <w:unhideWhenUsed/>
    <w:qFormat/>
    <w:rsid w:val="00EB2BA0"/>
    <w:pPr>
      <w:spacing w:before="240" w:line="360" w:lineRule="auto"/>
      <w:outlineLvl w:val="2"/>
    </w:pPr>
    <w:rPr>
      <w:rFonts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0B7"/>
    <w:pPr>
      <w:tabs>
        <w:tab w:val="center" w:pos="4513"/>
        <w:tab w:val="right" w:pos="9026"/>
      </w:tabs>
    </w:pPr>
  </w:style>
  <w:style w:type="character" w:customStyle="1" w:styleId="HeaderChar">
    <w:name w:val="Header Char"/>
    <w:basedOn w:val="DefaultParagraphFont"/>
    <w:link w:val="Header"/>
    <w:uiPriority w:val="99"/>
    <w:rsid w:val="009F10B7"/>
  </w:style>
  <w:style w:type="paragraph" w:styleId="Footer">
    <w:name w:val="footer"/>
    <w:basedOn w:val="Normal"/>
    <w:link w:val="FooterChar"/>
    <w:uiPriority w:val="99"/>
    <w:unhideWhenUsed/>
    <w:qFormat/>
    <w:rsid w:val="00CA6BC1"/>
    <w:pPr>
      <w:tabs>
        <w:tab w:val="center" w:pos="4513"/>
        <w:tab w:val="right" w:pos="9026"/>
      </w:tabs>
    </w:pPr>
    <w:rPr>
      <w:color w:val="ABA7A5"/>
      <w:sz w:val="20"/>
    </w:rPr>
  </w:style>
  <w:style w:type="character" w:customStyle="1" w:styleId="FooterChar">
    <w:name w:val="Footer Char"/>
    <w:basedOn w:val="DefaultParagraphFont"/>
    <w:link w:val="Footer"/>
    <w:uiPriority w:val="99"/>
    <w:rsid w:val="00CA6BC1"/>
    <w:rPr>
      <w:rFonts w:ascii="Arial" w:eastAsia="Times New Roman" w:hAnsi="Arial" w:cs="Times New Roman"/>
      <w:color w:val="ABA7A5"/>
      <w:sz w:val="20"/>
      <w:szCs w:val="24"/>
      <w:lang w:eastAsia="en-GB"/>
    </w:rPr>
  </w:style>
  <w:style w:type="paragraph" w:styleId="BalloonText">
    <w:name w:val="Balloon Text"/>
    <w:basedOn w:val="Normal"/>
    <w:link w:val="BalloonTextChar"/>
    <w:uiPriority w:val="99"/>
    <w:semiHidden/>
    <w:unhideWhenUsed/>
    <w:rsid w:val="009F10B7"/>
    <w:rPr>
      <w:rFonts w:ascii="Tahoma" w:hAnsi="Tahoma" w:cs="Tahoma"/>
      <w:sz w:val="16"/>
      <w:szCs w:val="16"/>
    </w:rPr>
  </w:style>
  <w:style w:type="character" w:customStyle="1" w:styleId="BalloonTextChar">
    <w:name w:val="Balloon Text Char"/>
    <w:basedOn w:val="DefaultParagraphFont"/>
    <w:link w:val="BalloonText"/>
    <w:uiPriority w:val="99"/>
    <w:semiHidden/>
    <w:rsid w:val="009F10B7"/>
    <w:rPr>
      <w:rFonts w:ascii="Tahoma" w:hAnsi="Tahoma" w:cs="Tahoma"/>
      <w:sz w:val="16"/>
      <w:szCs w:val="16"/>
    </w:rPr>
  </w:style>
  <w:style w:type="paragraph" w:customStyle="1" w:styleId="Level1">
    <w:name w:val="Level1"/>
    <w:basedOn w:val="Normal"/>
    <w:rsid w:val="00334582"/>
    <w:pPr>
      <w:numPr>
        <w:numId w:val="1"/>
      </w:numPr>
      <w:ind w:left="862" w:hanging="862"/>
      <w:jc w:val="both"/>
      <w:outlineLvl w:val="0"/>
    </w:pPr>
    <w:rPr>
      <w:rFonts w:ascii="Century Gothic" w:hAnsi="Century Gothic" w:cs="Arial"/>
      <w:bCs/>
      <w:snapToGrid w:val="0"/>
      <w:kern w:val="20"/>
      <w:sz w:val="20"/>
      <w:szCs w:val="20"/>
      <w:lang w:eastAsia="en-US"/>
    </w:rPr>
  </w:style>
  <w:style w:type="paragraph" w:customStyle="1" w:styleId="Level2">
    <w:name w:val="Level2"/>
    <w:basedOn w:val="Level1"/>
    <w:rsid w:val="00334582"/>
    <w:pPr>
      <w:numPr>
        <w:ilvl w:val="1"/>
      </w:numPr>
      <w:outlineLvl w:val="1"/>
    </w:pPr>
  </w:style>
  <w:style w:type="paragraph" w:customStyle="1" w:styleId="Level3">
    <w:name w:val="Level3"/>
    <w:basedOn w:val="Level2"/>
    <w:rsid w:val="00334582"/>
    <w:pPr>
      <w:numPr>
        <w:ilvl w:val="2"/>
      </w:numPr>
      <w:ind w:left="1724" w:hanging="862"/>
      <w:outlineLvl w:val="2"/>
    </w:pPr>
  </w:style>
  <w:style w:type="paragraph" w:customStyle="1" w:styleId="Level4">
    <w:name w:val="Level4"/>
    <w:basedOn w:val="Level3"/>
    <w:rsid w:val="00334582"/>
    <w:pPr>
      <w:numPr>
        <w:ilvl w:val="3"/>
      </w:numPr>
      <w:ind w:left="2591" w:hanging="862"/>
      <w:outlineLvl w:val="3"/>
    </w:pPr>
  </w:style>
  <w:style w:type="paragraph" w:customStyle="1" w:styleId="Level5">
    <w:name w:val="Level5"/>
    <w:basedOn w:val="Level4"/>
    <w:rsid w:val="00334582"/>
    <w:pPr>
      <w:numPr>
        <w:ilvl w:val="4"/>
      </w:numPr>
      <w:ind w:left="3453" w:hanging="862"/>
      <w:outlineLvl w:val="4"/>
    </w:pPr>
  </w:style>
  <w:style w:type="character" w:styleId="CommentReference">
    <w:name w:val="annotation reference"/>
    <w:basedOn w:val="DefaultParagraphFont"/>
    <w:uiPriority w:val="99"/>
    <w:unhideWhenUsed/>
    <w:rsid w:val="00037820"/>
    <w:rPr>
      <w:sz w:val="16"/>
      <w:szCs w:val="16"/>
    </w:rPr>
  </w:style>
  <w:style w:type="paragraph" w:styleId="CommentText">
    <w:name w:val="annotation text"/>
    <w:basedOn w:val="Normal"/>
    <w:link w:val="CommentTextChar"/>
    <w:uiPriority w:val="99"/>
    <w:unhideWhenUsed/>
    <w:rsid w:val="00037820"/>
    <w:rPr>
      <w:sz w:val="20"/>
      <w:szCs w:val="20"/>
    </w:rPr>
  </w:style>
  <w:style w:type="character" w:customStyle="1" w:styleId="CommentTextChar">
    <w:name w:val="Comment Text Char"/>
    <w:basedOn w:val="DefaultParagraphFont"/>
    <w:link w:val="CommentText"/>
    <w:uiPriority w:val="99"/>
    <w:rsid w:val="0003782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7820"/>
    <w:rPr>
      <w:b/>
      <w:bCs/>
    </w:rPr>
  </w:style>
  <w:style w:type="character" w:customStyle="1" w:styleId="CommentSubjectChar">
    <w:name w:val="Comment Subject Char"/>
    <w:basedOn w:val="CommentTextChar"/>
    <w:link w:val="CommentSubject"/>
    <w:uiPriority w:val="99"/>
    <w:semiHidden/>
    <w:rsid w:val="00037820"/>
    <w:rPr>
      <w:rFonts w:ascii="Times New Roman" w:eastAsia="Times New Roman" w:hAnsi="Times New Roman" w:cs="Times New Roman"/>
      <w:b/>
      <w:bCs/>
      <w:sz w:val="20"/>
      <w:szCs w:val="20"/>
      <w:lang w:eastAsia="en-GB"/>
    </w:rPr>
  </w:style>
  <w:style w:type="paragraph" w:styleId="Revision">
    <w:name w:val="Revision"/>
    <w:hidden/>
    <w:uiPriority w:val="99"/>
    <w:semiHidden/>
    <w:rsid w:val="009D217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815D7B"/>
    <w:pPr>
      <w:ind w:left="720"/>
    </w:pPr>
    <w:rPr>
      <w:rFonts w:eastAsiaTheme="minorHAnsi" w:cstheme="minorBidi"/>
      <w:szCs w:val="22"/>
      <w:lang w:eastAsia="en-US"/>
    </w:rPr>
  </w:style>
  <w:style w:type="table" w:styleId="TableGrid">
    <w:name w:val="Table Grid"/>
    <w:basedOn w:val="TableNormal"/>
    <w:uiPriority w:val="59"/>
    <w:rsid w:val="00B3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D41BBB"/>
    <w:pPr>
      <w:keepNext/>
      <w:tabs>
        <w:tab w:val="left" w:pos="268"/>
      </w:tabs>
      <w:spacing w:before="60" w:after="60"/>
      <w:jc w:val="center"/>
    </w:pPr>
    <w:rPr>
      <w:rFonts w:eastAsiaTheme="majorEastAsia" w:cs="Arial"/>
      <w:b/>
      <w:szCs w:val="20"/>
      <w:lang w:eastAsia="en-US" w:bidi="en-US"/>
    </w:rPr>
  </w:style>
  <w:style w:type="paragraph" w:customStyle="1" w:styleId="TableText">
    <w:name w:val="Table Text"/>
    <w:basedOn w:val="Normal"/>
    <w:link w:val="TableTextChar"/>
    <w:qFormat/>
    <w:rsid w:val="00815D7B"/>
    <w:pPr>
      <w:tabs>
        <w:tab w:val="left" w:pos="0"/>
      </w:tabs>
      <w:spacing w:before="60" w:after="60"/>
    </w:pPr>
    <w:rPr>
      <w:rFonts w:eastAsiaTheme="minorHAnsi" w:cs="Arial"/>
      <w:color w:val="000000" w:themeColor="text1"/>
      <w:szCs w:val="20"/>
      <w:lang w:eastAsia="en-US"/>
    </w:rPr>
  </w:style>
  <w:style w:type="character" w:customStyle="1" w:styleId="TableHeadingChar">
    <w:name w:val="Table Heading Char"/>
    <w:basedOn w:val="DefaultParagraphFont"/>
    <w:link w:val="TableHeading"/>
    <w:rsid w:val="00D41BBB"/>
    <w:rPr>
      <w:rFonts w:ascii="Arial" w:eastAsiaTheme="majorEastAsia" w:hAnsi="Arial" w:cs="Arial"/>
      <w:b/>
      <w:sz w:val="24"/>
      <w:szCs w:val="20"/>
      <w:lang w:bidi="en-US"/>
    </w:rPr>
  </w:style>
  <w:style w:type="character" w:customStyle="1" w:styleId="TableTextChar">
    <w:name w:val="Table Text Char"/>
    <w:basedOn w:val="DefaultParagraphFont"/>
    <w:link w:val="TableText"/>
    <w:rsid w:val="00815D7B"/>
    <w:rPr>
      <w:rFonts w:ascii="Arial" w:hAnsi="Arial" w:cs="Arial"/>
      <w:color w:val="000000" w:themeColor="text1"/>
      <w:szCs w:val="20"/>
    </w:rPr>
  </w:style>
  <w:style w:type="paragraph" w:customStyle="1" w:styleId="Item1">
    <w:name w:val="Item 1"/>
    <w:basedOn w:val="ListParagraph"/>
    <w:link w:val="Item1Char"/>
    <w:qFormat/>
    <w:rsid w:val="00AC78A1"/>
    <w:pPr>
      <w:numPr>
        <w:numId w:val="6"/>
      </w:numPr>
      <w:spacing w:before="240"/>
    </w:pPr>
    <w:rPr>
      <w:rFonts w:cs="Arial"/>
    </w:rPr>
  </w:style>
  <w:style w:type="paragraph" w:customStyle="1" w:styleId="Item2">
    <w:name w:val="Item 2"/>
    <w:basedOn w:val="ListParagraph"/>
    <w:link w:val="Item2Char"/>
    <w:qFormat/>
    <w:rsid w:val="00815D7B"/>
    <w:pPr>
      <w:numPr>
        <w:ilvl w:val="1"/>
        <w:numId w:val="5"/>
      </w:numPr>
      <w:ind w:left="993" w:hanging="284"/>
    </w:pPr>
    <w:rPr>
      <w:rFonts w:cs="Arial"/>
      <w:i/>
    </w:rPr>
  </w:style>
  <w:style w:type="character" w:customStyle="1" w:styleId="ListParagraphChar">
    <w:name w:val="List Paragraph Char"/>
    <w:basedOn w:val="DefaultParagraphFont"/>
    <w:link w:val="ListParagraph"/>
    <w:uiPriority w:val="34"/>
    <w:rsid w:val="00815D7B"/>
    <w:rPr>
      <w:rFonts w:ascii="Arial" w:hAnsi="Arial"/>
    </w:rPr>
  </w:style>
  <w:style w:type="character" w:customStyle="1" w:styleId="Item1Char">
    <w:name w:val="Item 1 Char"/>
    <w:basedOn w:val="ListParagraphChar"/>
    <w:link w:val="Item1"/>
    <w:rsid w:val="00AC78A1"/>
    <w:rPr>
      <w:rFonts w:ascii="Arial" w:hAnsi="Arial" w:cs="Arial"/>
    </w:rPr>
  </w:style>
  <w:style w:type="character" w:customStyle="1" w:styleId="Item2Char">
    <w:name w:val="Item 2 Char"/>
    <w:basedOn w:val="ListParagraphChar"/>
    <w:link w:val="Item2"/>
    <w:rsid w:val="00815D7B"/>
    <w:rPr>
      <w:rFonts w:ascii="Arial" w:hAnsi="Arial" w:cs="Arial"/>
      <w:i/>
    </w:rPr>
  </w:style>
  <w:style w:type="character" w:customStyle="1" w:styleId="Heading1Char">
    <w:name w:val="Heading 1 Char"/>
    <w:basedOn w:val="DefaultParagraphFont"/>
    <w:link w:val="Heading1"/>
    <w:uiPriority w:val="9"/>
    <w:rsid w:val="00B34B65"/>
    <w:rPr>
      <w:rFonts w:ascii="Arial" w:eastAsia="Times New Roman" w:hAnsi="Arial" w:cs="Arial"/>
      <w:color w:val="45B9D1"/>
      <w:sz w:val="44"/>
      <w:szCs w:val="44"/>
      <w:lang w:eastAsia="en-GB"/>
    </w:rPr>
  </w:style>
  <w:style w:type="paragraph" w:styleId="NoSpacing">
    <w:name w:val="No Spacing"/>
    <w:aliases w:val="Table Heading Black and Bold"/>
    <w:basedOn w:val="TableHeading"/>
    <w:uiPriority w:val="1"/>
    <w:qFormat/>
    <w:rsid w:val="00A874F9"/>
    <w:pPr>
      <w:jc w:val="left"/>
    </w:pPr>
  </w:style>
  <w:style w:type="paragraph" w:styleId="Quote">
    <w:name w:val="Quote"/>
    <w:basedOn w:val="Normal"/>
    <w:next w:val="Normal"/>
    <w:link w:val="QuoteChar"/>
    <w:uiPriority w:val="29"/>
    <w:rsid w:val="00A874F9"/>
    <w:pPr>
      <w:ind w:left="-142"/>
    </w:pPr>
    <w:rPr>
      <w:rFonts w:cs="Arial"/>
      <w:sz w:val="20"/>
    </w:rPr>
  </w:style>
  <w:style w:type="character" w:customStyle="1" w:styleId="QuoteChar">
    <w:name w:val="Quote Char"/>
    <w:basedOn w:val="DefaultParagraphFont"/>
    <w:link w:val="Quote"/>
    <w:uiPriority w:val="29"/>
    <w:rsid w:val="00A874F9"/>
    <w:rPr>
      <w:rFonts w:ascii="Arial" w:eastAsia="Times New Roman" w:hAnsi="Arial" w:cs="Arial"/>
      <w:sz w:val="20"/>
      <w:szCs w:val="24"/>
      <w:lang w:eastAsia="en-GB"/>
    </w:rPr>
  </w:style>
  <w:style w:type="character" w:customStyle="1" w:styleId="Heading2Char">
    <w:name w:val="Heading 2 Char"/>
    <w:basedOn w:val="DefaultParagraphFont"/>
    <w:link w:val="Heading2"/>
    <w:uiPriority w:val="9"/>
    <w:rsid w:val="00EB2BA0"/>
    <w:rPr>
      <w:rFonts w:ascii="Arial" w:eastAsia="Times New Roman" w:hAnsi="Arial" w:cs="Arial"/>
      <w:b/>
      <w:sz w:val="28"/>
      <w:szCs w:val="24"/>
      <w:lang w:eastAsia="en-GB"/>
    </w:rPr>
  </w:style>
  <w:style w:type="paragraph" w:customStyle="1" w:styleId="BulletPoint1">
    <w:name w:val="Bullet Point 1"/>
    <w:basedOn w:val="Item2"/>
    <w:link w:val="BulletPoint1Char"/>
    <w:qFormat/>
    <w:rsid w:val="00D9008A"/>
    <w:pPr>
      <w:numPr>
        <w:numId w:val="11"/>
      </w:numPr>
      <w:ind w:left="1134" w:hanging="425"/>
    </w:pPr>
  </w:style>
  <w:style w:type="character" w:customStyle="1" w:styleId="BulletPoint1Char">
    <w:name w:val="Bullet Point 1 Char"/>
    <w:basedOn w:val="DefaultParagraphFont"/>
    <w:link w:val="BulletPoint1"/>
    <w:rsid w:val="00D9008A"/>
    <w:rPr>
      <w:rFonts w:ascii="Arial" w:hAnsi="Arial" w:cs="Arial"/>
      <w:i/>
    </w:rPr>
  </w:style>
  <w:style w:type="character" w:customStyle="1" w:styleId="Heading3Char">
    <w:name w:val="Heading 3 Char"/>
    <w:basedOn w:val="DefaultParagraphFont"/>
    <w:link w:val="Heading3"/>
    <w:uiPriority w:val="9"/>
    <w:rsid w:val="00EB2BA0"/>
    <w:rPr>
      <w:rFonts w:ascii="Arial" w:eastAsia="Times New Roman" w:hAnsi="Arial" w:cs="Arial"/>
      <w:b/>
      <w:i/>
      <w:sz w:val="24"/>
      <w:szCs w:val="24"/>
      <w:lang w:eastAsia="en-GB"/>
    </w:rPr>
  </w:style>
  <w:style w:type="character" w:styleId="Hyperlink">
    <w:name w:val="Hyperlink"/>
    <w:basedOn w:val="DefaultParagraphFont"/>
    <w:uiPriority w:val="99"/>
    <w:unhideWhenUsed/>
    <w:rsid w:val="009F2504"/>
    <w:rPr>
      <w:color w:val="0000FF" w:themeColor="hyperlink"/>
      <w:u w:val="single"/>
    </w:rPr>
  </w:style>
  <w:style w:type="paragraph" w:styleId="Caption">
    <w:name w:val="caption"/>
    <w:basedOn w:val="Normal"/>
    <w:next w:val="Normal"/>
    <w:uiPriority w:val="35"/>
    <w:unhideWhenUsed/>
    <w:qFormat/>
    <w:rsid w:val="00576A62"/>
    <w:pPr>
      <w:keepNext/>
      <w:spacing w:before="0" w:after="200"/>
    </w:pPr>
    <w:rPr>
      <w:i/>
      <w:iCs/>
      <w:color w:val="1F497D" w:themeColor="text2"/>
      <w:sz w:val="18"/>
      <w:szCs w:val="18"/>
    </w:rPr>
  </w:style>
  <w:style w:type="character" w:styleId="UnresolvedMention">
    <w:name w:val="Unresolved Mention"/>
    <w:basedOn w:val="DefaultParagraphFont"/>
    <w:uiPriority w:val="99"/>
    <w:semiHidden/>
    <w:unhideWhenUsed/>
    <w:rsid w:val="00B330FE"/>
    <w:rPr>
      <w:color w:val="808080"/>
      <w:shd w:val="clear" w:color="auto" w:fill="E6E6E6"/>
    </w:rPr>
  </w:style>
  <w:style w:type="paragraph" w:customStyle="1" w:styleId="EndNoteBibliographyTitle">
    <w:name w:val="EndNote Bibliography Title"/>
    <w:basedOn w:val="Normal"/>
    <w:link w:val="EndNoteBibliographyTitleChar"/>
    <w:rsid w:val="0013796A"/>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13796A"/>
    <w:rPr>
      <w:rFonts w:ascii="Arial" w:eastAsia="Times New Roman" w:hAnsi="Arial" w:cs="Arial"/>
      <w:noProof/>
      <w:sz w:val="24"/>
      <w:szCs w:val="24"/>
      <w:lang w:eastAsia="en-GB"/>
    </w:rPr>
  </w:style>
  <w:style w:type="paragraph" w:customStyle="1" w:styleId="EndNoteBibliography">
    <w:name w:val="EndNote Bibliography"/>
    <w:basedOn w:val="Normal"/>
    <w:link w:val="EndNoteBibliographyChar"/>
    <w:rsid w:val="0013796A"/>
    <w:rPr>
      <w:rFonts w:cs="Arial"/>
      <w:noProof/>
    </w:rPr>
  </w:style>
  <w:style w:type="character" w:customStyle="1" w:styleId="EndNoteBibliographyChar">
    <w:name w:val="EndNote Bibliography Char"/>
    <w:basedOn w:val="DefaultParagraphFont"/>
    <w:link w:val="EndNoteBibliography"/>
    <w:rsid w:val="0013796A"/>
    <w:rPr>
      <w:rFonts w:ascii="Arial" w:eastAsia="Times New Roman" w:hAnsi="Arial" w:cs="Arial"/>
      <w:noProof/>
      <w:sz w:val="24"/>
      <w:szCs w:val="24"/>
      <w:lang w:eastAsia="en-GB"/>
    </w:rPr>
  </w:style>
  <w:style w:type="paragraph" w:customStyle="1" w:styleId="Legend">
    <w:name w:val="Legend"/>
    <w:basedOn w:val="Normal"/>
    <w:link w:val="LegendChar"/>
    <w:uiPriority w:val="1"/>
    <w:qFormat/>
    <w:rsid w:val="00B00D97"/>
    <w:pPr>
      <w:widowControl w:val="0"/>
      <w:spacing w:before="0" w:after="0" w:line="360" w:lineRule="auto"/>
      <w:jc w:val="both"/>
    </w:pPr>
    <w:rPr>
      <w:rFonts w:eastAsiaTheme="minorHAnsi" w:cs="Arial"/>
      <w:sz w:val="18"/>
      <w:szCs w:val="22"/>
      <w:lang w:eastAsia="en-US"/>
    </w:rPr>
  </w:style>
  <w:style w:type="character" w:customStyle="1" w:styleId="LegendChar">
    <w:name w:val="Legend Char"/>
    <w:basedOn w:val="DefaultParagraphFont"/>
    <w:link w:val="Legend"/>
    <w:uiPriority w:val="1"/>
    <w:rsid w:val="00B00D97"/>
    <w:rPr>
      <w:rFonts w:ascii="Arial" w:eastAsiaTheme="minorHAnsi" w:hAnsi="Arial" w:cs="Arial"/>
      <w:sz w:val="18"/>
    </w:rPr>
  </w:style>
  <w:style w:type="paragraph" w:customStyle="1" w:styleId="Tabletext0">
    <w:name w:val="Table text"/>
    <w:basedOn w:val="Normal"/>
    <w:link w:val="TabletextChar0"/>
    <w:uiPriority w:val="1"/>
    <w:qFormat/>
    <w:rsid w:val="004E0815"/>
    <w:pPr>
      <w:spacing w:before="0" w:after="20"/>
    </w:pPr>
    <w:rPr>
      <w:rFonts w:cs="Arial"/>
      <w:bCs/>
      <w:sz w:val="22"/>
      <w:szCs w:val="20"/>
      <w:lang w:eastAsia="ja-JP"/>
    </w:rPr>
  </w:style>
  <w:style w:type="character" w:customStyle="1" w:styleId="TabletextChar0">
    <w:name w:val="Table text Char"/>
    <w:basedOn w:val="DefaultParagraphFont"/>
    <w:link w:val="Tabletext0"/>
    <w:uiPriority w:val="1"/>
    <w:rsid w:val="004E0815"/>
    <w:rPr>
      <w:rFonts w:ascii="Arial" w:eastAsia="Times New Roman" w:hAnsi="Arial" w:cs="Arial"/>
      <w:bCs/>
      <w:szCs w:val="20"/>
      <w:lang w:eastAsia="ja-JP"/>
    </w:rPr>
  </w:style>
  <w:style w:type="paragraph" w:customStyle="1" w:styleId="Tableheader">
    <w:name w:val="Table header"/>
    <w:basedOn w:val="Tabletext0"/>
    <w:link w:val="TableheaderChar"/>
    <w:uiPriority w:val="1"/>
    <w:qFormat/>
    <w:rsid w:val="004E0815"/>
    <w:pPr>
      <w:jc w:val="center"/>
    </w:pPr>
    <w:rPr>
      <w:rFonts w:eastAsiaTheme="minorEastAsia"/>
      <w:b/>
      <w:bCs w:val="0"/>
      <w:color w:val="FFFFFF" w:themeColor="background1"/>
      <w:sz w:val="24"/>
      <w:szCs w:val="24"/>
    </w:rPr>
  </w:style>
  <w:style w:type="character" w:customStyle="1" w:styleId="TableheaderChar">
    <w:name w:val="Table header Char"/>
    <w:basedOn w:val="TabletextChar0"/>
    <w:link w:val="Tableheader"/>
    <w:uiPriority w:val="1"/>
    <w:rsid w:val="004E0815"/>
    <w:rPr>
      <w:rFonts w:ascii="Arial" w:eastAsiaTheme="minorEastAsia" w:hAnsi="Arial" w:cs="Arial"/>
      <w:b/>
      <w:bCs w:val="0"/>
      <w:color w:val="FFFFFF" w:themeColor="background1"/>
      <w:sz w:val="24"/>
      <w:szCs w:val="24"/>
      <w:lang w:eastAsia="ja-JP"/>
    </w:rPr>
  </w:style>
  <w:style w:type="paragraph" w:customStyle="1" w:styleId="Authornames">
    <w:name w:val="Author names"/>
    <w:basedOn w:val="Normal"/>
    <w:next w:val="Normal"/>
    <w:qFormat/>
    <w:rsid w:val="002C3BEB"/>
    <w:pPr>
      <w:spacing w:before="240" w:after="0" w:line="360" w:lineRule="auto"/>
    </w:pPr>
    <w:rPr>
      <w:rFonts w:ascii="Times New Roman" w:hAnsi="Times New Roman"/>
      <w:sz w:val="28"/>
    </w:rPr>
  </w:style>
  <w:style w:type="paragraph" w:customStyle="1" w:styleId="Affiliation">
    <w:name w:val="Affiliation"/>
    <w:basedOn w:val="Normal"/>
    <w:qFormat/>
    <w:rsid w:val="002C3BEB"/>
    <w:pPr>
      <w:spacing w:before="240" w:after="0" w:line="360" w:lineRule="auto"/>
    </w:pPr>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1983">
      <w:bodyDiv w:val="1"/>
      <w:marLeft w:val="0"/>
      <w:marRight w:val="0"/>
      <w:marTop w:val="0"/>
      <w:marBottom w:val="0"/>
      <w:divBdr>
        <w:top w:val="none" w:sz="0" w:space="0" w:color="auto"/>
        <w:left w:val="none" w:sz="0" w:space="0" w:color="auto"/>
        <w:bottom w:val="none" w:sz="0" w:space="0" w:color="auto"/>
        <w:right w:val="none" w:sz="0" w:space="0" w:color="auto"/>
      </w:divBdr>
    </w:div>
    <w:div w:id="247664701">
      <w:bodyDiv w:val="1"/>
      <w:marLeft w:val="0"/>
      <w:marRight w:val="0"/>
      <w:marTop w:val="0"/>
      <w:marBottom w:val="0"/>
      <w:divBdr>
        <w:top w:val="none" w:sz="0" w:space="0" w:color="auto"/>
        <w:left w:val="none" w:sz="0" w:space="0" w:color="auto"/>
        <w:bottom w:val="none" w:sz="0" w:space="0" w:color="auto"/>
        <w:right w:val="none" w:sz="0" w:space="0" w:color="auto"/>
      </w:divBdr>
    </w:div>
    <w:div w:id="448818724">
      <w:bodyDiv w:val="1"/>
      <w:marLeft w:val="0"/>
      <w:marRight w:val="0"/>
      <w:marTop w:val="0"/>
      <w:marBottom w:val="0"/>
      <w:divBdr>
        <w:top w:val="none" w:sz="0" w:space="0" w:color="auto"/>
        <w:left w:val="none" w:sz="0" w:space="0" w:color="auto"/>
        <w:bottom w:val="none" w:sz="0" w:space="0" w:color="auto"/>
        <w:right w:val="none" w:sz="0" w:space="0" w:color="auto"/>
      </w:divBdr>
    </w:div>
    <w:div w:id="526335078">
      <w:bodyDiv w:val="1"/>
      <w:marLeft w:val="0"/>
      <w:marRight w:val="0"/>
      <w:marTop w:val="0"/>
      <w:marBottom w:val="0"/>
      <w:divBdr>
        <w:top w:val="none" w:sz="0" w:space="0" w:color="auto"/>
        <w:left w:val="none" w:sz="0" w:space="0" w:color="auto"/>
        <w:bottom w:val="none" w:sz="0" w:space="0" w:color="auto"/>
        <w:right w:val="none" w:sz="0" w:space="0" w:color="auto"/>
      </w:divBdr>
      <w:divsChild>
        <w:div w:id="397555963">
          <w:marLeft w:val="979"/>
          <w:marRight w:val="0"/>
          <w:marTop w:val="0"/>
          <w:marBottom w:val="120"/>
          <w:divBdr>
            <w:top w:val="none" w:sz="0" w:space="0" w:color="auto"/>
            <w:left w:val="none" w:sz="0" w:space="0" w:color="auto"/>
            <w:bottom w:val="none" w:sz="0" w:space="0" w:color="auto"/>
            <w:right w:val="none" w:sz="0" w:space="0" w:color="auto"/>
          </w:divBdr>
        </w:div>
        <w:div w:id="1025523050">
          <w:marLeft w:val="979"/>
          <w:marRight w:val="0"/>
          <w:marTop w:val="0"/>
          <w:marBottom w:val="120"/>
          <w:divBdr>
            <w:top w:val="none" w:sz="0" w:space="0" w:color="auto"/>
            <w:left w:val="none" w:sz="0" w:space="0" w:color="auto"/>
            <w:bottom w:val="none" w:sz="0" w:space="0" w:color="auto"/>
            <w:right w:val="none" w:sz="0" w:space="0" w:color="auto"/>
          </w:divBdr>
        </w:div>
        <w:div w:id="1361052737">
          <w:marLeft w:val="979"/>
          <w:marRight w:val="0"/>
          <w:marTop w:val="0"/>
          <w:marBottom w:val="120"/>
          <w:divBdr>
            <w:top w:val="none" w:sz="0" w:space="0" w:color="auto"/>
            <w:left w:val="none" w:sz="0" w:space="0" w:color="auto"/>
            <w:bottom w:val="none" w:sz="0" w:space="0" w:color="auto"/>
            <w:right w:val="none" w:sz="0" w:space="0" w:color="auto"/>
          </w:divBdr>
        </w:div>
      </w:divsChild>
    </w:div>
    <w:div w:id="2028286192">
      <w:bodyDiv w:val="1"/>
      <w:marLeft w:val="0"/>
      <w:marRight w:val="0"/>
      <w:marTop w:val="0"/>
      <w:marBottom w:val="0"/>
      <w:divBdr>
        <w:top w:val="none" w:sz="0" w:space="0" w:color="auto"/>
        <w:left w:val="none" w:sz="0" w:space="0" w:color="auto"/>
        <w:bottom w:val="none" w:sz="0" w:space="0" w:color="auto"/>
        <w:right w:val="none" w:sz="0" w:space="0" w:color="auto"/>
      </w:divBdr>
      <w:divsChild>
        <w:div w:id="1959800845">
          <w:marLeft w:val="1411"/>
          <w:marRight w:val="0"/>
          <w:marTop w:val="120"/>
          <w:marBottom w:val="120"/>
          <w:divBdr>
            <w:top w:val="none" w:sz="0" w:space="0" w:color="auto"/>
            <w:left w:val="none" w:sz="0" w:space="0" w:color="auto"/>
            <w:bottom w:val="none" w:sz="0" w:space="0" w:color="auto"/>
            <w:right w:val="none" w:sz="0" w:space="0" w:color="auto"/>
          </w:divBdr>
        </w:div>
      </w:divsChild>
    </w:div>
    <w:div w:id="2113746865">
      <w:bodyDiv w:val="1"/>
      <w:marLeft w:val="0"/>
      <w:marRight w:val="0"/>
      <w:marTop w:val="0"/>
      <w:marBottom w:val="0"/>
      <w:divBdr>
        <w:top w:val="none" w:sz="0" w:space="0" w:color="auto"/>
        <w:left w:val="none" w:sz="0" w:space="0" w:color="auto"/>
        <w:bottom w:val="none" w:sz="0" w:space="0" w:color="auto"/>
        <w:right w:val="none" w:sz="0" w:space="0" w:color="auto"/>
      </w:divBdr>
      <w:divsChild>
        <w:div w:id="817915684">
          <w:marLeft w:val="979"/>
          <w:marRight w:val="0"/>
          <w:marTop w:val="120"/>
          <w:marBottom w:val="120"/>
          <w:divBdr>
            <w:top w:val="none" w:sz="0" w:space="0" w:color="auto"/>
            <w:left w:val="none" w:sz="0" w:space="0" w:color="auto"/>
            <w:bottom w:val="none" w:sz="0" w:space="0" w:color="auto"/>
            <w:right w:val="none" w:sz="0" w:space="0" w:color="auto"/>
          </w:divBdr>
        </w:div>
        <w:div w:id="1246454750">
          <w:marLeft w:val="979"/>
          <w:marRight w:val="0"/>
          <w:marTop w:val="120"/>
          <w:marBottom w:val="120"/>
          <w:divBdr>
            <w:top w:val="none" w:sz="0" w:space="0" w:color="auto"/>
            <w:left w:val="none" w:sz="0" w:space="0" w:color="auto"/>
            <w:bottom w:val="none" w:sz="0" w:space="0" w:color="auto"/>
            <w:right w:val="none" w:sz="0" w:space="0" w:color="auto"/>
          </w:divBdr>
        </w:div>
        <w:div w:id="1441729274">
          <w:marLeft w:val="979"/>
          <w:marRight w:val="0"/>
          <w:marTop w:val="120"/>
          <w:marBottom w:val="120"/>
          <w:divBdr>
            <w:top w:val="none" w:sz="0" w:space="0" w:color="auto"/>
            <w:left w:val="none" w:sz="0" w:space="0" w:color="auto"/>
            <w:bottom w:val="none" w:sz="0" w:space="0" w:color="auto"/>
            <w:right w:val="none" w:sz="0" w:space="0" w:color="auto"/>
          </w:divBdr>
        </w:div>
        <w:div w:id="1493714999">
          <w:marLeft w:val="979"/>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cms.gov/Medicare/Medicare-Fee-for-Service-Part-B-Drugs/McrPartBDrugAvgSalesPrice/2018ASPFiles.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yperlink" Target="https://www.cms.gov/apps/physician-fee-schedule/search/search-criteria.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s://www.analysource.com/about.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icer-review.org/wp-content/uploads/2018/07/ICER_Reference_Case_July-201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png"/><Relationship Id="rId35" Type="http://schemas.openxmlformats.org/officeDocument/2006/relationships/hyperlink" Target="https://hcupnet.ahrq.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_x0020_Classification xmlns="5289ee5c-6cdf-4c40-b157-64a79f695f1c">Confidential</Sensitivity_x0020_Classification>
  </documentManagement>
</p:properties>
</file>

<file path=customXml/item2.xml><?xml version="1.0" encoding="utf-8"?>
<sisl xmlns:xsi="http://www.w3.org/2001/XMLSchema-instance" xmlns:xsd="http://www.w3.org/2001/XMLSchema" xmlns="http://www.boldonjames.com/2008/01/sie/internal/label" sislVersion="0" policy="a10f9ac0-5937-4b4f-b459-96aedd9ed2c5" origin="userSelected">
  <element uid="id_classification_eusecret" value=""/>
  <element uid="cefbaa69-3bfa-4b56-8d22-6839cb7b06d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C123D0BBF0E9164AB04625E4F2468D4A" ma:contentTypeVersion="1" ma:contentTypeDescription="Create a new document." ma:contentTypeScope="" ma:versionID="8986e121e9da7e8a7942cbb7c825741c">
  <xsd:schema xmlns:xsd="http://www.w3.org/2001/XMLSchema" xmlns:xs="http://www.w3.org/2001/XMLSchema" xmlns:p="http://schemas.microsoft.com/office/2006/metadata/properties" xmlns:ns2="5289ee5c-6cdf-4c40-b157-64a79f695f1c" targetNamespace="http://schemas.microsoft.com/office/2006/metadata/properties" ma:root="true" ma:fieldsID="eac9044336a8d33d6fa93d5a295625af" ns2:_="">
    <xsd:import namespace="5289ee5c-6cdf-4c40-b157-64a79f695f1c"/>
    <xsd:element name="properties">
      <xsd:complexType>
        <xsd:sequence>
          <xsd:element name="documentManagement">
            <xsd:complexType>
              <xsd:all>
                <xsd:element ref="ns2:Sensitivity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9ee5c-6cdf-4c40-b157-64a79f695f1c" elementFormDefault="qualified">
    <xsd:import namespace="http://schemas.microsoft.com/office/2006/documentManagement/types"/>
    <xsd:import namespace="http://schemas.microsoft.com/office/infopath/2007/PartnerControls"/>
    <xsd:element name="Sensitivity_x0020_Classification" ma:index="8" ma:displayName="Sensitivity Classification" ma:internalName="Sensitivity_x0020_Classification">
      <xsd:simpleType>
        <xsd:restriction base="dms:Choice">
          <xsd:enumeration value="Sensitive (highest)"/>
          <xsd:enumeration value="Confidential"/>
          <xsd:enumeration value="Proprietary"/>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0647-D439-471D-8492-6334DD5A1C39}">
  <ds:schemaRefs>
    <ds:schemaRef ds:uri="http://schemas.microsoft.com/office/2006/metadata/properties"/>
    <ds:schemaRef ds:uri="http://schemas.microsoft.com/office/infopath/2007/PartnerControls"/>
    <ds:schemaRef ds:uri="5289ee5c-6cdf-4c40-b157-64a79f695f1c"/>
  </ds:schemaRefs>
</ds:datastoreItem>
</file>

<file path=customXml/itemProps2.xml><?xml version="1.0" encoding="utf-8"?>
<ds:datastoreItem xmlns:ds="http://schemas.openxmlformats.org/officeDocument/2006/customXml" ds:itemID="{828453C9-4136-4947-9FF3-3810F399266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54F3CDE-0E74-4449-9150-B7348A633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9ee5c-6cdf-4c40-b157-64a79f695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C13D1-2896-4424-BEF7-3DE4C03AC5A9}">
  <ds:schemaRefs>
    <ds:schemaRef ds:uri="http://schemas.microsoft.com/sharepoint/v3/contenttype/forms"/>
  </ds:schemaRefs>
</ds:datastoreItem>
</file>

<file path=customXml/itemProps5.xml><?xml version="1.0" encoding="utf-8"?>
<ds:datastoreItem xmlns:ds="http://schemas.openxmlformats.org/officeDocument/2006/customXml" ds:itemID="{06395F4A-0C3E-431A-BE2D-83FF8D76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BresMed</dc:creator>
  <cp:keywords/>
  <dc:description/>
  <cp:lastModifiedBy>Jones, Mark</cp:lastModifiedBy>
  <cp:revision>2</cp:revision>
  <cp:lastPrinted>2016-03-21T10:49:00Z</cp:lastPrinted>
  <dcterms:created xsi:type="dcterms:W3CDTF">2020-05-14T07:24:00Z</dcterms:created>
  <dcterms:modified xsi:type="dcterms:W3CDTF">2020-05-14T07:24:00Z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026ea1ec-d3fe-455a-91bd-ed375416daa1</vt:lpwstr>
  </property>
  <property fmtid="{D5CDD505-2E9C-101B-9397-08002B2CF9AE}" pid="3" name="bjSaver">
    <vt:lpwstr>PoEOQ6OlfTbrVQ76jFwEIB48XcBX1+RW</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uid="id_classification_eusecret" value="" /&gt;&lt;element uid="cefbaa69-3bfa-4b56-8d22-6839cb7b06d0" value="" /&gt;&lt;/sisl&gt;</vt:lpwstr>
  </property>
  <property fmtid="{D5CDD505-2E9C-101B-9397-08002B2CF9AE}" pid="6" name="bjDocumentSecurityLabel">
    <vt:lpwstr>Confidential</vt:lpwstr>
  </property>
  <property fmtid="{D5CDD505-2E9C-101B-9397-08002B2CF9AE}" pid="7" name="MerckMetadataExchange">
    <vt:lpwstr>!$MRK@Confidential-Footer-Left</vt:lpwstr>
  </property>
  <property fmtid="{D5CDD505-2E9C-101B-9397-08002B2CF9AE}" pid="8" name="_NewReviewCycle">
    <vt:lpwstr/>
  </property>
  <property fmtid="{D5CDD505-2E9C-101B-9397-08002B2CF9AE}" pid="9" name="ContentTypeId">
    <vt:lpwstr>0x010100C123D0BBF0E9164AB04625E4F2468D4A</vt:lpwstr>
  </property>
  <property fmtid="{D5CDD505-2E9C-101B-9397-08002B2CF9AE}" pid="10" name="MSIP_Label_181c070e-054b-4d1c-ba4c-fc70b099192e_Enabled">
    <vt:lpwstr>True</vt:lpwstr>
  </property>
  <property fmtid="{D5CDD505-2E9C-101B-9397-08002B2CF9AE}" pid="11" name="MSIP_Label_181c070e-054b-4d1c-ba4c-fc70b099192e_SiteId">
    <vt:lpwstr>2567d566-604c-408a-8a60-55d0dc9d9d6b</vt:lpwstr>
  </property>
  <property fmtid="{D5CDD505-2E9C-101B-9397-08002B2CF9AE}" pid="12" name="MSIP_Label_181c070e-054b-4d1c-ba4c-fc70b099192e_Owner">
    <vt:lpwstr>Mark.J.Jones@informa.com</vt:lpwstr>
  </property>
  <property fmtid="{D5CDD505-2E9C-101B-9397-08002B2CF9AE}" pid="13" name="MSIP_Label_181c070e-054b-4d1c-ba4c-fc70b099192e_SetDate">
    <vt:lpwstr>2020-05-14T07:24:20.3368672Z</vt:lpwstr>
  </property>
  <property fmtid="{D5CDD505-2E9C-101B-9397-08002B2CF9AE}" pid="14" name="MSIP_Label_181c070e-054b-4d1c-ba4c-fc70b099192e_Name">
    <vt:lpwstr>General</vt:lpwstr>
  </property>
  <property fmtid="{D5CDD505-2E9C-101B-9397-08002B2CF9AE}" pid="15" name="MSIP_Label_181c070e-054b-4d1c-ba4c-fc70b099192e_Application">
    <vt:lpwstr>Microsoft Azure Information Protection</vt:lpwstr>
  </property>
  <property fmtid="{D5CDD505-2E9C-101B-9397-08002B2CF9AE}" pid="16" name="MSIP_Label_181c070e-054b-4d1c-ba4c-fc70b099192e_ActionId">
    <vt:lpwstr>e88c47b0-6284-44ed-aa1a-5ab055469407</vt:lpwstr>
  </property>
  <property fmtid="{D5CDD505-2E9C-101B-9397-08002B2CF9AE}" pid="17" name="MSIP_Label_181c070e-054b-4d1c-ba4c-fc70b099192e_Extended_MSFT_Method">
    <vt:lpwstr>Automatic</vt:lpwstr>
  </property>
  <property fmtid="{D5CDD505-2E9C-101B-9397-08002B2CF9AE}" pid="18" name="MSIP_Label_2bbab825-a111-45e4-86a1-18cee0005896_Enabled">
    <vt:lpwstr>True</vt:lpwstr>
  </property>
  <property fmtid="{D5CDD505-2E9C-101B-9397-08002B2CF9AE}" pid="19" name="MSIP_Label_2bbab825-a111-45e4-86a1-18cee0005896_SiteId">
    <vt:lpwstr>2567d566-604c-408a-8a60-55d0dc9d9d6b</vt:lpwstr>
  </property>
  <property fmtid="{D5CDD505-2E9C-101B-9397-08002B2CF9AE}" pid="20" name="MSIP_Label_2bbab825-a111-45e4-86a1-18cee0005896_Owner">
    <vt:lpwstr>Mark.J.Jones@informa.com</vt:lpwstr>
  </property>
  <property fmtid="{D5CDD505-2E9C-101B-9397-08002B2CF9AE}" pid="21" name="MSIP_Label_2bbab825-a111-45e4-86a1-18cee0005896_SetDate">
    <vt:lpwstr>2020-05-14T07:24:20.3368672Z</vt:lpwstr>
  </property>
  <property fmtid="{D5CDD505-2E9C-101B-9397-08002B2CF9AE}" pid="22" name="MSIP_Label_2bbab825-a111-45e4-86a1-18cee0005896_Name">
    <vt:lpwstr>Un-restricted</vt:lpwstr>
  </property>
  <property fmtid="{D5CDD505-2E9C-101B-9397-08002B2CF9AE}" pid="23" name="MSIP_Label_2bbab825-a111-45e4-86a1-18cee0005896_Application">
    <vt:lpwstr>Microsoft Azure Information Protection</vt:lpwstr>
  </property>
  <property fmtid="{D5CDD505-2E9C-101B-9397-08002B2CF9AE}" pid="24" name="MSIP_Label_2bbab825-a111-45e4-86a1-18cee0005896_ActionId">
    <vt:lpwstr>e88c47b0-6284-44ed-aa1a-5ab055469407</vt:lpwstr>
  </property>
  <property fmtid="{D5CDD505-2E9C-101B-9397-08002B2CF9AE}" pid="25" name="MSIP_Label_2bbab825-a111-45e4-86a1-18cee0005896_Parent">
    <vt:lpwstr>181c070e-054b-4d1c-ba4c-fc70b099192e</vt:lpwstr>
  </property>
  <property fmtid="{D5CDD505-2E9C-101B-9397-08002B2CF9AE}" pid="26" name="MSIP_Label_2bbab825-a111-45e4-86a1-18cee0005896_Extended_MSFT_Method">
    <vt:lpwstr>Automatic</vt:lpwstr>
  </property>
  <property fmtid="{D5CDD505-2E9C-101B-9397-08002B2CF9AE}" pid="27" name="Sensitivity">
    <vt:lpwstr>General Un-restricted</vt:lpwstr>
  </property>
</Properties>
</file>