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D8A9" w14:textId="0982C117" w:rsidR="00C55320" w:rsidRPr="0077758C" w:rsidRDefault="00B01ACF" w:rsidP="00C5532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Supplementary material</w:t>
      </w:r>
      <w:r w:rsidR="00C55320" w:rsidRPr="0077758C">
        <w:rPr>
          <w:rFonts w:ascii="Georgia" w:hAnsi="Georgia"/>
          <w:b/>
        </w:rPr>
        <w:t xml:space="preserve">: Transcription </w:t>
      </w:r>
      <w:r w:rsidR="001E43C6">
        <w:rPr>
          <w:rFonts w:ascii="Georgia" w:hAnsi="Georgia"/>
          <w:b/>
        </w:rPr>
        <w:t>conventions</w:t>
      </w:r>
    </w:p>
    <w:p w14:paraId="119B95A7" w14:textId="77777777" w:rsidR="00C55320" w:rsidRPr="0077758C" w:rsidRDefault="00C55320" w:rsidP="00C55320">
      <w:pPr>
        <w:spacing w:after="0" w:line="240" w:lineRule="auto"/>
        <w:jc w:val="both"/>
        <w:rPr>
          <w:rFonts w:ascii="Georgia" w:hAnsi="Georgia"/>
          <w:b/>
        </w:rPr>
      </w:pPr>
    </w:p>
    <w:p w14:paraId="18C8DB5F" w14:textId="652BBE6F" w:rsidR="00C55320" w:rsidRPr="0077758C" w:rsidRDefault="003C0B51" w:rsidP="00C5532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>The transcription conventions</w:t>
      </w:r>
      <w:r w:rsidR="007F521F">
        <w:rPr>
          <w:rFonts w:ascii="Georgia" w:hAnsi="Georgia"/>
        </w:rPr>
        <w:t xml:space="preserve"> used in the present study are outlined below. </w:t>
      </w:r>
      <w:r w:rsidR="00A769A6" w:rsidRPr="0077758C">
        <w:rPr>
          <w:rFonts w:ascii="Georgia" w:hAnsi="Georgia"/>
        </w:rPr>
        <w:t xml:space="preserve">Hepburn and Bolden </w:t>
      </w:r>
      <w:r w:rsidR="007B71E0">
        <w:rPr>
          <w:rFonts w:ascii="Georgia" w:hAnsi="Georgia"/>
        </w:rPr>
        <w:t>[</w:t>
      </w:r>
      <w:r w:rsidR="00E575F5">
        <w:rPr>
          <w:rFonts w:ascii="Georgia" w:hAnsi="Georgia"/>
        </w:rPr>
        <w:t>37]</w:t>
      </w:r>
      <w:r w:rsidR="00C55320" w:rsidRPr="0077758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provide a comprehensive </w:t>
      </w:r>
      <w:r w:rsidR="007F521F">
        <w:rPr>
          <w:rFonts w:ascii="Georgia" w:hAnsi="Georgia"/>
        </w:rPr>
        <w:t>survey of</w:t>
      </w:r>
      <w:r>
        <w:rPr>
          <w:rFonts w:ascii="Georgia" w:hAnsi="Georgia"/>
        </w:rPr>
        <w:t xml:space="preserve"> </w:t>
      </w:r>
      <w:r w:rsidR="00C55320" w:rsidRPr="0077758C">
        <w:rPr>
          <w:rFonts w:ascii="Georgia" w:hAnsi="Georgia"/>
        </w:rPr>
        <w:t>conversation</w:t>
      </w:r>
      <w:r w:rsidR="005E0B56" w:rsidRPr="0077758C">
        <w:rPr>
          <w:rFonts w:ascii="Georgia" w:hAnsi="Georgia"/>
        </w:rPr>
        <w:t>-</w:t>
      </w:r>
      <w:r w:rsidR="00C55320" w:rsidRPr="0077758C">
        <w:rPr>
          <w:rFonts w:ascii="Georgia" w:hAnsi="Georgia"/>
        </w:rPr>
        <w:t>analytic transcription conventions.</w:t>
      </w:r>
    </w:p>
    <w:p w14:paraId="6C948BB9" w14:textId="77777777" w:rsidR="00C55320" w:rsidRPr="0077758C" w:rsidRDefault="00C55320" w:rsidP="00C55320">
      <w:pPr>
        <w:spacing w:after="0" w:line="240" w:lineRule="auto"/>
        <w:rPr>
          <w:rFonts w:ascii="Georgia" w:hAnsi="Georgia"/>
          <w:b/>
        </w:rPr>
      </w:pPr>
    </w:p>
    <w:p w14:paraId="19C12B99" w14:textId="77777777" w:rsidR="00A769A6" w:rsidRPr="0077758C" w:rsidRDefault="00A769A6" w:rsidP="00C55320">
      <w:pPr>
        <w:spacing w:after="0" w:line="240" w:lineRule="auto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585"/>
      </w:tblGrid>
      <w:tr w:rsidR="00A769A6" w:rsidRPr="0077758C" w14:paraId="0196CAFB" w14:textId="77777777" w:rsidTr="0039501B">
        <w:tc>
          <w:tcPr>
            <w:tcW w:w="9242" w:type="dxa"/>
            <w:gridSpan w:val="2"/>
          </w:tcPr>
          <w:p w14:paraId="22B25BEF" w14:textId="77777777" w:rsidR="00A769A6" w:rsidRPr="0077758C" w:rsidRDefault="00A769A6" w:rsidP="005C2D97">
            <w:pPr>
              <w:rPr>
                <w:rFonts w:ascii="Georgia" w:hAnsi="Georgia"/>
                <w:i/>
                <w:sz w:val="22"/>
                <w:szCs w:val="22"/>
              </w:rPr>
            </w:pPr>
            <w:r w:rsidRPr="0077758C">
              <w:rPr>
                <w:rFonts w:ascii="Georgia" w:hAnsi="Georgia"/>
                <w:i/>
                <w:sz w:val="22"/>
                <w:szCs w:val="22"/>
              </w:rPr>
              <w:t>Standard conventions</w:t>
            </w:r>
          </w:p>
          <w:p w14:paraId="2F7DA103" w14:textId="77777777" w:rsidR="00A769A6" w:rsidRPr="0077758C" w:rsidRDefault="00A769A6" w:rsidP="005C2D97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A769A6" w:rsidRPr="0077758C" w14:paraId="7AF2EF47" w14:textId="77777777" w:rsidTr="0039501B">
        <w:tc>
          <w:tcPr>
            <w:tcW w:w="1657" w:type="dxa"/>
          </w:tcPr>
          <w:p w14:paraId="10F5BF53" w14:textId="77777777" w:rsidR="00A769A6" w:rsidRPr="0077758C" w:rsidRDefault="00A769A6" w:rsidP="00A769A6">
            <w:pPr>
              <w:jc w:val="center"/>
              <w:rPr>
                <w:sz w:val="20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[okay]</w:t>
            </w:r>
          </w:p>
        </w:tc>
        <w:tc>
          <w:tcPr>
            <w:tcW w:w="7585" w:type="dxa"/>
          </w:tcPr>
          <w:p w14:paraId="3EB99936" w14:textId="77777777" w:rsidR="00A769A6" w:rsidRPr="0077758C" w:rsidRDefault="00A769A6" w:rsidP="005C2D97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Square brackets mark overlap; left where it begins, right where it ends.</w:t>
            </w:r>
          </w:p>
          <w:p w14:paraId="71378B96" w14:textId="77777777" w:rsidR="00D9737B" w:rsidRPr="0077758C" w:rsidRDefault="00D9737B" w:rsidP="005C2D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769A6" w:rsidRPr="0077758C" w14:paraId="575A409E" w14:textId="77777777" w:rsidTr="0039501B">
        <w:tc>
          <w:tcPr>
            <w:tcW w:w="1657" w:type="dxa"/>
          </w:tcPr>
          <w:p w14:paraId="54D26550" w14:textId="77777777" w:rsidR="00A769A6" w:rsidRPr="0077758C" w:rsidRDefault="00A769A6" w:rsidP="00A769A6">
            <w:pPr>
              <w:jc w:val="center"/>
              <w:rPr>
                <w:sz w:val="20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=</w:t>
            </w:r>
          </w:p>
        </w:tc>
        <w:tc>
          <w:tcPr>
            <w:tcW w:w="7585" w:type="dxa"/>
          </w:tcPr>
          <w:p w14:paraId="268584E8" w14:textId="7A58079E" w:rsidR="00D9737B" w:rsidRPr="0077758C" w:rsidRDefault="00A769A6" w:rsidP="005C2D97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Talk linked by equal signs carries on continuously.</w:t>
            </w:r>
            <w:r w:rsidR="001E43C6">
              <w:rPr>
                <w:rFonts w:ascii="Georgia" w:hAnsi="Georgia"/>
                <w:sz w:val="22"/>
                <w:szCs w:val="22"/>
              </w:rPr>
              <w:t xml:space="preserve"> Within the same speaker’s turn, this indicates talk that carries over non-contiguous transcript lines, or words that are “rushed-through”. Between different speakers, it indicates latching.</w:t>
            </w:r>
          </w:p>
          <w:p w14:paraId="6B487FC3" w14:textId="77777777" w:rsidR="00D9737B" w:rsidRPr="0077758C" w:rsidRDefault="00D9737B" w:rsidP="005C2D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769A6" w:rsidRPr="0077758C" w14:paraId="645A47D4" w14:textId="77777777" w:rsidTr="0039501B">
        <w:tc>
          <w:tcPr>
            <w:tcW w:w="1657" w:type="dxa"/>
          </w:tcPr>
          <w:p w14:paraId="3C6DD314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(0.5)</w:t>
            </w:r>
          </w:p>
        </w:tc>
        <w:tc>
          <w:tcPr>
            <w:tcW w:w="7585" w:type="dxa"/>
          </w:tcPr>
          <w:p w14:paraId="5C476C66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 xml:space="preserve">Silences in tenths of seconds. Parentheses enclosing a single period are </w:t>
            </w:r>
            <w:proofErr w:type="gramStart"/>
            <w:r w:rsidRPr="0077758C">
              <w:rPr>
                <w:rFonts w:ascii="Georgia" w:hAnsi="Georgia"/>
                <w:sz w:val="22"/>
                <w:szCs w:val="22"/>
              </w:rPr>
              <w:t>less  than</w:t>
            </w:r>
            <w:proofErr w:type="gramEnd"/>
            <w:r w:rsidRPr="0077758C">
              <w:rPr>
                <w:rFonts w:ascii="Georgia" w:hAnsi="Georgia"/>
                <w:sz w:val="22"/>
                <w:szCs w:val="22"/>
              </w:rPr>
              <w:t xml:space="preserve"> two tenths of a second.  </w:t>
            </w:r>
          </w:p>
          <w:p w14:paraId="3B165F7E" w14:textId="77777777" w:rsidR="00D9737B" w:rsidRPr="0077758C" w:rsidRDefault="00D9737B" w:rsidP="00A769A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769A6" w:rsidRPr="0077758C" w14:paraId="669A1242" w14:textId="77777777" w:rsidTr="0039501B">
        <w:tc>
          <w:tcPr>
            <w:tcW w:w="1657" w:type="dxa"/>
          </w:tcPr>
          <w:p w14:paraId="76826ECC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? ¿ ,</w:t>
            </w:r>
          </w:p>
        </w:tc>
        <w:tc>
          <w:tcPr>
            <w:tcW w:w="7585" w:type="dxa"/>
          </w:tcPr>
          <w:p w14:paraId="04E17FB3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Strongly rising terminal intonation, less strongly rising, and slightly rising respectively.</w:t>
            </w:r>
          </w:p>
          <w:p w14:paraId="59ECA59B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72B1D8D3" w14:textId="77777777" w:rsidTr="0039501B">
        <w:tc>
          <w:tcPr>
            <w:tcW w:w="1657" w:type="dxa"/>
          </w:tcPr>
          <w:p w14:paraId="3FBB5DD8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_ ; .</w:t>
            </w:r>
          </w:p>
        </w:tc>
        <w:tc>
          <w:tcPr>
            <w:tcW w:w="7585" w:type="dxa"/>
          </w:tcPr>
          <w:p w14:paraId="120C0894" w14:textId="77777777" w:rsidR="00A769A6" w:rsidRPr="0077758C" w:rsidRDefault="00A769A6" w:rsidP="00A769A6">
            <w:pPr>
              <w:rPr>
                <w:rFonts w:ascii="Georgia" w:hAnsi="Georgia" w:cs="Courier New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Level terminal intonation, slightly falling, and strongly falling respectively.</w:t>
            </w:r>
          </w:p>
        </w:tc>
      </w:tr>
      <w:tr w:rsidR="007A5253" w:rsidRPr="0077758C" w14:paraId="03851BFC" w14:textId="77777777" w:rsidTr="0039501B">
        <w:tc>
          <w:tcPr>
            <w:tcW w:w="1657" w:type="dxa"/>
          </w:tcPr>
          <w:p w14:paraId="5C3AE5C5" w14:textId="77777777" w:rsidR="007A5253" w:rsidRPr="0077758C" w:rsidRDefault="007A5253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</w:p>
        </w:tc>
        <w:tc>
          <w:tcPr>
            <w:tcW w:w="7585" w:type="dxa"/>
          </w:tcPr>
          <w:p w14:paraId="5A8D8DC8" w14:textId="77777777" w:rsidR="007A5253" w:rsidRPr="0077758C" w:rsidRDefault="007A5253" w:rsidP="00A769A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769A6" w:rsidRPr="0077758C" w14:paraId="216D5CDA" w14:textId="77777777" w:rsidTr="0039501B">
        <w:tc>
          <w:tcPr>
            <w:tcW w:w="1657" w:type="dxa"/>
          </w:tcPr>
          <w:p w14:paraId="2BD8064C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↑ ↓</w:t>
            </w:r>
          </w:p>
        </w:tc>
        <w:tc>
          <w:tcPr>
            <w:tcW w:w="7585" w:type="dxa"/>
          </w:tcPr>
          <w:p w14:paraId="19765DF7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Up and down arrows mark sharp shifts in pitch.</w:t>
            </w:r>
          </w:p>
          <w:p w14:paraId="6CFF83BA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4F252AE0" w14:textId="77777777" w:rsidTr="0039501B">
        <w:tc>
          <w:tcPr>
            <w:tcW w:w="1657" w:type="dxa"/>
          </w:tcPr>
          <w:p w14:paraId="7B8FC86B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proofErr w:type="gramStart"/>
            <w:r w:rsidRPr="0077758C">
              <w:rPr>
                <w:rFonts w:ascii="Courier New" w:hAnsi="Courier New" w:cs="Courier New"/>
                <w:sz w:val="20"/>
                <w:szCs w:val="18"/>
              </w:rPr>
              <w:t>l:ong</w:t>
            </w:r>
            <w:proofErr w:type="gramEnd"/>
          </w:p>
        </w:tc>
        <w:tc>
          <w:tcPr>
            <w:tcW w:w="7585" w:type="dxa"/>
          </w:tcPr>
          <w:p w14:paraId="5608BE09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Colons mark lengthening of the preceding sound.</w:t>
            </w:r>
          </w:p>
          <w:p w14:paraId="286F4134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72709DD2" w14:textId="77777777" w:rsidTr="0039501B">
        <w:tc>
          <w:tcPr>
            <w:tcW w:w="1657" w:type="dxa"/>
          </w:tcPr>
          <w:p w14:paraId="5FEABC0C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proofErr w:type="spellStart"/>
            <w:r w:rsidRPr="0077758C">
              <w:rPr>
                <w:rFonts w:ascii="Courier New" w:hAnsi="Courier New" w:cs="Courier New"/>
                <w:sz w:val="20"/>
                <w:szCs w:val="18"/>
              </w:rPr>
              <w:t>bu</w:t>
            </w:r>
            <w:proofErr w:type="spellEnd"/>
            <w:r w:rsidRPr="0077758C">
              <w:rPr>
                <w:rFonts w:ascii="Courier New" w:hAnsi="Courier New" w:cs="Courier New"/>
                <w:sz w:val="20"/>
                <w:szCs w:val="18"/>
              </w:rPr>
              <w:t>-</w:t>
            </w:r>
          </w:p>
        </w:tc>
        <w:tc>
          <w:tcPr>
            <w:tcW w:w="7585" w:type="dxa"/>
          </w:tcPr>
          <w:p w14:paraId="4B3D0F0C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Hyphens mark an abrupt cut-off.</w:t>
            </w:r>
          </w:p>
          <w:p w14:paraId="00770E6A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60E637BE" w14:textId="77777777" w:rsidTr="0039501B">
        <w:tc>
          <w:tcPr>
            <w:tcW w:w="1657" w:type="dxa"/>
          </w:tcPr>
          <w:p w14:paraId="65636CA9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st</w:t>
            </w:r>
            <w:r w:rsidRPr="0077758C">
              <w:rPr>
                <w:rFonts w:ascii="Courier New" w:hAnsi="Courier New" w:cs="Courier New"/>
                <w:sz w:val="20"/>
                <w:szCs w:val="18"/>
                <w:u w:val="single"/>
              </w:rPr>
              <w:t>re</w:t>
            </w:r>
            <w:r w:rsidRPr="0077758C">
              <w:rPr>
                <w:rFonts w:ascii="Courier New" w:hAnsi="Courier New" w:cs="Courier New"/>
                <w:sz w:val="20"/>
                <w:szCs w:val="18"/>
              </w:rPr>
              <w:t>ss</w:t>
            </w:r>
          </w:p>
        </w:tc>
        <w:tc>
          <w:tcPr>
            <w:tcW w:w="7585" w:type="dxa"/>
          </w:tcPr>
          <w:p w14:paraId="324C8003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Underlining marks emphasis.</w:t>
            </w:r>
          </w:p>
          <w:p w14:paraId="3BD7CD27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4F9D1DEE" w14:textId="77777777" w:rsidTr="0039501B">
        <w:tc>
          <w:tcPr>
            <w:tcW w:w="1657" w:type="dxa"/>
          </w:tcPr>
          <w:p w14:paraId="7AF56769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LOUD</w:t>
            </w:r>
          </w:p>
        </w:tc>
        <w:tc>
          <w:tcPr>
            <w:tcW w:w="7585" w:type="dxa"/>
          </w:tcPr>
          <w:p w14:paraId="338D1CDC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Capitals mark talk that is</w:t>
            </w:r>
            <w:r w:rsidR="00302380" w:rsidRPr="0077758C">
              <w:rPr>
                <w:rFonts w:ascii="Georgia" w:hAnsi="Georgia"/>
                <w:sz w:val="22"/>
                <w:szCs w:val="22"/>
              </w:rPr>
              <w:t xml:space="preserve"> substantially</w:t>
            </w:r>
            <w:r w:rsidRPr="0077758C">
              <w:rPr>
                <w:rFonts w:ascii="Georgia" w:hAnsi="Georgia"/>
                <w:sz w:val="22"/>
                <w:szCs w:val="22"/>
              </w:rPr>
              <w:t xml:space="preserve"> louder than surrounding talk.</w:t>
            </w:r>
          </w:p>
          <w:p w14:paraId="4798E52F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3ADE5D38" w14:textId="77777777" w:rsidTr="0039501B">
        <w:tc>
          <w:tcPr>
            <w:tcW w:w="1657" w:type="dxa"/>
          </w:tcPr>
          <w:p w14:paraId="599215D7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ºquietº</w:t>
            </w:r>
          </w:p>
        </w:tc>
        <w:tc>
          <w:tcPr>
            <w:tcW w:w="7585" w:type="dxa"/>
          </w:tcPr>
          <w:p w14:paraId="545CC5E7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Degrees symbols mark talk that is quieter than surrounding talk.</w:t>
            </w:r>
          </w:p>
          <w:p w14:paraId="0620FEDF" w14:textId="77777777" w:rsidR="00D9737B" w:rsidRPr="0077758C" w:rsidRDefault="00D9737B" w:rsidP="00A769A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769A6" w:rsidRPr="0077758C" w14:paraId="2D8108F5" w14:textId="77777777" w:rsidTr="0039501B">
        <w:tc>
          <w:tcPr>
            <w:tcW w:w="1657" w:type="dxa"/>
          </w:tcPr>
          <w:p w14:paraId="7FAB0D9F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&gt;fast&lt;</w:t>
            </w:r>
          </w:p>
        </w:tc>
        <w:tc>
          <w:tcPr>
            <w:tcW w:w="7585" w:type="dxa"/>
          </w:tcPr>
          <w:p w14:paraId="60369C9F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Inward less than/greater than symbols mark talk that is faster than surrounding talk</w:t>
            </w:r>
            <w:r w:rsidR="00D9737B" w:rsidRPr="0077758C">
              <w:rPr>
                <w:rFonts w:ascii="Georgia" w:hAnsi="Georgia"/>
                <w:sz w:val="22"/>
                <w:szCs w:val="22"/>
              </w:rPr>
              <w:t>.</w:t>
            </w:r>
          </w:p>
          <w:p w14:paraId="2A237660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6FF35CA5" w14:textId="77777777" w:rsidTr="0039501B">
        <w:tc>
          <w:tcPr>
            <w:tcW w:w="1657" w:type="dxa"/>
          </w:tcPr>
          <w:p w14:paraId="4A416ECD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&lt;slow&gt;</w:t>
            </w:r>
          </w:p>
        </w:tc>
        <w:tc>
          <w:tcPr>
            <w:tcW w:w="7585" w:type="dxa"/>
          </w:tcPr>
          <w:p w14:paraId="4B449978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Outward less than/greater than symbols mark talk that is slower than surrounding talk.</w:t>
            </w:r>
          </w:p>
          <w:p w14:paraId="21C0791F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4DABA552" w14:textId="77777777" w:rsidTr="0039501B">
        <w:tc>
          <w:tcPr>
            <w:tcW w:w="1657" w:type="dxa"/>
          </w:tcPr>
          <w:p w14:paraId="66362398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proofErr w:type="gramStart"/>
            <w:r w:rsidRPr="0077758C">
              <w:rPr>
                <w:rFonts w:ascii="Courier New" w:hAnsi="Courier New" w:cs="Courier New"/>
                <w:sz w:val="20"/>
                <w:szCs w:val="18"/>
              </w:rPr>
              <w:t>.</w:t>
            </w:r>
            <w:proofErr w:type="spellStart"/>
            <w:r w:rsidRPr="0077758C">
              <w:rPr>
                <w:rFonts w:ascii="Courier New" w:hAnsi="Courier New" w:cs="Courier New"/>
                <w:sz w:val="20"/>
                <w:szCs w:val="18"/>
              </w:rPr>
              <w:t>hh</w:t>
            </w:r>
            <w:proofErr w:type="spellEnd"/>
            <w:proofErr w:type="gramEnd"/>
            <w:r w:rsidRPr="0077758C">
              <w:rPr>
                <w:rFonts w:ascii="Courier New" w:hAnsi="Courier New" w:cs="Courier New"/>
                <w:sz w:val="20"/>
                <w:szCs w:val="18"/>
              </w:rPr>
              <w:t xml:space="preserve"> </w:t>
            </w:r>
            <w:proofErr w:type="spellStart"/>
            <w:r w:rsidRPr="0077758C">
              <w:rPr>
                <w:rFonts w:ascii="Courier New" w:hAnsi="Courier New" w:cs="Courier New"/>
                <w:sz w:val="20"/>
                <w:szCs w:val="18"/>
              </w:rPr>
              <w:t>hh</w:t>
            </w:r>
            <w:proofErr w:type="spellEnd"/>
            <w:r w:rsidRPr="0077758C">
              <w:rPr>
                <w:rFonts w:ascii="Courier New" w:hAnsi="Courier New" w:cs="Courier New"/>
                <w:sz w:val="20"/>
                <w:szCs w:val="18"/>
              </w:rPr>
              <w:t xml:space="preserve"> (h)</w:t>
            </w:r>
          </w:p>
        </w:tc>
        <w:tc>
          <w:tcPr>
            <w:tcW w:w="7585" w:type="dxa"/>
          </w:tcPr>
          <w:p w14:paraId="46006F96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In-breaths, out-breaths, and aspiration with a word respectively.</w:t>
            </w:r>
          </w:p>
          <w:p w14:paraId="19C5A084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67051F" w:rsidRPr="0077758C" w14:paraId="74A68235" w14:textId="77777777" w:rsidTr="0039501B">
        <w:tc>
          <w:tcPr>
            <w:tcW w:w="1657" w:type="dxa"/>
          </w:tcPr>
          <w:p w14:paraId="4CF20B90" w14:textId="77777777" w:rsidR="0067051F" w:rsidRPr="0077758C" w:rsidRDefault="0067051F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proofErr w:type="gramStart"/>
            <w:r w:rsidRPr="0077758C">
              <w:rPr>
                <w:rFonts w:ascii="Courier New" w:hAnsi="Courier New" w:cs="Courier New"/>
                <w:sz w:val="20"/>
                <w:szCs w:val="18"/>
              </w:rPr>
              <w:t>.</w:t>
            </w:r>
            <w:proofErr w:type="spellStart"/>
            <w:r w:rsidRPr="0077758C">
              <w:rPr>
                <w:rFonts w:ascii="Courier New" w:hAnsi="Courier New" w:cs="Courier New"/>
                <w:sz w:val="20"/>
                <w:szCs w:val="18"/>
              </w:rPr>
              <w:t>mtk</w:t>
            </w:r>
            <w:proofErr w:type="spellEnd"/>
            <w:proofErr w:type="gramEnd"/>
            <w:r w:rsidRPr="0077758C">
              <w:rPr>
                <w:rFonts w:ascii="Courier New" w:hAnsi="Courier New" w:cs="Courier New"/>
                <w:sz w:val="20"/>
                <w:szCs w:val="18"/>
              </w:rPr>
              <w:t xml:space="preserve">  .</w:t>
            </w:r>
            <w:proofErr w:type="spellStart"/>
            <w:r w:rsidRPr="0077758C">
              <w:rPr>
                <w:rFonts w:ascii="Courier New" w:hAnsi="Courier New" w:cs="Courier New"/>
                <w:sz w:val="20"/>
                <w:szCs w:val="18"/>
              </w:rPr>
              <w:t>tk</w:t>
            </w:r>
            <w:proofErr w:type="spellEnd"/>
          </w:p>
          <w:p w14:paraId="7CB265CE" w14:textId="77777777" w:rsidR="0067051F" w:rsidRPr="0077758C" w:rsidRDefault="0067051F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</w:p>
        </w:tc>
        <w:tc>
          <w:tcPr>
            <w:tcW w:w="7585" w:type="dxa"/>
          </w:tcPr>
          <w:p w14:paraId="62F88F83" w14:textId="77777777" w:rsidR="0067051F" w:rsidRPr="0077758C" w:rsidRDefault="0067051F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Lip smacks and alveolar clicks</w:t>
            </w:r>
          </w:p>
        </w:tc>
      </w:tr>
      <w:tr w:rsidR="00A769A6" w:rsidRPr="0077758C" w14:paraId="59CDA5B3" w14:textId="77777777" w:rsidTr="0039501B">
        <w:tc>
          <w:tcPr>
            <w:tcW w:w="1657" w:type="dxa"/>
          </w:tcPr>
          <w:p w14:paraId="32DE217E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(unsure)</w:t>
            </w:r>
          </w:p>
        </w:tc>
        <w:tc>
          <w:tcPr>
            <w:tcW w:w="7585" w:type="dxa"/>
          </w:tcPr>
          <w:p w14:paraId="0EB7AA87" w14:textId="77777777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Text in parentheses are a transcriptionist’s “best guess”.</w:t>
            </w:r>
          </w:p>
          <w:p w14:paraId="3715C905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77758C" w14:paraId="15A207F2" w14:textId="77777777" w:rsidTr="0039501B">
        <w:tc>
          <w:tcPr>
            <w:tcW w:w="1657" w:type="dxa"/>
          </w:tcPr>
          <w:p w14:paraId="415A988C" w14:textId="77777777" w:rsidR="00A769A6" w:rsidRPr="0077758C" w:rsidRDefault="00A769A6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((activity))</w:t>
            </w:r>
          </w:p>
        </w:tc>
        <w:tc>
          <w:tcPr>
            <w:tcW w:w="7585" w:type="dxa"/>
          </w:tcPr>
          <w:p w14:paraId="4B9B0881" w14:textId="77777777" w:rsidR="00A769A6" w:rsidRPr="0077758C" w:rsidRDefault="00A769A6" w:rsidP="00A769A6">
            <w:pPr>
              <w:rPr>
                <w:rFonts w:ascii="Georgia" w:hAnsi="Georgia" w:cs="Courier New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Text in double parentheses are a transcriptionist’s description of events.</w:t>
            </w:r>
          </w:p>
        </w:tc>
      </w:tr>
      <w:tr w:rsidR="00A769A6" w:rsidRPr="0077758C" w14:paraId="778587F5" w14:textId="77777777" w:rsidTr="0039501B">
        <w:tc>
          <w:tcPr>
            <w:tcW w:w="1657" w:type="dxa"/>
          </w:tcPr>
          <w:p w14:paraId="0417828B" w14:textId="77777777" w:rsidR="00A769A6" w:rsidRPr="0077758C" w:rsidRDefault="00A769A6" w:rsidP="00A769A6">
            <w:pPr>
              <w:jc w:val="center"/>
              <w:rPr>
                <w:sz w:val="20"/>
              </w:rPr>
            </w:pPr>
          </w:p>
          <w:p w14:paraId="14F7C7BF" w14:textId="77777777" w:rsidR="0039501B" w:rsidRPr="0077758C" w:rsidRDefault="0039501B" w:rsidP="00A769A6">
            <w:pPr>
              <w:jc w:val="center"/>
              <w:rPr>
                <w:sz w:val="20"/>
              </w:rPr>
            </w:pPr>
          </w:p>
        </w:tc>
        <w:tc>
          <w:tcPr>
            <w:tcW w:w="7585" w:type="dxa"/>
          </w:tcPr>
          <w:p w14:paraId="00B6952D" w14:textId="77777777" w:rsidR="00A769A6" w:rsidRPr="0077758C" w:rsidRDefault="00A769A6" w:rsidP="00A769A6">
            <w:pPr>
              <w:rPr>
                <w:rFonts w:ascii="Georgia" w:hAnsi="Georgia"/>
              </w:rPr>
            </w:pPr>
          </w:p>
        </w:tc>
      </w:tr>
      <w:tr w:rsidR="00A769A6" w:rsidRPr="0077758C" w14:paraId="11EB1047" w14:textId="77777777" w:rsidTr="0039501B">
        <w:tc>
          <w:tcPr>
            <w:tcW w:w="9242" w:type="dxa"/>
            <w:gridSpan w:val="2"/>
          </w:tcPr>
          <w:p w14:paraId="34F4DF36" w14:textId="77777777" w:rsidR="003675BF" w:rsidRDefault="003675BF" w:rsidP="00A769A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48412263" w14:textId="77777777" w:rsidR="003675BF" w:rsidRDefault="003675BF" w:rsidP="00A769A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3FD3B11C" w14:textId="77777777" w:rsidR="003675BF" w:rsidRDefault="003675BF" w:rsidP="00A769A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6FD80384" w14:textId="77777777" w:rsidR="003675BF" w:rsidRDefault="003675BF" w:rsidP="00A769A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58BDAD14" w14:textId="373E65E6" w:rsidR="00A769A6" w:rsidRPr="0077758C" w:rsidRDefault="001E43C6" w:rsidP="00A769A6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lastRenderedPageBreak/>
              <w:t>Additional</w:t>
            </w:r>
            <w:r w:rsidR="00A769A6" w:rsidRPr="0077758C">
              <w:rPr>
                <w:rFonts w:ascii="Georgia" w:hAnsi="Georgia"/>
                <w:i/>
                <w:sz w:val="22"/>
                <w:szCs w:val="22"/>
              </w:rPr>
              <w:t xml:space="preserve"> conventions</w:t>
            </w:r>
          </w:p>
          <w:p w14:paraId="7FA5AD02" w14:textId="77777777" w:rsidR="0039501B" w:rsidRPr="0077758C" w:rsidRDefault="0039501B" w:rsidP="00A769A6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1E43C6" w:rsidRPr="0077758C" w14:paraId="2157F30D" w14:textId="77777777" w:rsidTr="0039501B">
        <w:tc>
          <w:tcPr>
            <w:tcW w:w="1657" w:type="dxa"/>
          </w:tcPr>
          <w:p w14:paraId="3E9F1761" w14:textId="0895D92C" w:rsidR="001E43C6" w:rsidRPr="001E43C6" w:rsidRDefault="001E43C6" w:rsidP="00A769A6">
            <w:pPr>
              <w:jc w:val="center"/>
              <w:rPr>
                <w:rFonts w:ascii="Courier New" w:hAnsi="Courier New" w:cs="Courier New"/>
                <w:b/>
                <w:sz w:val="20"/>
                <w:szCs w:val="18"/>
              </w:rPr>
            </w:pPr>
            <w:r w:rsidRPr="001E43C6">
              <w:rPr>
                <w:rFonts w:ascii="Courier New" w:hAnsi="Courier New" w:cs="Courier New"/>
                <w:b/>
                <w:sz w:val="20"/>
                <w:szCs w:val="18"/>
              </w:rPr>
              <w:lastRenderedPageBreak/>
              <w:t xml:space="preserve">A1 </w:t>
            </w:r>
          </w:p>
          <w:p w14:paraId="4E6F395C" w14:textId="77777777" w:rsidR="001E43C6" w:rsidRDefault="001E43C6" w:rsidP="00A769A6">
            <w:pPr>
              <w:jc w:val="center"/>
              <w:rPr>
                <w:rFonts w:ascii="Courier New" w:hAnsi="Courier New" w:cs="Courier New"/>
                <w:b/>
                <w:sz w:val="20"/>
                <w:szCs w:val="18"/>
              </w:rPr>
            </w:pPr>
            <w:r w:rsidRPr="001E43C6">
              <w:rPr>
                <w:rFonts w:ascii="Courier New" w:hAnsi="Courier New" w:cs="Courier New"/>
                <w:b/>
                <w:sz w:val="20"/>
                <w:szCs w:val="18"/>
              </w:rPr>
              <w:t>A2</w:t>
            </w:r>
          </w:p>
          <w:p w14:paraId="5A42104C" w14:textId="1BF86B98" w:rsidR="007A5253" w:rsidRPr="007A5253" w:rsidRDefault="007A5253" w:rsidP="00A76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A5253">
              <w:rPr>
                <w:rFonts w:ascii="Courier New" w:eastAsia="Courier New" w:hAnsi="Courier New" w:cs="Courier New"/>
                <w:b/>
                <w:sz w:val="20"/>
                <w:szCs w:val="20"/>
              </w:rPr>
              <w:t>Ø</w:t>
            </w:r>
          </w:p>
        </w:tc>
        <w:tc>
          <w:tcPr>
            <w:tcW w:w="7585" w:type="dxa"/>
          </w:tcPr>
          <w:p w14:paraId="37805EEE" w14:textId="234ABF57" w:rsidR="001E43C6" w:rsidRDefault="001E43C6" w:rsidP="00A769A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Bolded “A1” and “A2” indicate the lines on which the target response mobilising actions begin. The corresponding lines of transcript are also presented in bold.</w:t>
            </w:r>
            <w:r w:rsidR="007A5253">
              <w:rPr>
                <w:rFonts w:ascii="Georgia" w:hAnsi="Georgia"/>
                <w:sz w:val="22"/>
                <w:szCs w:val="22"/>
              </w:rPr>
              <w:t xml:space="preserve"> “</w:t>
            </w:r>
            <w:r w:rsidR="007A5253" w:rsidRPr="007A5253">
              <w:rPr>
                <w:rFonts w:ascii="Georgia" w:eastAsia="Courier New" w:hAnsi="Georgia" w:cs="Courier New"/>
                <w:bCs/>
                <w:sz w:val="22"/>
                <w:szCs w:val="22"/>
              </w:rPr>
              <w:t>Ø” indicates an absent response.</w:t>
            </w:r>
          </w:p>
          <w:p w14:paraId="337818B0" w14:textId="16759275" w:rsidR="001E43C6" w:rsidRPr="0077758C" w:rsidRDefault="001E43C6" w:rsidP="00A769A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769A6" w:rsidRPr="0077758C" w14:paraId="54A79BA9" w14:textId="77777777" w:rsidTr="0039501B">
        <w:tc>
          <w:tcPr>
            <w:tcW w:w="1657" w:type="dxa"/>
          </w:tcPr>
          <w:p w14:paraId="02106B54" w14:textId="77777777" w:rsidR="00A769A6" w:rsidRPr="0077758C" w:rsidRDefault="00513F57" w:rsidP="00A769A6">
            <w:pPr>
              <w:jc w:val="center"/>
              <w:rPr>
                <w:rFonts w:ascii="Courier New" w:hAnsi="Courier New" w:cs="Courier New"/>
                <w:sz w:val="20"/>
                <w:szCs w:val="18"/>
              </w:rPr>
            </w:pPr>
            <w:r w:rsidRPr="0077758C">
              <w:rPr>
                <w:rFonts w:ascii="Courier New" w:hAnsi="Courier New" w:cs="Courier New"/>
                <w:sz w:val="20"/>
                <w:szCs w:val="18"/>
              </w:rPr>
              <w:t>(-----)</w:t>
            </w:r>
          </w:p>
        </w:tc>
        <w:tc>
          <w:tcPr>
            <w:tcW w:w="7585" w:type="dxa"/>
          </w:tcPr>
          <w:p w14:paraId="4AF22086" w14:textId="75200574" w:rsidR="00A769A6" w:rsidRPr="0077758C" w:rsidRDefault="00A769A6" w:rsidP="00A769A6">
            <w:pPr>
              <w:rPr>
                <w:rFonts w:ascii="Georgia" w:hAnsi="Georgia"/>
                <w:sz w:val="22"/>
                <w:szCs w:val="22"/>
              </w:rPr>
            </w:pPr>
            <w:r w:rsidRPr="0077758C">
              <w:rPr>
                <w:rFonts w:ascii="Georgia" w:hAnsi="Georgia"/>
                <w:sz w:val="22"/>
                <w:szCs w:val="22"/>
              </w:rPr>
              <w:t>An alternative system</w:t>
            </w:r>
            <w:r w:rsidR="00513F57" w:rsidRPr="0077758C">
              <w:rPr>
                <w:rFonts w:ascii="Georgia" w:hAnsi="Georgia"/>
                <w:sz w:val="22"/>
                <w:szCs w:val="22"/>
              </w:rPr>
              <w:t xml:space="preserve"> for transcribing silence</w:t>
            </w:r>
            <w:r w:rsidRPr="0077758C">
              <w:rPr>
                <w:rFonts w:ascii="Georgia" w:hAnsi="Georgia"/>
                <w:sz w:val="22"/>
                <w:szCs w:val="22"/>
              </w:rPr>
              <w:t xml:space="preserve"> involves enclosing hyphens between parentheses. Each hyphen represents one tenth of a second, with every number indicating </w:t>
            </w:r>
            <w:r w:rsidR="0039501B" w:rsidRPr="0077758C">
              <w:rPr>
                <w:rFonts w:ascii="Georgia" w:hAnsi="Georgia"/>
                <w:sz w:val="22"/>
                <w:szCs w:val="22"/>
              </w:rPr>
              <w:t>a corresponding</w:t>
            </w:r>
            <w:r w:rsidRPr="0077758C">
              <w:rPr>
                <w:rFonts w:ascii="Georgia" w:hAnsi="Georgia"/>
                <w:sz w:val="22"/>
                <w:szCs w:val="22"/>
              </w:rPr>
              <w:t xml:space="preserve"> second of silence. This notation is used </w:t>
            </w:r>
            <w:r w:rsidR="001E43C6">
              <w:rPr>
                <w:rFonts w:ascii="Georgia" w:hAnsi="Georgia"/>
                <w:sz w:val="22"/>
                <w:szCs w:val="22"/>
              </w:rPr>
              <w:t>when it is necessary to</w:t>
            </w:r>
            <w:r w:rsidRPr="0077758C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77758C">
              <w:rPr>
                <w:rFonts w:ascii="Georgia" w:hAnsi="Georgia"/>
                <w:sz w:val="22"/>
                <w:szCs w:val="22"/>
              </w:rPr>
              <w:t>iconically</w:t>
            </w:r>
            <w:proofErr w:type="spellEnd"/>
            <w:r w:rsidRPr="0077758C">
              <w:rPr>
                <w:rFonts w:ascii="Georgia" w:hAnsi="Georgia"/>
                <w:sz w:val="22"/>
                <w:szCs w:val="22"/>
              </w:rPr>
              <w:t xml:space="preserve"> depict </w:t>
            </w:r>
            <w:r w:rsidR="001E43C6">
              <w:rPr>
                <w:rFonts w:ascii="Georgia" w:hAnsi="Georgia"/>
                <w:sz w:val="22"/>
                <w:szCs w:val="22"/>
              </w:rPr>
              <w:t>the</w:t>
            </w:r>
            <w:r w:rsidRPr="0077758C">
              <w:rPr>
                <w:rFonts w:ascii="Georgia" w:hAnsi="Georgia"/>
                <w:sz w:val="22"/>
                <w:szCs w:val="22"/>
              </w:rPr>
              <w:t xml:space="preserve"> duration</w:t>
            </w:r>
            <w:r w:rsidR="001E43C6">
              <w:rPr>
                <w:rFonts w:ascii="Georgia" w:hAnsi="Georgia"/>
                <w:sz w:val="22"/>
                <w:szCs w:val="22"/>
              </w:rPr>
              <w:t xml:space="preserve"> of silence</w:t>
            </w:r>
            <w:r w:rsidRPr="0077758C">
              <w:rPr>
                <w:rFonts w:ascii="Georgia" w:hAnsi="Georgia"/>
                <w:sz w:val="22"/>
                <w:szCs w:val="22"/>
              </w:rPr>
              <w:t>.</w:t>
            </w:r>
          </w:p>
          <w:p w14:paraId="45D69890" w14:textId="77777777" w:rsidR="00D9737B" w:rsidRPr="0077758C" w:rsidRDefault="00D9737B" w:rsidP="00A769A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769A6" w:rsidRPr="0077758C" w14:paraId="1176DDE2" w14:textId="77777777" w:rsidTr="0039501B">
        <w:tc>
          <w:tcPr>
            <w:tcW w:w="1657" w:type="dxa"/>
          </w:tcPr>
          <w:p w14:paraId="0CE11BED" w14:textId="77777777" w:rsidR="00A769A6" w:rsidRDefault="001E43C6" w:rsidP="00A769A6">
            <w:pPr>
              <w:jc w:val="center"/>
              <w:rPr>
                <w:rFonts w:ascii="Courier New" w:hAnsi="Courier New" w:cs="Courier New"/>
                <w:i/>
                <w:sz w:val="20"/>
                <w:szCs w:val="18"/>
              </w:rPr>
            </w:pPr>
            <w:r w:rsidRPr="001E43C6">
              <w:rPr>
                <w:rFonts w:ascii="Courier New" w:hAnsi="Courier New" w:cs="Courier New"/>
                <w:i/>
                <w:sz w:val="20"/>
                <w:szCs w:val="18"/>
              </w:rPr>
              <w:t>#</w:t>
            </w:r>
            <w:r>
              <w:rPr>
                <w:rFonts w:ascii="Courier New" w:hAnsi="Courier New" w:cs="Courier New"/>
                <w:i/>
                <w:sz w:val="20"/>
                <w:szCs w:val="18"/>
              </w:rPr>
              <w:t>here</w:t>
            </w:r>
          </w:p>
          <w:p w14:paraId="3D0B89F2" w14:textId="1F9833A5" w:rsidR="001E43C6" w:rsidRPr="001E43C6" w:rsidRDefault="001E43C6" w:rsidP="00A769A6">
            <w:pPr>
              <w:jc w:val="center"/>
              <w:rPr>
                <w:rFonts w:ascii="Courier New" w:hAnsi="Courier New" w:cs="Courier New"/>
                <w:i/>
                <w:sz w:val="20"/>
              </w:rPr>
            </w:pPr>
            <w:r>
              <w:rPr>
                <w:rFonts w:ascii="Courier New" w:hAnsi="Courier New" w:cs="Courier New"/>
                <w:i/>
                <w:sz w:val="20"/>
              </w:rPr>
              <w:t>#1.1</w:t>
            </w:r>
          </w:p>
        </w:tc>
        <w:tc>
          <w:tcPr>
            <w:tcW w:w="7585" w:type="dxa"/>
          </w:tcPr>
          <w:p w14:paraId="7EB7E3CC" w14:textId="49575421" w:rsidR="00A769A6" w:rsidRPr="0077758C" w:rsidRDefault="001E43C6" w:rsidP="00A769A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Hash marks in italics signify the precise timing of screenshots presented in </w:t>
            </w:r>
            <w:r w:rsidR="00E575F5">
              <w:rPr>
                <w:rFonts w:ascii="Georgia" w:hAnsi="Georgia"/>
                <w:sz w:val="22"/>
                <w:szCs w:val="22"/>
              </w:rPr>
              <w:t>f</w:t>
            </w:r>
            <w:r>
              <w:rPr>
                <w:rFonts w:ascii="Georgia" w:hAnsi="Georgia"/>
                <w:sz w:val="22"/>
                <w:szCs w:val="22"/>
              </w:rPr>
              <w:t xml:space="preserve">igures. The hash mark on the transcript line indicates the moment of the screenshot relative to talk or silence. The corresponding screenshot is depicted with a hash mark and a number immediately below. The number indicates the data extract, and order of the screenshot (e.g., the </w:t>
            </w:r>
            <w:r w:rsidR="003C0B51">
              <w:rPr>
                <w:rFonts w:ascii="Georgia" w:hAnsi="Georgia"/>
                <w:sz w:val="22"/>
                <w:szCs w:val="22"/>
              </w:rPr>
              <w:t>third</w:t>
            </w:r>
            <w:r>
              <w:rPr>
                <w:rFonts w:ascii="Georgia" w:hAnsi="Georgia"/>
                <w:sz w:val="22"/>
                <w:szCs w:val="22"/>
              </w:rPr>
              <w:t xml:space="preserve"> screenshot for </w:t>
            </w:r>
            <w:r w:rsidR="00E575F5">
              <w:rPr>
                <w:rFonts w:ascii="Georgia" w:hAnsi="Georgia"/>
                <w:sz w:val="22"/>
                <w:szCs w:val="22"/>
              </w:rPr>
              <w:t>e</w:t>
            </w:r>
            <w:r>
              <w:rPr>
                <w:rFonts w:ascii="Georgia" w:hAnsi="Georgia"/>
                <w:sz w:val="22"/>
                <w:szCs w:val="22"/>
              </w:rPr>
              <w:t xml:space="preserve">xtract </w:t>
            </w:r>
            <w:r w:rsidR="003C0B51">
              <w:rPr>
                <w:rFonts w:ascii="Georgia" w:hAnsi="Georgia"/>
                <w:sz w:val="22"/>
                <w:szCs w:val="22"/>
              </w:rPr>
              <w:t>5</w:t>
            </w:r>
            <w:r>
              <w:rPr>
                <w:rFonts w:ascii="Georgia" w:hAnsi="Georgia"/>
                <w:sz w:val="22"/>
                <w:szCs w:val="22"/>
              </w:rPr>
              <w:t xml:space="preserve"> would be labelled “</w:t>
            </w:r>
            <w:r>
              <w:rPr>
                <w:rFonts w:ascii="Georgia" w:hAnsi="Georgia"/>
                <w:i/>
                <w:sz w:val="22"/>
                <w:szCs w:val="22"/>
              </w:rPr>
              <w:t>#</w:t>
            </w:r>
            <w:r w:rsidR="003C0B51">
              <w:rPr>
                <w:rFonts w:ascii="Georgia" w:hAnsi="Georgia"/>
                <w:i/>
                <w:sz w:val="22"/>
                <w:szCs w:val="22"/>
              </w:rPr>
              <w:t>5</w:t>
            </w:r>
            <w:r>
              <w:rPr>
                <w:rFonts w:ascii="Georgia" w:hAnsi="Georgia"/>
                <w:i/>
                <w:sz w:val="22"/>
                <w:szCs w:val="22"/>
              </w:rPr>
              <w:t>.</w:t>
            </w:r>
            <w:r w:rsidR="003C0B51">
              <w:rPr>
                <w:rFonts w:ascii="Georgia" w:hAnsi="Georgia"/>
                <w:i/>
                <w:sz w:val="22"/>
                <w:szCs w:val="22"/>
              </w:rPr>
              <w:t>3</w:t>
            </w:r>
            <w:r>
              <w:rPr>
                <w:rFonts w:ascii="Georgia" w:hAnsi="Georgia"/>
                <w:sz w:val="22"/>
                <w:szCs w:val="22"/>
              </w:rPr>
              <w:t xml:space="preserve">”). </w:t>
            </w:r>
          </w:p>
          <w:p w14:paraId="6FAB15F9" w14:textId="77777777" w:rsidR="00D9737B" w:rsidRPr="0077758C" w:rsidRDefault="00D9737B" w:rsidP="00A769A6">
            <w:pPr>
              <w:rPr>
                <w:rFonts w:ascii="Georgia" w:hAnsi="Georgia" w:cs="Courier New"/>
                <w:sz w:val="22"/>
                <w:szCs w:val="22"/>
              </w:rPr>
            </w:pPr>
          </w:p>
        </w:tc>
      </w:tr>
      <w:tr w:rsidR="00A769A6" w:rsidRPr="00A769A6" w14:paraId="700FD714" w14:textId="77777777" w:rsidTr="0039501B">
        <w:tc>
          <w:tcPr>
            <w:tcW w:w="1657" w:type="dxa"/>
          </w:tcPr>
          <w:p w14:paraId="6BC30A01" w14:textId="77777777" w:rsidR="00A769A6" w:rsidRPr="00A769A6" w:rsidRDefault="00A769A6" w:rsidP="00A769A6">
            <w:pPr>
              <w:jc w:val="center"/>
              <w:rPr>
                <w:sz w:val="20"/>
              </w:rPr>
            </w:pPr>
          </w:p>
        </w:tc>
        <w:tc>
          <w:tcPr>
            <w:tcW w:w="7585" w:type="dxa"/>
          </w:tcPr>
          <w:p w14:paraId="3463B47C" w14:textId="77777777" w:rsidR="00A769A6" w:rsidRPr="00A769A6" w:rsidRDefault="00A769A6" w:rsidP="00A769A6">
            <w:pPr>
              <w:rPr>
                <w:rFonts w:ascii="Georgia" w:hAnsi="Georgia"/>
              </w:rPr>
            </w:pPr>
          </w:p>
        </w:tc>
      </w:tr>
    </w:tbl>
    <w:p w14:paraId="2ABB18E5" w14:textId="77777777" w:rsidR="00576F35" w:rsidRDefault="00576F35" w:rsidP="00576F35">
      <w:pPr>
        <w:spacing w:after="0" w:line="240" w:lineRule="auto"/>
      </w:pPr>
    </w:p>
    <w:p w14:paraId="66B6E221" w14:textId="77777777" w:rsidR="00576F35" w:rsidRDefault="00576F35" w:rsidP="00C55320"/>
    <w:sectPr w:rsidR="00576F35" w:rsidSect="009E21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57D4" w14:textId="77777777" w:rsidR="00F6276D" w:rsidRDefault="00F6276D" w:rsidP="00A769A6">
      <w:pPr>
        <w:spacing w:after="0" w:line="240" w:lineRule="auto"/>
      </w:pPr>
      <w:r>
        <w:separator/>
      </w:r>
    </w:p>
  </w:endnote>
  <w:endnote w:type="continuationSeparator" w:id="0">
    <w:p w14:paraId="514F8E24" w14:textId="77777777" w:rsidR="00F6276D" w:rsidRDefault="00F6276D" w:rsidP="00A7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99D9" w14:textId="62FAB398" w:rsidR="00ED1F1B" w:rsidRDefault="00ED1F1B" w:rsidP="00ED1F1B"/>
  <w:p w14:paraId="0D4259F5" w14:textId="122FA799" w:rsidR="00B01B57" w:rsidRPr="00ED1F1B" w:rsidRDefault="00E979E9" w:rsidP="00ED1F1B">
    <w:pPr>
      <w:pStyle w:val="Footer"/>
      <w:jc w:val="right"/>
      <w:rPr>
        <w:rFonts w:ascii="Georgia" w:hAnsi="Georgia"/>
        <w:sz w:val="20"/>
      </w:rPr>
    </w:pPr>
    <w:bookmarkStart w:id="0" w:name="_Hlk19086129"/>
    <w:bookmarkStart w:id="1" w:name="_Hlk19086130"/>
    <w:r w:rsidRPr="00C91817">
      <w:rPr>
        <w:rFonts w:ascii="Georgia" w:hAnsi="Georgia"/>
        <w:sz w:val="20"/>
        <w:szCs w:val="20"/>
        <w:lang w:val="en-US"/>
      </w:rPr>
      <w:t>R</w:t>
    </w:r>
    <w:r w:rsidR="00B01ACF">
      <w:rPr>
        <w:rFonts w:ascii="Georgia" w:hAnsi="Georgia"/>
        <w:sz w:val="20"/>
        <w:szCs w:val="20"/>
        <w:lang w:val="en-US"/>
      </w:rPr>
      <w:t>ight hemisphere stroke and</w:t>
    </w:r>
    <w:r w:rsidRPr="00C91817">
      <w:rPr>
        <w:rFonts w:ascii="Georgia" w:hAnsi="Georgia"/>
        <w:sz w:val="20"/>
        <w:szCs w:val="20"/>
        <w:lang w:val="en-US"/>
      </w:rPr>
      <w:t xml:space="preserve"> disability: </w:t>
    </w:r>
    <w:bookmarkEnd w:id="0"/>
    <w:bookmarkEnd w:id="1"/>
    <w:r w:rsidR="005C0D38">
      <w:rPr>
        <w:rFonts w:ascii="Georgia" w:hAnsi="Georgia"/>
        <w:sz w:val="20"/>
        <w:szCs w:val="20"/>
        <w:lang w:val="en-US"/>
      </w:rPr>
      <w:t>R</w:t>
    </w:r>
    <w:r w:rsidR="00C858C0">
      <w:rPr>
        <w:rFonts w:ascii="Georgia" w:hAnsi="Georgia"/>
        <w:sz w:val="20"/>
        <w:szCs w:val="20"/>
        <w:lang w:val="en-US"/>
      </w:rPr>
      <w:t>2</w:t>
    </w:r>
    <w:r w:rsidR="005C0D38">
      <w:rPr>
        <w:rFonts w:ascii="Georgia" w:hAnsi="Georgia"/>
        <w:sz w:val="20"/>
        <w:szCs w:val="20"/>
        <w:lang w:val="en-US"/>
      </w:rPr>
      <w:t xml:space="preserve">, </w:t>
    </w:r>
    <w:r w:rsidR="00C858C0">
      <w:rPr>
        <w:rFonts w:ascii="Georgia" w:hAnsi="Georgia"/>
        <w:sz w:val="20"/>
        <w:szCs w:val="20"/>
        <w:lang w:val="en-US"/>
      </w:rPr>
      <w:t>May</w:t>
    </w:r>
    <w:r w:rsidR="005C0D38">
      <w:rPr>
        <w:rFonts w:ascii="Georgia" w:hAnsi="Georgia"/>
        <w:sz w:val="20"/>
        <w:szCs w:val="20"/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6486" w14:textId="77777777" w:rsidR="00F6276D" w:rsidRDefault="00F6276D" w:rsidP="00A769A6">
      <w:pPr>
        <w:spacing w:after="0" w:line="240" w:lineRule="auto"/>
      </w:pPr>
      <w:r>
        <w:separator/>
      </w:r>
    </w:p>
  </w:footnote>
  <w:footnote w:type="continuationSeparator" w:id="0">
    <w:p w14:paraId="33F89DF1" w14:textId="77777777" w:rsidR="00F6276D" w:rsidRDefault="00F6276D" w:rsidP="00A7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20"/>
    <w:rsid w:val="0003374A"/>
    <w:rsid w:val="0005789B"/>
    <w:rsid w:val="001474DA"/>
    <w:rsid w:val="001E43C6"/>
    <w:rsid w:val="00204952"/>
    <w:rsid w:val="00245E29"/>
    <w:rsid w:val="00293FF3"/>
    <w:rsid w:val="002A7348"/>
    <w:rsid w:val="002E7709"/>
    <w:rsid w:val="00302380"/>
    <w:rsid w:val="0036487F"/>
    <w:rsid w:val="00366710"/>
    <w:rsid w:val="003675BF"/>
    <w:rsid w:val="003879C4"/>
    <w:rsid w:val="0039501B"/>
    <w:rsid w:val="003C0B51"/>
    <w:rsid w:val="003F4B25"/>
    <w:rsid w:val="00404F0C"/>
    <w:rsid w:val="004617FF"/>
    <w:rsid w:val="00464F23"/>
    <w:rsid w:val="00494540"/>
    <w:rsid w:val="004B779F"/>
    <w:rsid w:val="005043D6"/>
    <w:rsid w:val="00513F57"/>
    <w:rsid w:val="00516165"/>
    <w:rsid w:val="00525EF6"/>
    <w:rsid w:val="00536AE1"/>
    <w:rsid w:val="00541F3A"/>
    <w:rsid w:val="00576F35"/>
    <w:rsid w:val="00576FC0"/>
    <w:rsid w:val="005C0D38"/>
    <w:rsid w:val="005E0B56"/>
    <w:rsid w:val="006520ED"/>
    <w:rsid w:val="0065259E"/>
    <w:rsid w:val="00660B8A"/>
    <w:rsid w:val="0067051F"/>
    <w:rsid w:val="006A6010"/>
    <w:rsid w:val="006C4DCE"/>
    <w:rsid w:val="006D651B"/>
    <w:rsid w:val="006E488D"/>
    <w:rsid w:val="006F4CB9"/>
    <w:rsid w:val="00757ED0"/>
    <w:rsid w:val="0077758C"/>
    <w:rsid w:val="00791079"/>
    <w:rsid w:val="00797B36"/>
    <w:rsid w:val="007A5253"/>
    <w:rsid w:val="007B2345"/>
    <w:rsid w:val="007B71E0"/>
    <w:rsid w:val="007F0994"/>
    <w:rsid w:val="007F521F"/>
    <w:rsid w:val="008310DC"/>
    <w:rsid w:val="00875BF5"/>
    <w:rsid w:val="008D25B4"/>
    <w:rsid w:val="00932F22"/>
    <w:rsid w:val="009E2170"/>
    <w:rsid w:val="009F28B1"/>
    <w:rsid w:val="00A349EC"/>
    <w:rsid w:val="00A769A6"/>
    <w:rsid w:val="00AA123F"/>
    <w:rsid w:val="00AA2162"/>
    <w:rsid w:val="00AC08C8"/>
    <w:rsid w:val="00AE075D"/>
    <w:rsid w:val="00AE2A51"/>
    <w:rsid w:val="00AF7E02"/>
    <w:rsid w:val="00B01ACF"/>
    <w:rsid w:val="00B01B57"/>
    <w:rsid w:val="00B1072B"/>
    <w:rsid w:val="00B156E5"/>
    <w:rsid w:val="00B24945"/>
    <w:rsid w:val="00B5510E"/>
    <w:rsid w:val="00BB5361"/>
    <w:rsid w:val="00BE0736"/>
    <w:rsid w:val="00C00A5E"/>
    <w:rsid w:val="00C10829"/>
    <w:rsid w:val="00C44D42"/>
    <w:rsid w:val="00C55320"/>
    <w:rsid w:val="00C74DF6"/>
    <w:rsid w:val="00C858C0"/>
    <w:rsid w:val="00C97006"/>
    <w:rsid w:val="00CA4F40"/>
    <w:rsid w:val="00D54E2B"/>
    <w:rsid w:val="00D87CE6"/>
    <w:rsid w:val="00D9158A"/>
    <w:rsid w:val="00D9737B"/>
    <w:rsid w:val="00E545A3"/>
    <w:rsid w:val="00E564B4"/>
    <w:rsid w:val="00E575F5"/>
    <w:rsid w:val="00E84EA9"/>
    <w:rsid w:val="00E91DEA"/>
    <w:rsid w:val="00E9398F"/>
    <w:rsid w:val="00E979E9"/>
    <w:rsid w:val="00EB428D"/>
    <w:rsid w:val="00EC1609"/>
    <w:rsid w:val="00EC4DEE"/>
    <w:rsid w:val="00ED1F1B"/>
    <w:rsid w:val="00EF374B"/>
    <w:rsid w:val="00EF510D"/>
    <w:rsid w:val="00F41F69"/>
    <w:rsid w:val="00F45FF1"/>
    <w:rsid w:val="00F601E3"/>
    <w:rsid w:val="00F6276D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6E469"/>
  <w15:docId w15:val="{EA7497FA-9B6A-4E5F-911E-FD33567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A6"/>
  </w:style>
  <w:style w:type="paragraph" w:styleId="Footer">
    <w:name w:val="footer"/>
    <w:basedOn w:val="Normal"/>
    <w:link w:val="FooterChar"/>
    <w:uiPriority w:val="99"/>
    <w:unhideWhenUsed/>
    <w:rsid w:val="00A7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A6"/>
  </w:style>
  <w:style w:type="table" w:styleId="TableGrid">
    <w:name w:val="Table Grid"/>
    <w:basedOn w:val="TableNormal"/>
    <w:uiPriority w:val="59"/>
    <w:rsid w:val="00A7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84A2-1A06-4CC5-AB2D-ED8DB474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Garth Corp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Barnes</cp:lastModifiedBy>
  <cp:revision>31</cp:revision>
  <cp:lastPrinted>2019-11-25T06:46:00Z</cp:lastPrinted>
  <dcterms:created xsi:type="dcterms:W3CDTF">2011-10-24T22:36:00Z</dcterms:created>
  <dcterms:modified xsi:type="dcterms:W3CDTF">2020-05-04T03:43:00Z</dcterms:modified>
</cp:coreProperties>
</file>