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Titel"/>
        <w:pBdr>
          <w:bottom w:val="none" w:sz="0" w:space="0" w:color="auto"/>
        </w:pBdr>
        <w:spacing w:line="240" w:lineRule="auto"/>
        <w:rPr>
          <w:rFonts w:ascii="Times New Roman" w:hAnsi="Times New Roman" w:cs="Times New Roman"/>
          <w:lang w:val="en-US"/>
        </w:rPr>
      </w:pPr>
      <w:bookmarkStart w:id="0" w:name="_Hlk36302677"/>
      <w:bookmarkEnd w:id="0"/>
      <w:r>
        <w:rPr>
          <w:rFonts w:ascii="Times New Roman" w:hAnsi="Times New Roman" w:cs="Times New Roman"/>
          <w:lang w:val="en-US"/>
        </w:rPr>
        <w:t>Supplementary Information</w:t>
      </w:r>
    </w:p>
    <w:p>
      <w:pPr>
        <w:pStyle w:val="Titel"/>
        <w:pBdr>
          <w:bottom w:val="none" w:sz="0" w:space="0" w:color="auto"/>
        </w:pBd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Metabolomics profiling to investigate nanomaterial toxicity </w:t>
      </w:r>
      <w:r>
        <w:rPr>
          <w:rFonts w:ascii="Times New Roman" w:hAnsi="Times New Roman" w:cs="Times New Roman"/>
          <w:i/>
          <w:iCs/>
          <w:lang w:val="en-US"/>
        </w:rPr>
        <w:t>in vitro</w:t>
      </w:r>
      <w:r>
        <w:rPr>
          <w:rFonts w:ascii="Times New Roman" w:hAnsi="Times New Roman" w:cs="Times New Roman"/>
          <w:lang w:val="en-US"/>
        </w:rPr>
        <w:t xml:space="preserve"> and </w:t>
      </w:r>
      <w:r>
        <w:rPr>
          <w:rFonts w:ascii="Times New Roman" w:hAnsi="Times New Roman" w:cs="Times New Roman"/>
          <w:i/>
          <w:iCs/>
          <w:lang w:val="en-US"/>
        </w:rPr>
        <w:t>in vivo</w:t>
      </w:r>
    </w:p>
    <w:p>
      <w:pPr>
        <w:spacing w:before="160"/>
        <w:jc w:val="center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Anne </w:t>
      </w:r>
      <w:proofErr w:type="spellStart"/>
      <w:r>
        <w:rPr>
          <w:rFonts w:eastAsia="Calibri"/>
          <w:lang w:val="en-US"/>
        </w:rPr>
        <w:t>Bannuscher</w:t>
      </w:r>
      <w:r>
        <w:rPr>
          <w:rFonts w:eastAsia="Calibri"/>
          <w:vertAlign w:val="superscript"/>
          <w:lang w:val="en-US"/>
        </w:rPr>
        <w:t>a.b</w:t>
      </w:r>
      <w:proofErr w:type="spellEnd"/>
      <w:r>
        <w:rPr>
          <w:rFonts w:eastAsia="Calibri"/>
          <w:lang w:val="en-US"/>
        </w:rPr>
        <w:t xml:space="preserve">, Bryan </w:t>
      </w:r>
      <w:proofErr w:type="spellStart"/>
      <w:r>
        <w:rPr>
          <w:rFonts w:eastAsia="Calibri"/>
          <w:lang w:val="en-US"/>
        </w:rPr>
        <w:t>Hellack</w:t>
      </w:r>
      <w:r>
        <w:rPr>
          <w:rFonts w:eastAsia="Calibri"/>
          <w:vertAlign w:val="superscript"/>
          <w:lang w:val="en-US"/>
        </w:rPr>
        <w:t>c,d</w:t>
      </w:r>
      <w:proofErr w:type="spellEnd"/>
      <w:r>
        <w:rPr>
          <w:rFonts w:eastAsia="Calibri"/>
          <w:lang w:val="en-US"/>
        </w:rPr>
        <w:t>,</w:t>
      </w:r>
      <w:r>
        <w:rPr>
          <w:lang w:val="en-US"/>
        </w:rPr>
        <w:t xml:space="preserve"> </w:t>
      </w:r>
      <w:r>
        <w:rPr>
          <w:rFonts w:eastAsia="Calibri"/>
          <w:lang w:val="en-US"/>
        </w:rPr>
        <w:t xml:space="preserve">Aileen </w:t>
      </w:r>
      <w:proofErr w:type="spellStart"/>
      <w:r>
        <w:rPr>
          <w:rFonts w:eastAsia="Calibri"/>
          <w:lang w:val="en-US"/>
        </w:rPr>
        <w:t>Bahl</w:t>
      </w:r>
      <w:r>
        <w:rPr>
          <w:rFonts w:eastAsia="Calibri"/>
          <w:vertAlign w:val="superscript"/>
          <w:lang w:val="en-US"/>
        </w:rPr>
        <w:t>a</w:t>
      </w:r>
      <w:proofErr w:type="spellEnd"/>
      <w:r>
        <w:rPr>
          <w:rFonts w:eastAsia="Calibri"/>
          <w:lang w:val="en-US"/>
        </w:rPr>
        <w:t xml:space="preserve">, Julie </w:t>
      </w:r>
      <w:proofErr w:type="spellStart"/>
      <w:r>
        <w:rPr>
          <w:rFonts w:eastAsia="Calibri"/>
          <w:lang w:val="en-US"/>
        </w:rPr>
        <w:t>Laloy</w:t>
      </w:r>
      <w:r>
        <w:rPr>
          <w:rFonts w:eastAsia="Calibri"/>
          <w:vertAlign w:val="superscript"/>
          <w:lang w:val="en-US"/>
        </w:rPr>
        <w:t>e</w:t>
      </w:r>
      <w:proofErr w:type="spellEnd"/>
      <w:r>
        <w:rPr>
          <w:rFonts w:eastAsia="Calibri"/>
          <w:lang w:val="en-US"/>
        </w:rPr>
        <w:t xml:space="preserve">, Hildegard </w:t>
      </w:r>
      <w:proofErr w:type="spellStart"/>
      <w:r>
        <w:rPr>
          <w:rFonts w:eastAsia="Calibri"/>
          <w:lang w:val="en-US"/>
        </w:rPr>
        <w:t>Herman</w:t>
      </w:r>
      <w:r>
        <w:rPr>
          <w:rFonts w:eastAsia="Calibri"/>
          <w:vertAlign w:val="superscript"/>
          <w:lang w:val="en-US"/>
        </w:rPr>
        <w:t>f</w:t>
      </w:r>
      <w:proofErr w:type="spellEnd"/>
      <w:r>
        <w:rPr>
          <w:rFonts w:eastAsia="Calibri"/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Miruna</w:t>
      </w:r>
      <w:proofErr w:type="spellEnd"/>
      <w:r>
        <w:rPr>
          <w:rFonts w:eastAsia="Calibri"/>
          <w:lang w:val="en-US"/>
        </w:rPr>
        <w:t xml:space="preserve"> S. </w:t>
      </w:r>
      <w:proofErr w:type="spellStart"/>
      <w:r>
        <w:rPr>
          <w:rFonts w:eastAsia="Calibri"/>
          <w:lang w:val="en-US"/>
        </w:rPr>
        <w:t>Stan</w:t>
      </w:r>
      <w:r>
        <w:rPr>
          <w:rFonts w:eastAsia="Calibri"/>
          <w:vertAlign w:val="superscript"/>
          <w:lang w:val="en-US"/>
        </w:rPr>
        <w:t>g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Anca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Dinischiotu</w:t>
      </w:r>
      <w:r>
        <w:rPr>
          <w:rFonts w:eastAsia="Calibri"/>
          <w:vertAlign w:val="superscript"/>
          <w:lang w:val="en-US"/>
        </w:rPr>
        <w:t>g</w:t>
      </w:r>
      <w:proofErr w:type="spellEnd"/>
      <w:r>
        <w:rPr>
          <w:rFonts w:eastAsia="Calibri"/>
          <w:lang w:val="en-US"/>
        </w:rPr>
        <w:t xml:space="preserve">, Anna </w:t>
      </w:r>
      <w:proofErr w:type="spellStart"/>
      <w:r>
        <w:rPr>
          <w:rFonts w:eastAsia="Calibri"/>
          <w:lang w:val="en-US"/>
        </w:rPr>
        <w:t>Giusti</w:t>
      </w:r>
      <w:r>
        <w:rPr>
          <w:rFonts w:eastAsia="Calibri"/>
          <w:vertAlign w:val="superscript"/>
          <w:lang w:val="en-US"/>
        </w:rPr>
        <w:t>a</w:t>
      </w:r>
      <w:proofErr w:type="spellEnd"/>
      <w:r>
        <w:rPr>
          <w:rFonts w:eastAsia="Calibri"/>
          <w:lang w:val="en-US"/>
        </w:rPr>
        <w:t xml:space="preserve">, Benjamin-Christoph </w:t>
      </w:r>
      <w:proofErr w:type="spellStart"/>
      <w:r>
        <w:rPr>
          <w:rFonts w:eastAsia="Calibri"/>
          <w:lang w:val="en-US"/>
        </w:rPr>
        <w:t>Krause</w:t>
      </w:r>
      <w:r>
        <w:rPr>
          <w:rFonts w:eastAsia="Calibri"/>
          <w:vertAlign w:val="superscript"/>
          <w:lang w:val="en-US"/>
        </w:rPr>
        <w:t>a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Jutta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Tentschert</w:t>
      </w:r>
      <w:r>
        <w:rPr>
          <w:rFonts w:eastAsia="Calibri"/>
          <w:vertAlign w:val="superscript"/>
          <w:lang w:val="en-US"/>
        </w:rPr>
        <w:t>a</w:t>
      </w:r>
      <w:proofErr w:type="spellEnd"/>
      <w:r>
        <w:rPr>
          <w:rFonts w:eastAsia="Calibri"/>
          <w:lang w:val="en-US"/>
        </w:rPr>
        <w:t xml:space="preserve">, Marcel </w:t>
      </w:r>
      <w:proofErr w:type="spellStart"/>
      <w:r>
        <w:rPr>
          <w:rFonts w:eastAsia="Calibri"/>
          <w:lang w:val="en-US"/>
        </w:rPr>
        <w:t>Roșu</w:t>
      </w:r>
      <w:r>
        <w:rPr>
          <w:rFonts w:eastAsia="Calibri"/>
          <w:vertAlign w:val="superscript"/>
          <w:lang w:val="en-US"/>
        </w:rPr>
        <w:t>f</w:t>
      </w:r>
      <w:proofErr w:type="spellEnd"/>
      <w:r>
        <w:rPr>
          <w:rFonts w:eastAsia="Calibri"/>
          <w:lang w:val="en-US"/>
        </w:rPr>
        <w:t xml:space="preserve">, Cornel </w:t>
      </w:r>
      <w:proofErr w:type="spellStart"/>
      <w:r>
        <w:rPr>
          <w:rFonts w:eastAsia="Calibri"/>
          <w:lang w:val="en-US"/>
        </w:rPr>
        <w:t>Balta</w:t>
      </w:r>
      <w:r>
        <w:rPr>
          <w:rFonts w:eastAsia="Calibri"/>
          <w:vertAlign w:val="superscript"/>
          <w:lang w:val="en-US"/>
        </w:rPr>
        <w:t>f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Anca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Hermenean</w:t>
      </w:r>
      <w:r>
        <w:rPr>
          <w:rFonts w:eastAsia="Calibri"/>
          <w:vertAlign w:val="superscript"/>
          <w:lang w:val="en-US"/>
        </w:rPr>
        <w:t>f,g</w:t>
      </w:r>
      <w:proofErr w:type="spellEnd"/>
      <w:r>
        <w:rPr>
          <w:rFonts w:eastAsia="Calibri"/>
          <w:lang w:val="en-US"/>
        </w:rPr>
        <w:t xml:space="preserve">, </w:t>
      </w:r>
      <w:r>
        <w:rPr>
          <w:lang w:val="en-US"/>
        </w:rPr>
        <w:t xml:space="preserve">Martin </w:t>
      </w:r>
      <w:proofErr w:type="spellStart"/>
      <w:r>
        <w:rPr>
          <w:lang w:val="en-US"/>
        </w:rPr>
        <w:t>Wiemann</w:t>
      </w:r>
      <w:r>
        <w:rPr>
          <w:sz w:val="28"/>
          <w:szCs w:val="28"/>
          <w:vertAlign w:val="superscript"/>
          <w:lang w:val="en-US"/>
        </w:rPr>
        <w:t>h</w:t>
      </w:r>
      <w:proofErr w:type="spellEnd"/>
      <w:r>
        <w:rPr>
          <w:rFonts w:eastAsia="Calibri"/>
          <w:lang w:val="en-US"/>
        </w:rPr>
        <w:t xml:space="preserve">, Andreas </w:t>
      </w:r>
      <w:proofErr w:type="spellStart"/>
      <w:r>
        <w:rPr>
          <w:rFonts w:eastAsia="Calibri"/>
          <w:lang w:val="en-US"/>
        </w:rPr>
        <w:t>Luch</w:t>
      </w:r>
      <w:r>
        <w:rPr>
          <w:rFonts w:eastAsia="Calibri"/>
          <w:vertAlign w:val="superscript"/>
          <w:lang w:val="en-US"/>
        </w:rPr>
        <w:t>a</w:t>
      </w:r>
      <w:proofErr w:type="spellEnd"/>
      <w:r>
        <w:rPr>
          <w:rFonts w:eastAsia="Calibri"/>
          <w:lang w:val="en-US"/>
        </w:rPr>
        <w:t xml:space="preserve"> and Andrea </w:t>
      </w:r>
      <w:proofErr w:type="spellStart"/>
      <w:r>
        <w:rPr>
          <w:rFonts w:eastAsia="Calibri"/>
          <w:lang w:val="en-US"/>
        </w:rPr>
        <w:t>Haase</w:t>
      </w:r>
      <w:r>
        <w:rPr>
          <w:rFonts w:eastAsia="Calibri"/>
          <w:vertAlign w:val="superscript"/>
          <w:lang w:val="en-US"/>
        </w:rPr>
        <w:t>a</w:t>
      </w:r>
      <w:proofErr w:type="spellEnd"/>
    </w:p>
    <w:p>
      <w:pPr>
        <w:spacing w:before="160" w:line="240" w:lineRule="auto"/>
        <w:ind w:left="142" w:hanging="142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>a</w:t>
      </w:r>
      <w:r>
        <w:rPr>
          <w:rFonts w:eastAsia="Calibri"/>
          <w:sz w:val="20"/>
          <w:szCs w:val="20"/>
          <w:lang w:val="en-US"/>
        </w:rPr>
        <w:t xml:space="preserve"> German Federal Institute for Risk Assessment (</w:t>
      </w:r>
      <w:proofErr w:type="spellStart"/>
      <w:r>
        <w:rPr>
          <w:rFonts w:eastAsia="Calibri"/>
          <w:sz w:val="20"/>
          <w:szCs w:val="20"/>
          <w:lang w:val="en-US"/>
        </w:rPr>
        <w:t>BfR</w:t>
      </w:r>
      <w:proofErr w:type="spellEnd"/>
      <w:r>
        <w:rPr>
          <w:rFonts w:eastAsia="Calibri"/>
          <w:sz w:val="20"/>
          <w:szCs w:val="20"/>
          <w:lang w:val="en-US"/>
        </w:rPr>
        <w:t>), Department of Chemical and Product Safety, Berlin, Germany</w:t>
      </w:r>
    </w:p>
    <w:p>
      <w:pPr>
        <w:spacing w:before="160" w:line="240" w:lineRule="auto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>b</w:t>
      </w:r>
      <w:r>
        <w:rPr>
          <w:rFonts w:eastAsia="Calibri"/>
          <w:sz w:val="20"/>
          <w:szCs w:val="20"/>
          <w:lang w:val="en-US"/>
        </w:rPr>
        <w:t xml:space="preserve"> Adolphe Merkle Institute (AMI), University of Fribourg, Fribourg, Switzerland</w:t>
      </w:r>
    </w:p>
    <w:p>
      <w:pPr>
        <w:spacing w:before="160" w:line="240" w:lineRule="auto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>c</w:t>
      </w:r>
      <w:r>
        <w:rPr>
          <w:rFonts w:eastAsia="Calibri"/>
          <w:sz w:val="20"/>
          <w:szCs w:val="20"/>
          <w:lang w:val="en-US"/>
        </w:rPr>
        <w:t xml:space="preserve"> Institute of Energy and Environmental Technology (IUTA) </w:t>
      </w:r>
      <w:proofErr w:type="spellStart"/>
      <w:r>
        <w:rPr>
          <w:rFonts w:eastAsia="Calibri"/>
          <w:sz w:val="20"/>
          <w:szCs w:val="20"/>
          <w:lang w:val="en-US"/>
        </w:rPr>
        <w:t>e.V</w:t>
      </w:r>
      <w:proofErr w:type="spellEnd"/>
      <w:r>
        <w:rPr>
          <w:rFonts w:eastAsia="Calibri"/>
          <w:sz w:val="20"/>
          <w:szCs w:val="20"/>
          <w:lang w:val="en-US"/>
        </w:rPr>
        <w:t>., Duisburg, Germany</w:t>
      </w:r>
    </w:p>
    <w:p>
      <w:pPr>
        <w:spacing w:before="160" w:line="240" w:lineRule="auto"/>
        <w:ind w:left="142" w:hanging="142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>d</w:t>
      </w:r>
      <w:r>
        <w:rPr>
          <w:rFonts w:eastAsia="Calibri"/>
          <w:sz w:val="20"/>
          <w:szCs w:val="20"/>
          <w:lang w:val="en-US"/>
        </w:rPr>
        <w:t xml:space="preserve"> German Environment Agency (UBA), Dessau, Germany</w:t>
      </w:r>
    </w:p>
    <w:p>
      <w:pPr>
        <w:spacing w:before="160" w:line="240" w:lineRule="auto"/>
        <w:ind w:left="142" w:hanging="142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 xml:space="preserve">e </w:t>
      </w:r>
      <w:r>
        <w:rPr>
          <w:rFonts w:eastAsia="Calibri"/>
          <w:sz w:val="20"/>
          <w:szCs w:val="20"/>
          <w:lang w:val="en-US"/>
        </w:rPr>
        <w:t xml:space="preserve">University of Namur, Department of Pharmacy, Namur </w:t>
      </w:r>
      <w:proofErr w:type="spellStart"/>
      <w:r>
        <w:rPr>
          <w:rFonts w:eastAsia="Calibri"/>
          <w:sz w:val="20"/>
          <w:szCs w:val="20"/>
          <w:lang w:val="en-US"/>
        </w:rPr>
        <w:t>Nanosafety</w:t>
      </w:r>
      <w:proofErr w:type="spellEnd"/>
      <w:r>
        <w:rPr>
          <w:rFonts w:eastAsia="Calibri"/>
          <w:sz w:val="20"/>
          <w:szCs w:val="20"/>
          <w:lang w:val="en-US"/>
        </w:rPr>
        <w:t xml:space="preserve"> Centre, NARILIS, Namur, Belgium</w:t>
      </w:r>
    </w:p>
    <w:p>
      <w:pPr>
        <w:spacing w:before="160" w:line="240" w:lineRule="auto"/>
        <w:ind w:left="142" w:hanging="142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 xml:space="preserve">f </w:t>
      </w:r>
      <w:r>
        <w:rPr>
          <w:rFonts w:eastAsia="Calibri"/>
          <w:sz w:val="20"/>
          <w:szCs w:val="20"/>
          <w:lang w:val="en-US"/>
        </w:rPr>
        <w:t>“</w:t>
      </w:r>
      <w:proofErr w:type="spellStart"/>
      <w:r>
        <w:rPr>
          <w:rFonts w:eastAsia="Calibri"/>
          <w:sz w:val="20"/>
          <w:szCs w:val="20"/>
          <w:lang w:val="en-US"/>
        </w:rPr>
        <w:t>Aurel</w:t>
      </w:r>
      <w:proofErr w:type="spellEnd"/>
      <w:r>
        <w:rPr>
          <w:rFonts w:eastAsia="Calibri"/>
          <w:sz w:val="20"/>
          <w:szCs w:val="20"/>
          <w:lang w:val="en-US"/>
        </w:rPr>
        <w:t xml:space="preserve"> </w:t>
      </w:r>
      <w:proofErr w:type="spellStart"/>
      <w:r>
        <w:rPr>
          <w:rFonts w:eastAsia="Calibri"/>
          <w:sz w:val="20"/>
          <w:szCs w:val="20"/>
          <w:lang w:val="en-US"/>
        </w:rPr>
        <w:t>Ardelean</w:t>
      </w:r>
      <w:proofErr w:type="spellEnd"/>
      <w:r>
        <w:rPr>
          <w:rFonts w:eastAsia="Calibri"/>
          <w:sz w:val="20"/>
          <w:szCs w:val="20"/>
          <w:lang w:val="en-US"/>
        </w:rPr>
        <w:t>” Institute of Life Sciences, “</w:t>
      </w:r>
      <w:proofErr w:type="spellStart"/>
      <w:r>
        <w:rPr>
          <w:rFonts w:eastAsia="Calibri"/>
          <w:sz w:val="20"/>
          <w:szCs w:val="20"/>
          <w:lang w:val="en-US"/>
        </w:rPr>
        <w:t>Vasile</w:t>
      </w:r>
      <w:proofErr w:type="spellEnd"/>
      <w:r>
        <w:rPr>
          <w:rFonts w:eastAsia="Calibri"/>
          <w:sz w:val="20"/>
          <w:szCs w:val="20"/>
          <w:lang w:val="en-US"/>
        </w:rPr>
        <w:t xml:space="preserve"> </w:t>
      </w:r>
      <w:proofErr w:type="spellStart"/>
      <w:r>
        <w:rPr>
          <w:rFonts w:eastAsia="Calibri"/>
          <w:sz w:val="20"/>
          <w:szCs w:val="20"/>
          <w:lang w:val="en-US"/>
        </w:rPr>
        <w:t>Goldis</w:t>
      </w:r>
      <w:proofErr w:type="spellEnd"/>
      <w:r>
        <w:rPr>
          <w:rFonts w:eastAsia="Calibri"/>
          <w:sz w:val="20"/>
          <w:szCs w:val="20"/>
          <w:lang w:val="en-US"/>
        </w:rPr>
        <w:t>” Western University of Arad, Arad, Romania</w:t>
      </w:r>
    </w:p>
    <w:p>
      <w:pPr>
        <w:spacing w:before="160" w:line="240" w:lineRule="auto"/>
        <w:ind w:left="142" w:hanging="142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>g</w:t>
      </w:r>
      <w:r>
        <w:rPr>
          <w:rFonts w:eastAsia="Calibri"/>
          <w:sz w:val="20"/>
          <w:szCs w:val="20"/>
          <w:lang w:val="en-US"/>
        </w:rPr>
        <w:t xml:space="preserve"> Department of Biochemistry and Molecular Biology, University of Bucharest, Bucharest, Romania</w:t>
      </w:r>
    </w:p>
    <w:p>
      <w:pPr>
        <w:spacing w:before="160" w:line="240" w:lineRule="auto"/>
        <w:jc w:val="left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vertAlign w:val="superscript"/>
          <w:lang w:val="en-US"/>
        </w:rPr>
        <w:t xml:space="preserve">h g </w:t>
      </w:r>
      <w:r>
        <w:rPr>
          <w:sz w:val="20"/>
          <w:szCs w:val="20"/>
          <w:lang w:val="en-US"/>
        </w:rPr>
        <w:t xml:space="preserve">IBE R&amp;D Institute for Lung Health </w:t>
      </w:r>
      <w:proofErr w:type="spellStart"/>
      <w:r>
        <w:rPr>
          <w:sz w:val="20"/>
          <w:szCs w:val="20"/>
          <w:lang w:val="en-US"/>
        </w:rPr>
        <w:t>gGmbH</w:t>
      </w:r>
      <w:proofErr w:type="spellEnd"/>
      <w:r>
        <w:rPr>
          <w:sz w:val="20"/>
          <w:szCs w:val="20"/>
          <w:lang w:val="en-US"/>
        </w:rPr>
        <w:t xml:space="preserve">, </w:t>
      </w:r>
      <w:proofErr w:type="spellStart"/>
      <w:r>
        <w:rPr>
          <w:sz w:val="20"/>
          <w:szCs w:val="20"/>
          <w:lang w:val="en-US"/>
        </w:rPr>
        <w:t>Münster</w:t>
      </w:r>
      <w:proofErr w:type="spellEnd"/>
      <w:r>
        <w:rPr>
          <w:sz w:val="20"/>
          <w:szCs w:val="20"/>
          <w:lang w:val="en-US"/>
        </w:rPr>
        <w:t>, Germany</w:t>
      </w:r>
    </w:p>
    <w:p>
      <w:pPr>
        <w:rPr>
          <w:sz w:val="28"/>
          <w:lang w:val="en-US"/>
        </w:rPr>
      </w:pPr>
    </w:p>
    <w:p>
      <w:pPr>
        <w:spacing w:line="240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Corresponding author:</w:t>
      </w:r>
    </w:p>
    <w:p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Andrea Haase</w:t>
      </w:r>
    </w:p>
    <w:p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E-Mail: </w:t>
      </w:r>
      <w:hyperlink r:id="rId5" w:history="1">
        <w:r>
          <w:rPr>
            <w:rStyle w:val="Hyperlink"/>
            <w:sz w:val="20"/>
            <w:szCs w:val="20"/>
            <w:lang w:val="en-US"/>
          </w:rPr>
          <w:t>Andrea.Haase@bfr.bund.de</w:t>
        </w:r>
      </w:hyperlink>
    </w:p>
    <w:p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Telephone: +49-30- 18412 27600</w:t>
      </w:r>
    </w:p>
    <w:p>
      <w:pPr>
        <w:keepNext/>
        <w:keepLines/>
        <w:spacing w:before="480"/>
        <w:outlineLvl w:val="0"/>
        <w:rPr>
          <w:rFonts w:ascii="Arial" w:eastAsiaTheme="majorEastAsia" w:hAnsi="Arial" w:cs="Arial"/>
          <w:b/>
          <w:bCs/>
          <w:sz w:val="28"/>
          <w:szCs w:val="28"/>
          <w:lang w:val="en-US"/>
        </w:rPr>
      </w:pPr>
    </w:p>
    <w:p>
      <w:pPr>
        <w:keepNext/>
        <w:keepLines/>
        <w:spacing w:before="480"/>
        <w:outlineLvl w:val="0"/>
        <w:rPr>
          <w:rFonts w:ascii="Arial" w:eastAsiaTheme="majorEastAsia" w:hAnsi="Arial" w:cs="Arial"/>
          <w:b/>
          <w:bCs/>
          <w:sz w:val="28"/>
          <w:szCs w:val="28"/>
          <w:lang w:val="en-US"/>
        </w:rPr>
      </w:pPr>
    </w:p>
    <w:p>
      <w:pPr>
        <w:keepNext/>
        <w:keepLines/>
        <w:spacing w:before="480"/>
        <w:outlineLvl w:val="0"/>
        <w:rPr>
          <w:rFonts w:ascii="Arial" w:eastAsiaTheme="majorEastAsia" w:hAnsi="Arial" w:cs="Arial"/>
          <w:b/>
          <w:bCs/>
          <w:sz w:val="28"/>
          <w:szCs w:val="28"/>
          <w:lang w:val="en-US"/>
        </w:rPr>
        <w:sectPr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>
      <w:pPr>
        <w:pStyle w:val="Beschriftung"/>
        <w:keepNext/>
        <w:ind w:left="851" w:hanging="851"/>
        <w:rPr>
          <w:sz w:val="20"/>
          <w:szCs w:val="20"/>
          <w:lang w:val="en-US"/>
        </w:rPr>
      </w:pPr>
      <w:bookmarkStart w:id="1" w:name="_Ref517084087"/>
      <w:r>
        <w:rPr>
          <w:sz w:val="20"/>
          <w:szCs w:val="20"/>
          <w:lang w:val="en-US"/>
        </w:rPr>
        <w:lastRenderedPageBreak/>
        <w:t>Supplementary Table S</w:t>
      </w:r>
      <w:bookmarkEnd w:id="1"/>
      <w:r>
        <w:rPr>
          <w:sz w:val="20"/>
          <w:szCs w:val="20"/>
        </w:rPr>
        <w:t>1</w:t>
      </w:r>
      <w:r>
        <w:rPr>
          <w:sz w:val="20"/>
          <w:szCs w:val="20"/>
          <w:lang w:val="en-US"/>
        </w:rPr>
        <w:t xml:space="preserve">: Overview of NM cytotoxicity in RLE-6TN cells </w:t>
      </w:r>
      <w:r>
        <w:rPr>
          <w:b w:val="0"/>
          <w:bCs w:val="0"/>
          <w:sz w:val="20"/>
          <w:szCs w:val="20"/>
          <w:lang w:val="en-US"/>
        </w:rPr>
        <w:t>reproduced from</w:t>
      </w:r>
      <w:r>
        <w:rPr>
          <w:sz w:val="20"/>
          <w:szCs w:val="20"/>
          <w:lang w:val="en-US"/>
        </w:rPr>
        <w:t xml:space="preserve"> </w:t>
      </w:r>
      <w:r>
        <w:rPr>
          <w:b w:val="0"/>
          <w:sz w:val="20"/>
          <w:szCs w:val="20"/>
          <w:lang w:val="en-US"/>
        </w:rPr>
        <w:fldChar w:fldCharType="begin"/>
      </w:r>
      <w:r>
        <w:rPr>
          <w:b w:val="0"/>
          <w:sz w:val="20"/>
          <w:szCs w:val="20"/>
          <w:lang w:val="en-US"/>
        </w:rPr>
        <w:instrText xml:space="preserve"> ADDIN EN.CITE &lt;EndNote&gt;&lt;Cite&gt;&lt;Author&gt;Karkossa&lt;/Author&gt;&lt;Year&gt;2019&lt;/Year&gt;&lt;RecNum&gt;1833&lt;/RecNum&gt;&lt;DisplayText&gt;(Karkossa&lt;style face="italic"&gt; et al.&lt;/style&gt;, 2019)&lt;/DisplayText&gt;&lt;record&gt;&lt;rec-number&gt;1833&lt;/rec-number&gt;&lt;foreign-keys&gt;&lt;key app="EN" db-id="v9pww0safazvfkefd055xd2qx50tr29v2dzd" timestamp="1585406578" guid="a2e20e26-dd56-4df1-8e6b-49a77a830c01"&gt;1833&lt;/key&gt;&lt;/foreign-keys&gt;&lt;ref-type name="Journal Article"&gt;17&lt;/ref-type&gt;&lt;contributors&gt;&lt;authors&gt;&lt;author&gt;Karkossa, Isabel&lt;/author&gt;&lt;author&gt;Bannuscher, Anne&lt;/author&gt;&lt;author&gt;Hellack, Bryan&lt;/author&gt;&lt;author&gt;Bahl, Aileen&lt;/author&gt;&lt;author&gt;Buhs, Sophia&lt;/author&gt;&lt;author&gt;Nollau, Peter&lt;/author&gt;&lt;author&gt;Luch, Andreas&lt;/author&gt;&lt;author&gt;Schubert, Kristin&lt;/author&gt;&lt;author&gt;von Bergen, Martin&lt;/author&gt;&lt;author&gt;Haase, Andrea&lt;/author&gt;&lt;/authors&gt;&lt;/contributors&gt;&lt;titles&gt;&lt;title&gt;An in-depth multi-omics analysis in RLE-6TN rat alveolar epithelial cells allows for nanomaterial categorization&lt;/title&gt;&lt;secondary-title&gt;Particle and Fibre Toxicology&lt;/secondary-title&gt;&lt;/titles&gt;&lt;periodical&gt;&lt;full-title&gt;Particle and Fibre Toxicology&lt;/full-title&gt;&lt;/periodical&gt;&lt;pages&gt;38&lt;/pages&gt;&lt;volume&gt;16&lt;/volume&gt;&lt;number&gt;1&lt;/number&gt;&lt;dates&gt;&lt;year&gt;2019&lt;/year&gt;&lt;pub-dates&gt;&lt;date&gt;2019/10/25&lt;/date&gt;&lt;/pub-dates&gt;&lt;/dates&gt;&lt;isbn&gt;1743-8977&lt;/isbn&gt;&lt;urls&gt;&lt;related-urls&gt;&lt;url&gt;https://doi.org/10.1186/s12989-019-0321-5&lt;/url&gt;&lt;/related-urls&gt;&lt;/urls&gt;&lt;electronic-resource-num&gt;10.1186/s12989-019-0321-5&lt;/electronic-resource-num&gt;&lt;/record&gt;&lt;/Cite&gt;&lt;/EndNote&gt;</w:instrText>
      </w:r>
      <w:r>
        <w:rPr>
          <w:b w:val="0"/>
          <w:sz w:val="20"/>
          <w:szCs w:val="20"/>
          <w:lang w:val="en-US"/>
        </w:rPr>
        <w:fldChar w:fldCharType="separate"/>
      </w:r>
      <w:r>
        <w:rPr>
          <w:b w:val="0"/>
          <w:noProof/>
          <w:sz w:val="20"/>
          <w:szCs w:val="20"/>
          <w:lang w:val="en-US"/>
        </w:rPr>
        <w:t>(Karkossa</w:t>
      </w:r>
      <w:r>
        <w:rPr>
          <w:b w:val="0"/>
          <w:i/>
          <w:noProof/>
          <w:sz w:val="20"/>
          <w:szCs w:val="20"/>
          <w:lang w:val="en-US"/>
        </w:rPr>
        <w:t xml:space="preserve"> et al.</w:t>
      </w:r>
      <w:r>
        <w:rPr>
          <w:b w:val="0"/>
          <w:noProof/>
          <w:sz w:val="20"/>
          <w:szCs w:val="20"/>
          <w:lang w:val="en-US"/>
        </w:rPr>
        <w:t>, 2019)</w:t>
      </w:r>
      <w:r>
        <w:rPr>
          <w:b w:val="0"/>
          <w:sz w:val="20"/>
          <w:szCs w:val="20"/>
          <w:lang w:val="en-US"/>
        </w:rPr>
        <w:fldChar w:fldCharType="end"/>
      </w:r>
      <w:r>
        <w:rPr>
          <w:sz w:val="20"/>
          <w:szCs w:val="20"/>
          <w:lang w:val="en-US"/>
        </w:rPr>
        <w:fldChar w:fldCharType="begin" w:fldLock="1"/>
      </w:r>
      <w:r>
        <w:rPr>
          <w:sz w:val="20"/>
          <w:szCs w:val="20"/>
          <w:lang w:val="en-US"/>
        </w:rPr>
        <w:instrText>ADDIN CSL_CITATION {"citationItems":[{"id":"ITEM-1","itemData":{"DOI":"10.1186/s12989-019-0321-5","ISSN":"1743-8977","author":[{"dropping-particle":"","family":"Karkossa","given":"Isabel","non-dropping-particle":"","parse-names":false,"suffix":""},{"dropping-particle":"","family":"Bannuscher","given":"Anne","non-dropping-particle":"","parse-names":false,"suffix":""},{"dropping-particle":"","family":"Hellack","given":"Bryan","non-dropping-particle":"","parse-names":false,"suffix":""},{"dropping-particle":"","family":"Bahl","given":"Aileen","non-dropping-particle":"","parse-names":false,"suffix":""},{"dropping-particle":"","family":"Buhs","given":"Sophia","non-dropping-particle":"","parse-names":false,"suffix":""},{"dropping-particle":"","family":"Nollau","given":"Peter","non-dropping-particle":"","parse-names":false,"suffix":""},{"dropping-particle":"","family":"Luch","given":"Andreas","non-dropping-particle":"","parse-names":false,"suffix":""},{"dropping-particle":"","family":"Schubert","given":"Kristin","non-dropping-particle":"","parse-names":false,"suffix":""},{"dropping-particle":"","family":"Bergen","given":"Martin","non-dropping-particle":"von","parse-names":false,"suffix":""},{"dropping-particle":"","family":"Haase","given":"Andrea","non-dropping-particle":"","parse-names":false,"suffix":""}],"container-title":"Particle and Fibre Toxicology","id":"ITEM-1","issue":"1","issued":{"date-parts":[["2019","12","25"]]},"page":"38","title":"An in-depth multi-omics analysis in RLE-6TN rat alveolar epithelial cells allows for nanomaterial categorization","type":"article-journal","volume":"16"},"uris":["http://www.mendeley.com/documents/?uuid=3fdbae9c-8189-491d-a4a8-8bb7e9c0f975"]}],"mendeley":{"formattedCitation":"(Karkossa &lt;i&gt;et al.&lt;/i&gt;, 2019)","plainTextFormattedCitation":"(Karkossa et al., 2019)","previouslyFormattedCitation":"(Karkossa &lt;i&gt;et al.&lt;/i&gt;, 2019)"},"properties":{"noteIndex":0},"schema":"https://github.com/citation-style-language/schema/raw/master/csl-citation.json"}</w:instrText>
      </w:r>
      <w:r>
        <w:rPr>
          <w:sz w:val="20"/>
          <w:szCs w:val="20"/>
          <w:lang w:val="en-US"/>
        </w:rPr>
        <w:fldChar w:fldCharType="end"/>
      </w:r>
      <w:r>
        <w:rPr>
          <w:sz w:val="20"/>
          <w:szCs w:val="20"/>
          <w:lang w:val="en-US"/>
        </w:rPr>
        <w:t xml:space="preserve">  </w:t>
      </w:r>
    </w:p>
    <w:p>
      <w:pPr>
        <w:pStyle w:val="Beschriftung"/>
        <w:keepNext/>
        <w:ind w:left="851" w:hanging="851"/>
        <w:rPr>
          <w:b w:val="0"/>
          <w:bCs w:val="0"/>
          <w:sz w:val="20"/>
          <w:szCs w:val="20"/>
          <w:lang w:val="en-US"/>
        </w:rPr>
      </w:pPr>
      <w:r>
        <w:rPr>
          <w:b w:val="0"/>
          <w:bCs w:val="0"/>
          <w:sz w:val="20"/>
          <w:szCs w:val="20"/>
          <w:lang w:val="en-US"/>
        </w:rPr>
        <w:t>IC50 and IC25 values in [µg/cm</w:t>
      </w:r>
      <w:r>
        <w:rPr>
          <w:b w:val="0"/>
          <w:bCs w:val="0"/>
          <w:sz w:val="20"/>
          <w:szCs w:val="20"/>
          <w:vertAlign w:val="superscript"/>
          <w:lang w:val="en-US"/>
        </w:rPr>
        <w:t>2</w:t>
      </w:r>
      <w:r>
        <w:rPr>
          <w:b w:val="0"/>
          <w:bCs w:val="0"/>
          <w:sz w:val="20"/>
          <w:szCs w:val="20"/>
          <w:lang w:val="en-US"/>
        </w:rPr>
        <w:t>] for 24h and 48h were given. Abbreviations NR: not reached; NA: not assessed</w:t>
      </w:r>
    </w:p>
    <w:tbl>
      <w:tblPr>
        <w:tblStyle w:val="HelleSchattierung"/>
        <w:tblW w:w="5000" w:type="pct"/>
        <w:tblLook w:val="04A0" w:firstRow="1" w:lastRow="0" w:firstColumn="1" w:lastColumn="0" w:noHBand="0" w:noVBand="1"/>
      </w:tblPr>
      <w:tblGrid>
        <w:gridCol w:w="1304"/>
        <w:gridCol w:w="1813"/>
        <w:gridCol w:w="982"/>
        <w:gridCol w:w="982"/>
        <w:gridCol w:w="982"/>
        <w:gridCol w:w="982"/>
        <w:gridCol w:w="202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NM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IC50 </w:t>
            </w:r>
          </w:p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24h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IC50 </w:t>
            </w:r>
          </w:p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48h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IC25 </w:t>
            </w:r>
          </w:p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24h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IC25 </w:t>
            </w:r>
          </w:p>
          <w:p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48h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ind w:left="706" w:hanging="70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Overall</w:t>
            </w:r>
          </w:p>
          <w:p>
            <w:pPr>
              <w:spacing w:after="0" w:line="240" w:lineRule="auto"/>
              <w:ind w:left="706" w:hanging="70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Cytotoxicity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RLE-6TN</w:t>
            </w:r>
          </w:p>
        </w:tc>
        <w:tc>
          <w:tcPr>
            <w:tcW w:w="999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SiO</w:t>
            </w:r>
            <w:r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_15_Unmod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1117" w:type="pct"/>
            <w:tcBorders>
              <w:top w:val="single" w:sz="4" w:space="0" w:color="auto"/>
            </w:tcBorders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None</w:t>
            </w:r>
          </w:p>
        </w:tc>
      </w:tr>
      <w:tr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Merge/>
            <w:shd w:val="clear" w:color="auto" w:fill="auto"/>
          </w:tcPr>
          <w:p>
            <w:pPr>
              <w:spacing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9" w:type="pct"/>
            <w:shd w:val="clear" w:color="auto" w:fill="auto"/>
            <w:hideMark/>
          </w:tcPr>
          <w:p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SiO</w:t>
            </w:r>
            <w:r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_15_Amino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1117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None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Merge/>
            <w:shd w:val="clear" w:color="auto" w:fill="auto"/>
          </w:tcPr>
          <w:p>
            <w:pPr>
              <w:spacing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9" w:type="pct"/>
            <w:shd w:val="clear" w:color="auto" w:fill="auto"/>
            <w:hideMark/>
          </w:tcPr>
          <w:p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SiO</w:t>
            </w:r>
            <w:r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_40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37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1117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Weak</w:t>
            </w:r>
          </w:p>
        </w:tc>
      </w:tr>
      <w:tr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Merge/>
            <w:shd w:val="clear" w:color="auto" w:fill="auto"/>
          </w:tcPr>
          <w:p>
            <w:pPr>
              <w:spacing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9" w:type="pct"/>
            <w:shd w:val="clear" w:color="auto" w:fill="auto"/>
            <w:hideMark/>
          </w:tcPr>
          <w:p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SiO</w:t>
            </w:r>
            <w:r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_7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NR</w:t>
            </w:r>
          </w:p>
        </w:tc>
        <w:tc>
          <w:tcPr>
            <w:tcW w:w="541" w:type="pct"/>
            <w:shd w:val="clear" w:color="auto" w:fill="auto"/>
            <w:noWrap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541" w:type="pct"/>
            <w:shd w:val="clear" w:color="auto" w:fill="auto"/>
            <w:noWrap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56</w:t>
            </w:r>
          </w:p>
        </w:tc>
        <w:tc>
          <w:tcPr>
            <w:tcW w:w="1117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Weak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Merge/>
            <w:shd w:val="clear" w:color="auto" w:fill="auto"/>
          </w:tcPr>
          <w:p>
            <w:pPr>
              <w:spacing w:line="240" w:lineRule="auto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9" w:type="pct"/>
            <w:shd w:val="clear" w:color="auto" w:fill="auto"/>
            <w:hideMark/>
          </w:tcPr>
          <w:p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TiO</w:t>
            </w:r>
            <w:r>
              <w:rPr>
                <w:rFonts w:eastAsia="Times New Roman" w:cs="Arial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NM-105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541" w:type="pct"/>
            <w:shd w:val="clear" w:color="auto" w:fill="auto"/>
            <w:noWrap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541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117" w:type="pct"/>
            <w:shd w:val="clear" w:color="auto" w:fill="auto"/>
            <w:hideMark/>
          </w:tcPr>
          <w:p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Strong</w:t>
            </w:r>
          </w:p>
        </w:tc>
      </w:tr>
    </w:tbl>
    <w:p>
      <w:pPr>
        <w:pStyle w:val="Beschriftung"/>
        <w:keepNext/>
        <w:rPr>
          <w:lang w:val="en-US"/>
        </w:rPr>
      </w:pPr>
    </w:p>
    <w:p>
      <w:pPr>
        <w:pStyle w:val="Beschriftung"/>
        <w:keepNext/>
        <w:ind w:left="993" w:hanging="993"/>
        <w:rPr>
          <w:b w:val="0"/>
          <w:bCs w:val="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Table S</w:t>
      </w:r>
      <w:r>
        <w:rPr>
          <w:sz w:val="20"/>
          <w:szCs w:val="20"/>
        </w:rPr>
        <w:t>2</w:t>
      </w:r>
      <w:r>
        <w:rPr>
          <w:sz w:val="20"/>
          <w:szCs w:val="20"/>
          <w:lang w:val="en-US"/>
        </w:rPr>
        <w:t>: Overview of NM cytotoxicity in NR8383 cells (</w:t>
      </w:r>
      <w:r>
        <w:rPr>
          <w:b w:val="0"/>
          <w:bCs w:val="0"/>
          <w:sz w:val="20"/>
          <w:szCs w:val="20"/>
          <w:lang w:val="en-US"/>
        </w:rPr>
        <w:t xml:space="preserve">reproduced from </w:t>
      </w:r>
      <w:r>
        <w:rPr>
          <w:b w:val="0"/>
          <w:bCs w:val="0"/>
          <w:sz w:val="20"/>
          <w:szCs w:val="20"/>
          <w:lang w:val="en-US"/>
        </w:rPr>
        <w:fldChar w:fldCharType="begin"/>
      </w:r>
      <w:r>
        <w:rPr>
          <w:b w:val="0"/>
          <w:bCs w:val="0"/>
          <w:sz w:val="20"/>
          <w:szCs w:val="20"/>
          <w:lang w:val="en-US"/>
        </w:rPr>
        <w:instrText xml:space="preserve"> ADDIN EN.CITE &lt;EndNote&gt;&lt;Cite&gt;&lt;Author&gt;Bannuscher&lt;/Author&gt;&lt;Year&gt;2019&lt;/Year&gt;&lt;RecNum&gt;1834&lt;/RecNum&gt;&lt;DisplayText&gt;(Bannuscher&lt;style face="italic"&gt; et al.&lt;/style&gt;, 2019)&lt;/DisplayText&gt;&lt;record&gt;&lt;rec-number&gt;1834&lt;/rec-number&gt;&lt;foreign-keys&gt;&lt;key app="EN" db-id="v9pww0safazvfkefd055xd2qx50tr29v2dzd" timestamp="1585406578" guid="3d601acf-17b2-4c54-82e1-aafb2ac9c6a2"&gt;1834&lt;/key&gt;&lt;/foreign-keys&gt;&lt;ref-type name="Journal Article"&gt;17&lt;/ref-type&gt;&lt;contributors&gt;&lt;authors&gt;&lt;author&gt;Bannuscher, Anne&lt;/author&gt;&lt;author&gt;Karkossa, Isabel&lt;/author&gt;&lt;author&gt;Buhs, Sophia&lt;/author&gt;&lt;author&gt;Nollau, Peter&lt;/author&gt;&lt;author&gt;Kettler, Katja&lt;/author&gt;&lt;author&gt;Balas, Mihaela&lt;/author&gt;&lt;author&gt;Dinischiotu, Anca&lt;/author&gt;&lt;author&gt;Hellack, Bryan&lt;/author&gt;&lt;author&gt;Wiemann, Martin&lt;/author&gt;&lt;author&gt;Luch, Andreas&lt;/author&gt;&lt;author&gt;von Bergen, Martin&lt;/author&gt;&lt;author&gt;Haase, Andrea&lt;/author&gt;&lt;author&gt;Schubert, Kristin&lt;/author&gt;&lt;/authors&gt;&lt;/contributors&gt;&lt;titles&gt;&lt;title&gt;A multi-omics approach reveals mechanisms of nanomaterial toxicity and structure–activity relationships in alveolar macrophages&lt;/title&gt;&lt;secondary-title&gt;Nanotoxicology&lt;/secondary-title&gt;&lt;/titles&gt;&lt;periodical&gt;&lt;full-title&gt;Nanotoxicology&lt;/full-title&gt;&lt;/periodical&gt;&lt;pages&gt;1-15&lt;/pages&gt;&lt;dates&gt;&lt;year&gt;2019&lt;/year&gt;&lt;/dates&gt;&lt;publisher&gt;Taylor &amp;amp; Francis&lt;/publisher&gt;&lt;isbn&gt;1743-5390&lt;/isbn&gt;&lt;urls&gt;&lt;related-urls&gt;&lt;url&gt;https://doi.org/10.1080/17435390.2019.1684592&lt;/url&gt;&lt;/related-urls&gt;&lt;/urls&gt;&lt;electronic-resource-num&gt;10.1080/17435390.2019.1684592&lt;/electronic-resource-num&gt;&lt;/record&gt;&lt;/Cite&gt;&lt;/EndNote&gt;</w:instrText>
      </w:r>
      <w:r>
        <w:rPr>
          <w:b w:val="0"/>
          <w:bCs w:val="0"/>
          <w:sz w:val="20"/>
          <w:szCs w:val="20"/>
          <w:lang w:val="en-US"/>
        </w:rPr>
        <w:fldChar w:fldCharType="separate"/>
      </w:r>
      <w:r>
        <w:rPr>
          <w:b w:val="0"/>
          <w:bCs w:val="0"/>
          <w:noProof/>
          <w:sz w:val="20"/>
          <w:szCs w:val="20"/>
          <w:lang w:val="en-US"/>
        </w:rPr>
        <w:t>(Bannuscher</w:t>
      </w:r>
      <w:r>
        <w:rPr>
          <w:b w:val="0"/>
          <w:bCs w:val="0"/>
          <w:i/>
          <w:noProof/>
          <w:sz w:val="20"/>
          <w:szCs w:val="20"/>
          <w:lang w:val="en-US"/>
        </w:rPr>
        <w:t xml:space="preserve"> et al.</w:t>
      </w:r>
      <w:r>
        <w:rPr>
          <w:b w:val="0"/>
          <w:bCs w:val="0"/>
          <w:noProof/>
          <w:sz w:val="20"/>
          <w:szCs w:val="20"/>
          <w:lang w:val="en-US"/>
        </w:rPr>
        <w:t xml:space="preserve">, 2019, </w:t>
      </w:r>
      <w:r>
        <w:rPr>
          <w:b w:val="0"/>
          <w:bCs w:val="0"/>
          <w:sz w:val="20"/>
          <w:szCs w:val="20"/>
          <w:lang w:val="en-US"/>
        </w:rPr>
        <w:fldChar w:fldCharType="end"/>
      </w:r>
      <w:r>
        <w:rPr>
          <w:b w:val="0"/>
          <w:bCs w:val="0"/>
          <w:sz w:val="20"/>
          <w:szCs w:val="20"/>
          <w:lang w:val="en-US"/>
        </w:rPr>
        <w:t>including additional data for SiO</w:t>
      </w:r>
      <w:r>
        <w:rPr>
          <w:b w:val="0"/>
          <w:bCs w:val="0"/>
          <w:sz w:val="20"/>
          <w:szCs w:val="20"/>
          <w:vertAlign w:val="subscript"/>
          <w:lang w:val="en-US"/>
        </w:rPr>
        <w:t>2</w:t>
      </w:r>
      <w:r>
        <w:rPr>
          <w:b w:val="0"/>
          <w:bCs w:val="0"/>
          <w:sz w:val="20"/>
          <w:szCs w:val="20"/>
          <w:lang w:val="en-US"/>
        </w:rPr>
        <w:t>_15_Amino from the same experiment series)</w:t>
      </w:r>
    </w:p>
    <w:tbl>
      <w:tblPr>
        <w:tblStyle w:val="Tabellenraster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  <w:gridCol w:w="2177"/>
        <w:gridCol w:w="1595"/>
        <w:gridCol w:w="1334"/>
        <w:gridCol w:w="1011"/>
      </w:tblGrid>
      <w:tr>
        <w:trPr>
          <w:trHeight w:val="281"/>
          <w:jc w:val="center"/>
        </w:trPr>
        <w:tc>
          <w:tcPr>
            <w:tcW w:w="1629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  <w:r>
              <w:rPr>
                <w:rFonts w:eastAsiaTheme="majorEastAsia" w:cstheme="majorBidi"/>
                <w:b/>
                <w:bCs/>
                <w:sz w:val="22"/>
                <w:lang w:val="en-US"/>
              </w:rPr>
              <w:t>NM</w:t>
            </w:r>
          </w:p>
        </w:tc>
        <w:tc>
          <w:tcPr>
            <w:tcW w:w="1200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  <w:r>
              <w:rPr>
                <w:rFonts w:eastAsiaTheme="majorEastAsia" w:cstheme="majorBidi"/>
                <w:b/>
                <w:bCs/>
                <w:sz w:val="22"/>
                <w:lang w:val="en-US"/>
              </w:rPr>
              <w:t>Dose</w:t>
            </w:r>
          </w:p>
        </w:tc>
        <w:tc>
          <w:tcPr>
            <w:tcW w:w="2172" w:type="pct"/>
            <w:gridSpan w:val="3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val="en-US" w:eastAsia="de-DE"/>
              </w:rPr>
              <w:t>LDH [% of PC]</w:t>
            </w:r>
          </w:p>
        </w:tc>
      </w:tr>
      <w:tr>
        <w:trPr>
          <w:trHeight w:val="228"/>
          <w:jc w:val="center"/>
        </w:trPr>
        <w:tc>
          <w:tcPr>
            <w:tcW w:w="1629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val="en-US" w:eastAsia="de-DE"/>
              </w:rPr>
            </w:pPr>
          </w:p>
        </w:tc>
        <w:tc>
          <w:tcPr>
            <w:tcW w:w="1200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lang w:eastAsia="de-DE"/>
              </w:rPr>
            </w:pPr>
            <w:r>
              <w:rPr>
                <w:rFonts w:eastAsia="Times New Roman" w:cs="Arial"/>
                <w:color w:val="000000"/>
                <w:sz w:val="22"/>
                <w:lang w:eastAsia="de-DE"/>
              </w:rPr>
              <w:t>[µg/cm</w:t>
            </w:r>
            <w:r>
              <w:rPr>
                <w:rFonts w:eastAsia="Times New Roman" w:cs="Arial"/>
                <w:color w:val="000000"/>
                <w:sz w:val="22"/>
                <w:vertAlign w:val="superscript"/>
                <w:lang w:eastAsia="de-DE"/>
              </w:rPr>
              <w:t>2</w:t>
            </w:r>
            <w:r>
              <w:rPr>
                <w:rFonts w:eastAsia="Times New Roman" w:cs="Arial"/>
                <w:color w:val="000000"/>
                <w:sz w:val="22"/>
                <w:lang w:eastAsia="de-DE"/>
              </w:rPr>
              <w:t>]</w:t>
            </w:r>
          </w:p>
        </w:tc>
        <w:tc>
          <w:tcPr>
            <w:tcW w:w="879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  <w:r>
              <w:rPr>
                <w:rFonts w:eastAsiaTheme="majorEastAsia" w:cstheme="majorBidi"/>
                <w:b/>
                <w:bCs/>
                <w:sz w:val="22"/>
                <w:lang w:val="en-US"/>
              </w:rPr>
              <w:t>Mean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sz w:val="22"/>
                <w:lang w:val="en-US"/>
              </w:rPr>
            </w:pPr>
            <w:r>
              <w:rPr>
                <w:rFonts w:eastAsiaTheme="majorEastAsia" w:cstheme="majorBidi"/>
                <w:b/>
                <w:bCs/>
                <w:sz w:val="22"/>
                <w:lang w:val="en-US"/>
              </w:rPr>
              <w:t>SD</w:t>
            </w:r>
          </w:p>
        </w:tc>
      </w:tr>
      <w:tr>
        <w:trPr>
          <w:trHeight w:val="308"/>
          <w:jc w:val="center"/>
        </w:trPr>
        <w:tc>
          <w:tcPr>
            <w:tcW w:w="1629" w:type="pct"/>
            <w:vMerge w:val="restart"/>
            <w:tcBorders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SiO2_15_Unmod</w:t>
            </w:r>
          </w:p>
        </w:tc>
        <w:tc>
          <w:tcPr>
            <w:tcW w:w="1200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79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21.67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2.37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2.5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28.36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1.12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44.93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8.97*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879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93.51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19.75*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 w:val="restart"/>
            <w:tcBorders>
              <w:top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sz w:val="20"/>
                <w:szCs w:val="20"/>
                <w:lang w:val="en-US"/>
              </w:rPr>
            </w:pPr>
            <w:r>
              <w:rPr>
                <w:rFonts w:eastAsiaTheme="majorEastAsia" w:cstheme="majorBidi"/>
                <w:b/>
                <w:bCs/>
                <w:sz w:val="20"/>
                <w:szCs w:val="20"/>
                <w:lang w:val="en-US"/>
              </w:rPr>
              <w:t>SiO2_15_Amino</w:t>
            </w: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21.67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2.37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2.5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25.34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26.87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</w:t>
            </w:r>
          </w:p>
        </w:tc>
      </w:tr>
      <w:tr>
        <w:trPr>
          <w:trHeight w:val="196"/>
          <w:jc w:val="center"/>
        </w:trPr>
        <w:tc>
          <w:tcPr>
            <w:tcW w:w="1629" w:type="pct"/>
            <w:vMerge/>
            <w:tcBorders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879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59.65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±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6.74*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 w:val="restart"/>
            <w:tcBorders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SiO2_7</w:t>
            </w:r>
          </w:p>
        </w:tc>
        <w:tc>
          <w:tcPr>
            <w:tcW w:w="1200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79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55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1.53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2.5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41.25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16.35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91.23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16.07*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879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95.97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15.11*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 w:val="restart"/>
            <w:tcBorders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SiO2_40</w:t>
            </w:r>
          </w:p>
        </w:tc>
        <w:tc>
          <w:tcPr>
            <w:tcW w:w="1200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879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55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1.53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2.5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22.01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5.04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879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23.91</w:t>
            </w:r>
          </w:p>
        </w:tc>
        <w:tc>
          <w:tcPr>
            <w:tcW w:w="735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3.56</w:t>
            </w:r>
          </w:p>
        </w:tc>
      </w:tr>
      <w:tr>
        <w:trPr>
          <w:trHeight w:val="232"/>
          <w:jc w:val="center"/>
        </w:trPr>
        <w:tc>
          <w:tcPr>
            <w:tcW w:w="1629" w:type="pct"/>
            <w:vMerge/>
            <w:tcBorders>
              <w:top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eastAsiaTheme="majorEastAsia" w:cstheme="majorBidi"/>
                <w:b/>
                <w:bCs/>
                <w:lang w:val="en-US"/>
              </w:rPr>
            </w:pPr>
          </w:p>
        </w:tc>
        <w:tc>
          <w:tcPr>
            <w:tcW w:w="1200" w:type="pct"/>
            <w:tcBorders>
              <w:top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879" w:type="pct"/>
            <w:tcBorders>
              <w:top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71.37</w:t>
            </w:r>
          </w:p>
        </w:tc>
        <w:tc>
          <w:tcPr>
            <w:tcW w:w="735" w:type="pct"/>
            <w:tcBorders>
              <w:top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de-DE"/>
              </w:rPr>
              <w:t>±</w:t>
            </w:r>
          </w:p>
        </w:tc>
        <w:tc>
          <w:tcPr>
            <w:tcW w:w="558" w:type="pct"/>
            <w:tcBorders>
              <w:top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eastAsiaTheme="majorEastAsia" w:cstheme="majorBidi"/>
                <w:b/>
                <w:bCs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19.11*</w:t>
            </w:r>
          </w:p>
        </w:tc>
      </w:tr>
    </w:tbl>
    <w:p/>
    <w:p/>
    <w:p>
      <w:pPr>
        <w:pStyle w:val="Beschriftung"/>
        <w:keepNext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Supplementary Table S</w:t>
      </w:r>
      <w:r>
        <w:rPr>
          <w:sz w:val="20"/>
          <w:szCs w:val="20"/>
        </w:rPr>
        <w:t>3</w:t>
      </w:r>
      <w:r>
        <w:rPr>
          <w:sz w:val="20"/>
          <w:szCs w:val="20"/>
          <w:lang w:val="en-US"/>
        </w:rPr>
        <w:t>: Parameters for MPPD calculations.</w:t>
      </w:r>
    </w:p>
    <w:tbl>
      <w:tblPr>
        <w:tblStyle w:val="TabellemithellemGitternetz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972"/>
        <w:gridCol w:w="983"/>
        <w:gridCol w:w="972"/>
        <w:gridCol w:w="983"/>
      </w:tblGrid>
      <w:tr>
        <w:trPr>
          <w:trHeight w:val="4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Parameter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TiO</w:t>
            </w:r>
            <w:r>
              <w:rPr>
                <w:b/>
                <w:bCs/>
                <w:sz w:val="20"/>
                <w:szCs w:val="20"/>
                <w:vertAlign w:val="subscript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NM-105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SiO</w:t>
            </w:r>
            <w:r>
              <w:rPr>
                <w:b/>
                <w:bCs/>
                <w:sz w:val="20"/>
                <w:szCs w:val="20"/>
                <w:vertAlign w:val="subscript"/>
              </w:rPr>
              <w:t>2</w:t>
            </w:r>
            <w:r>
              <w:rPr>
                <w:b/>
                <w:bCs/>
                <w:sz w:val="20"/>
                <w:szCs w:val="20"/>
              </w:rPr>
              <w:t>_7</w:t>
            </w:r>
          </w:p>
        </w:tc>
      </w:tr>
      <w:tr>
        <w:trPr>
          <w:trHeight w:val="31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Aerosol concentration [mg/m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Exposure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Recovery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Exposure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Recovery</w:t>
            </w:r>
          </w:p>
        </w:tc>
      </w:tr>
      <w:tr>
        <w:trPr>
          <w:trHeight w:val="31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2.55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4.92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14.98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41.97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2.47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3.41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11.57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0.74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2.58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5.024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0.97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1.41</w:t>
            </w:r>
          </w:p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5.298</w:t>
            </w:r>
          </w:p>
        </w:tc>
      </w:tr>
      <w:tr>
        <w:trPr>
          <w:trHeight w:val="7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MV [m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/min]</w:t>
            </w:r>
          </w:p>
        </w:tc>
        <w:tc>
          <w:tcPr>
            <w:tcW w:w="0" w:type="auto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t>0.0002142</w:t>
            </w:r>
          </w:p>
        </w:tc>
      </w:tr>
      <w:tr>
        <w:trPr>
          <w:trHeight w:val="7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Density [g/cm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3.89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2.65</w:t>
            </w:r>
          </w:p>
        </w:tc>
      </w:tr>
      <w:tr>
        <w:trPr>
          <w:trHeight w:val="7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GSD</w:t>
            </w:r>
          </w:p>
        </w:tc>
        <w:tc>
          <w:tcPr>
            <w:tcW w:w="0" w:type="auto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1.78</w:t>
            </w:r>
          </w:p>
        </w:tc>
      </w:tr>
      <w:tr>
        <w:trPr>
          <w:trHeight w:val="7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 [min]</w:t>
            </w:r>
          </w:p>
        </w:tc>
        <w:tc>
          <w:tcPr>
            <w:tcW w:w="0" w:type="auto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</w:tr>
      <w:tr>
        <w:trPr>
          <w:trHeight w:val="238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Df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TB+Alv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Exposure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Recovery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Exposure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de-DE" w:eastAsia="de-DE"/>
              </w:rPr>
              <w:t>Recovery</w:t>
            </w:r>
          </w:p>
        </w:tc>
      </w:tr>
      <w:tr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0.1066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0.1109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0.1139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0.1242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0.127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  <w:p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Bdr>
                <w:right w:val="single" w:sz="4" w:space="4" w:color="auto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0.1216</w:t>
            </w:r>
          </w:p>
          <w:p>
            <w:pPr>
              <w:pBdr>
                <w:right w:val="single" w:sz="4" w:space="4" w:color="auto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0.1268</w:t>
            </w:r>
          </w:p>
          <w:p>
            <w:pPr>
              <w:pBdr>
                <w:right w:val="single" w:sz="4" w:space="4" w:color="auto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0.1209</w:t>
            </w:r>
          </w:p>
        </w:tc>
      </w:tr>
    </w:tbl>
    <w:p/>
    <w:p/>
    <w:p/>
    <w:p/>
    <w:p/>
    <w:p/>
    <w:p/>
    <w:p/>
    <w:p/>
    <w:p/>
    <w:p/>
    <w:p/>
    <w:p/>
    <w:p>
      <w:pPr>
        <w:spacing w:after="160" w:line="259" w:lineRule="auto"/>
        <w:jc w:val="left"/>
        <w:rPr>
          <w:b/>
          <w:bCs/>
          <w:sz w:val="18"/>
          <w:szCs w:val="18"/>
        </w:rPr>
      </w:pPr>
    </w:p>
    <w:p>
      <w:pPr>
        <w:keepNext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2766803</wp:posOffset>
            </wp:positionH>
            <wp:positionV relativeFrom="paragraph">
              <wp:posOffset>-2540</wp:posOffset>
            </wp:positionV>
            <wp:extent cx="2432649" cy="2432649"/>
            <wp:effectExtent l="0" t="0" r="6350" b="6350"/>
            <wp:wrapNone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2970F2F-C553-43D7-AA5B-F642941A5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>
                      <a:extLst>
                        <a:ext uri="{FF2B5EF4-FFF2-40B4-BE49-F238E27FC236}">
                          <a16:creationId xmlns:a16="http://schemas.microsoft.com/office/drawing/2014/main" id="{02970F2F-C553-43D7-AA5B-F642941A58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24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189638</wp:posOffset>
            </wp:positionH>
            <wp:positionV relativeFrom="paragraph">
              <wp:posOffset>-2540</wp:posOffset>
            </wp:positionV>
            <wp:extent cx="2389517" cy="2389517"/>
            <wp:effectExtent l="0" t="0" r="0" b="0"/>
            <wp:wrapNone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6FE8B9-D57D-4FE8-9DD9-8A6916175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>
                      <a:extLst>
                        <a:ext uri="{FF2B5EF4-FFF2-40B4-BE49-F238E27FC236}">
                          <a16:creationId xmlns:a16="http://schemas.microsoft.com/office/drawing/2014/main" id="{716FE8B9-D57D-4FE8-9DD9-8A69161755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7" cy="23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2815179</wp:posOffset>
            </wp:positionH>
            <wp:positionV relativeFrom="paragraph">
              <wp:posOffset>109521</wp:posOffset>
            </wp:positionV>
            <wp:extent cx="2372360" cy="2372360"/>
            <wp:effectExtent l="0" t="0" r="8890" b="889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792BD87-E228-476A-9CEB-3BA5F9062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5792BD87-E228-476A-9CEB-3BA5F9062B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92351</wp:posOffset>
            </wp:positionH>
            <wp:positionV relativeFrom="paragraph">
              <wp:posOffset>6662</wp:posOffset>
            </wp:positionV>
            <wp:extent cx="2382853" cy="2382853"/>
            <wp:effectExtent l="0" t="0" r="0" b="0"/>
            <wp:wrapNone/>
            <wp:docPr id="5" name="Grafik 4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2068FC2-A747-4BC5-A66D-2BC5C1FCE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2068FC2-A747-4BC5-A66D-2BC5C1FCE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53" cy="238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1605280</wp:posOffset>
            </wp:positionH>
            <wp:positionV relativeFrom="paragraph">
              <wp:posOffset>121285</wp:posOffset>
            </wp:positionV>
            <wp:extent cx="2386330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4AFD7A-AA89-4F17-92B4-80A8BF660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>
                      <a:extLst>
                        <a:ext uri="{FF2B5EF4-FFF2-40B4-BE49-F238E27FC236}">
                          <a16:creationId xmlns:a16="http://schemas.microsoft.com/office/drawing/2014/main" id="{894AFD7A-AA89-4F17-92B4-80A8BF6603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  <w:r>
        <w:rPr>
          <w:b/>
          <w:bCs/>
          <w:sz w:val="20"/>
          <w:szCs w:val="20"/>
        </w:rPr>
        <w:t xml:space="preserve">Figure S1 </w:t>
      </w:r>
      <w:proofErr w:type="spellStart"/>
      <w:r>
        <w:rPr>
          <w:b/>
          <w:bCs/>
          <w:sz w:val="20"/>
          <w:szCs w:val="20"/>
        </w:rPr>
        <w:t>sPLS</w:t>
      </w:r>
      <w:proofErr w:type="spellEnd"/>
      <w:r>
        <w:rPr>
          <w:b/>
          <w:bCs/>
          <w:sz w:val="20"/>
          <w:szCs w:val="20"/>
        </w:rPr>
        <w:t>-DA of metabolomics data in RLE-6TN epithelial cells after 24h of NM exposure.</w:t>
      </w: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</w:p>
    <w:p>
      <w:pPr>
        <w:spacing w:after="160" w:line="259" w:lineRule="auto"/>
        <w:jc w:val="left"/>
      </w:pPr>
      <w:r>
        <w:rPr>
          <w:b/>
          <w:bCs/>
          <w:sz w:val="20"/>
          <w:szCs w:val="20"/>
        </w:rPr>
        <w:br w:type="page"/>
      </w:r>
    </w:p>
    <w:p>
      <w:pPr>
        <w:pStyle w:val="Beschriftung"/>
        <w:rPr>
          <w:lang w:val="en-US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2847975" cy="2847975"/>
            <wp:effectExtent l="0" t="0" r="9525" b="9525"/>
            <wp:docPr id="225" name="Grafik 225" descr="SPLS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LSScore2D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857500" cy="2857500"/>
            <wp:effectExtent l="0" t="0" r="0" b="0"/>
            <wp:docPr id="226" name="Grafik 226" descr="SPLS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LSScore2D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eschriftung"/>
      </w:pPr>
      <w:r>
        <w:rPr>
          <w:noProof/>
          <w:lang w:val="de-DE" w:eastAsia="de-DE"/>
        </w:rPr>
        <w:drawing>
          <wp:inline distT="0" distB="0" distL="0" distR="0">
            <wp:extent cx="2828925" cy="2828925"/>
            <wp:effectExtent l="0" t="0" r="9525" b="9525"/>
            <wp:docPr id="227" name="Grafik 227" descr="SPLS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SScore2D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809875" cy="2809875"/>
            <wp:effectExtent l="0" t="0" r="9525" b="9525"/>
            <wp:docPr id="228" name="Grafik 228" descr="SPLS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LSScore2D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val="de-DE" w:eastAsia="de-DE"/>
        </w:rPr>
        <w:drawing>
          <wp:inline distT="0" distB="0" distL="0" distR="0">
            <wp:extent cx="2314575" cy="2314575"/>
            <wp:effectExtent l="0" t="0" r="9525" b="9525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eschriftung"/>
      </w:pPr>
      <w:r>
        <w:t xml:space="preserve"> </w:t>
      </w:r>
    </w:p>
    <w:p>
      <w:pPr>
        <w:spacing w:after="160" w:line="259" w:lineRule="auto"/>
        <w:jc w:val="left"/>
      </w:pPr>
      <w:r>
        <w:rPr>
          <w:b/>
          <w:bCs/>
          <w:sz w:val="20"/>
          <w:szCs w:val="20"/>
        </w:rPr>
        <w:t xml:space="preserve">Figure S2 </w:t>
      </w:r>
      <w:proofErr w:type="spellStart"/>
      <w:r>
        <w:rPr>
          <w:b/>
          <w:bCs/>
          <w:sz w:val="20"/>
          <w:szCs w:val="20"/>
        </w:rPr>
        <w:t>sPLS</w:t>
      </w:r>
      <w:proofErr w:type="spellEnd"/>
      <w:r>
        <w:rPr>
          <w:b/>
          <w:bCs/>
          <w:sz w:val="20"/>
          <w:szCs w:val="20"/>
        </w:rPr>
        <w:t>-DA of metabolomics data in RLE-6TN epithelial cells after 48h of NM exposure.</w:t>
      </w:r>
    </w:p>
    <w:p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2722137</wp:posOffset>
            </wp:positionH>
            <wp:positionV relativeFrom="paragraph">
              <wp:posOffset>3271</wp:posOffset>
            </wp:positionV>
            <wp:extent cx="2286000" cy="2286000"/>
            <wp:effectExtent l="0" t="0" r="0" b="0"/>
            <wp:wrapNone/>
            <wp:docPr id="13" name="Grafik 3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E3D4A65-D40D-4FA6-BD6B-1A6D76F1F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E3D4A65-D40D-4FA6-BD6B-1A6D76F1FC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-19254</wp:posOffset>
            </wp:positionH>
            <wp:positionV relativeFrom="paragraph">
              <wp:posOffset>3703</wp:posOffset>
            </wp:positionV>
            <wp:extent cx="2320506" cy="2320506"/>
            <wp:effectExtent l="0" t="0" r="3810" b="3810"/>
            <wp:wrapNone/>
            <wp:docPr id="14" name="Grafik 5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FC941E7-158F-4871-9804-EC63A0C36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FC941E7-158F-4871-9804-EC63A0C36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06" cy="232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2800457</wp:posOffset>
            </wp:positionH>
            <wp:positionV relativeFrom="paragraph">
              <wp:posOffset>133302</wp:posOffset>
            </wp:positionV>
            <wp:extent cx="2190007" cy="2190007"/>
            <wp:effectExtent l="0" t="0" r="1270" b="1270"/>
            <wp:wrapNone/>
            <wp:docPr id="10" name="Grafik 9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970B33C-246A-4441-A628-35CDA32C3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970B33C-246A-4441-A628-35CDA32C30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07" cy="219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57414</wp:posOffset>
            </wp:positionH>
            <wp:positionV relativeFrom="paragraph">
              <wp:posOffset>64219</wp:posOffset>
            </wp:positionV>
            <wp:extent cx="2329132" cy="2329132"/>
            <wp:effectExtent l="0" t="0" r="0" b="0"/>
            <wp:wrapNone/>
            <wp:docPr id="15" name="Grafik 7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4DA6E67-823B-4B54-80A6-D19A69C7A9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4DA6E67-823B-4B54-80A6-D19A69C7A9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32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1510895</wp:posOffset>
            </wp:positionH>
            <wp:positionV relativeFrom="paragraph">
              <wp:posOffset>133555</wp:posOffset>
            </wp:positionV>
            <wp:extent cx="2339439" cy="2339439"/>
            <wp:effectExtent l="0" t="0" r="3810" b="3810"/>
            <wp:wrapNone/>
            <wp:docPr id="16" name="Grafik 11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08EF460-0D0F-42A8-A893-F6C4C83A6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08EF460-0D0F-42A8-A893-F6C4C83A6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68" cy="234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keepNext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</w:pPr>
    </w:p>
    <w:p>
      <w:pPr>
        <w:pStyle w:val="Beschriftung"/>
        <w:rPr>
          <w:sz w:val="20"/>
          <w:szCs w:val="20"/>
        </w:rPr>
      </w:pPr>
      <w:r>
        <w:rPr>
          <w:sz w:val="20"/>
          <w:szCs w:val="20"/>
        </w:rPr>
        <w:t xml:space="preserve">Figure S3 </w:t>
      </w:r>
      <w:proofErr w:type="spellStart"/>
      <w:r>
        <w:rPr>
          <w:sz w:val="20"/>
          <w:szCs w:val="20"/>
        </w:rPr>
        <w:t>sPLS</w:t>
      </w:r>
      <w:proofErr w:type="spellEnd"/>
      <w:r>
        <w:rPr>
          <w:sz w:val="20"/>
          <w:szCs w:val="20"/>
        </w:rPr>
        <w:t>-DA of metabolomics data in NR8383 Macrophages after 24h of NM exposure.</w:t>
      </w:r>
    </w:p>
    <w:p/>
    <w:p/>
    <w:p/>
    <w:p>
      <w:pPr>
        <w:rPr>
          <w:rFonts w:asciiTheme="minorHAnsi" w:hAnsiTheme="minorHAnsi"/>
          <w:b/>
          <w:bCs/>
          <w:sz w:val="28"/>
          <w:szCs w:val="28"/>
        </w:rPr>
      </w:pPr>
    </w:p>
    <w:p>
      <w:r>
        <w:rPr>
          <w:noProof/>
          <w:lang w:val="de-DE" w:eastAsia="de-DE"/>
        </w:rPr>
        <w:drawing>
          <wp:inline distT="0" distB="0" distL="0" distR="0">
            <wp:extent cx="5925787" cy="3287717"/>
            <wp:effectExtent l="0" t="0" r="18415" b="14605"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BCECA0CD-B3CB-46DA-B463-95755FB96C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keepNext/>
      </w:pPr>
      <w:r>
        <w:rPr>
          <w:noProof/>
          <w:lang w:val="de-DE" w:eastAsia="de-DE"/>
        </w:rPr>
        <w:drawing>
          <wp:inline distT="0" distB="0" distL="0" distR="0">
            <wp:extent cx="5937662" cy="3703320"/>
            <wp:effectExtent l="0" t="0" r="6350" b="17780"/>
            <wp:docPr id="4" name="Diagramm 4">
              <a:extLst xmlns:a="http://schemas.openxmlformats.org/drawingml/2006/main">
                <a:ext uri="{FF2B5EF4-FFF2-40B4-BE49-F238E27FC236}">
                  <a16:creationId xmlns:a16="http://schemas.microsoft.com/office/drawing/2014/main" id="{F6FE1B4F-3A92-4D41-BD40-93BB01BD66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keepNext/>
      </w:pPr>
      <w:r>
        <w:rPr>
          <w:b/>
          <w:bCs/>
          <w:sz w:val="20"/>
          <w:szCs w:val="20"/>
        </w:rPr>
        <w:t xml:space="preserve">Figure S4 Number of significantly changed metabolites </w:t>
      </w:r>
      <w:r>
        <w:rPr>
          <w:b/>
          <w:bCs/>
          <w:i/>
          <w:iCs/>
          <w:sz w:val="20"/>
          <w:szCs w:val="20"/>
        </w:rPr>
        <w:t>in vitro</w:t>
      </w:r>
      <w:r>
        <w:rPr>
          <w:b/>
          <w:bCs/>
          <w:sz w:val="20"/>
          <w:szCs w:val="20"/>
        </w:rPr>
        <w:t xml:space="preserve"> in RLE-6TN epithelial cells (A) and NR8383 Macrophages (B). </w:t>
      </w:r>
      <w:r>
        <w:rPr>
          <w:sz w:val="20"/>
          <w:szCs w:val="20"/>
        </w:rPr>
        <w:t xml:space="preserve">Blue indicates decreased and red increased amount of metabolite compared to untreated controls. </w:t>
      </w:r>
    </w:p>
    <w:p/>
    <w:p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3360358</wp:posOffset>
            </wp:positionH>
            <wp:positionV relativeFrom="paragraph">
              <wp:posOffset>113467</wp:posOffset>
            </wp:positionV>
            <wp:extent cx="2885910" cy="2885910"/>
            <wp:effectExtent l="0" t="0" r="0" b="0"/>
            <wp:wrapNone/>
            <wp:docPr id="2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B92340A-ABFF-489F-ADF8-823344AA2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>
                      <a:extLst>
                        <a:ext uri="{FF2B5EF4-FFF2-40B4-BE49-F238E27FC236}">
                          <a16:creationId xmlns:a16="http://schemas.microsoft.com/office/drawing/2014/main" id="{5B92340A-ABFF-489F-ADF8-823344AA2C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07" cy="28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142504</wp:posOffset>
            </wp:positionH>
            <wp:positionV relativeFrom="paragraph">
              <wp:posOffset>22637</wp:posOffset>
            </wp:positionV>
            <wp:extent cx="3063833" cy="3063833"/>
            <wp:effectExtent l="0" t="0" r="3810" b="3810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F9CF98F-8ABB-498E-8ADB-FF87B515C8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>
                      <a:extLst>
                        <a:ext uri="{FF2B5EF4-FFF2-40B4-BE49-F238E27FC236}">
                          <a16:creationId xmlns:a16="http://schemas.microsoft.com/office/drawing/2014/main" id="{4F9CF98F-8ABB-498E-8ADB-FF87B515C8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3" cy="30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403761</wp:posOffset>
            </wp:positionH>
            <wp:positionV relativeFrom="paragraph">
              <wp:posOffset>330900</wp:posOffset>
            </wp:positionV>
            <wp:extent cx="2743200" cy="2743200"/>
            <wp:effectExtent l="0" t="0" r="0" b="0"/>
            <wp:wrapNone/>
            <wp:docPr id="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0E245B7-B91E-4B3D-968A-3837F87DB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>
                      <a:extLst>
                        <a:ext uri="{FF2B5EF4-FFF2-40B4-BE49-F238E27FC236}">
                          <a16:creationId xmlns:a16="http://schemas.microsoft.com/office/drawing/2014/main" id="{A0E245B7-B91E-4B3D-968A-3837F87DB2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rPr>
          <w:noProof/>
          <w:lang w:val="de-DE" w:eastAsia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3279973</wp:posOffset>
            </wp:positionH>
            <wp:positionV relativeFrom="paragraph">
              <wp:posOffset>12700</wp:posOffset>
            </wp:positionV>
            <wp:extent cx="2719450" cy="2719450"/>
            <wp:effectExtent l="0" t="0" r="5080" b="5080"/>
            <wp:wrapNone/>
            <wp:docPr id="2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72F46BF-EE4E-43DD-8A11-B25B0E9DFB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>
                      <a:extLst>
                        <a:ext uri="{FF2B5EF4-FFF2-40B4-BE49-F238E27FC236}">
                          <a16:creationId xmlns:a16="http://schemas.microsoft.com/office/drawing/2014/main" id="{372F46BF-EE4E-43DD-8A11-B25B0E9DFB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0" cy="27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>
      <w:pPr>
        <w:spacing w:after="160" w:line="259" w:lineRule="auto"/>
        <w:jc w:val="left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-8546</wp:posOffset>
                </wp:positionH>
                <wp:positionV relativeFrom="paragraph">
                  <wp:posOffset>407035</wp:posOffset>
                </wp:positionV>
                <wp:extent cx="6222365" cy="225425"/>
                <wp:effectExtent l="0" t="0" r="635" b="3175"/>
                <wp:wrapTopAndBottom/>
                <wp:docPr id="193" name="Textfel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225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Figure S5 sPLS-DA of metabolomics data of instillation of NMs in exposure group.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AE6B16" id="_x0000_t202" coordsize="21600,21600" o:spt="202" path="m,l,21600r21600,l21600,xe">
                <v:stroke joinstyle="miter"/>
                <v:path gradientshapeok="t" o:connecttype="rect"/>
              </v:shapetype>
              <v:shape id="Textfeld 193" o:spid="_x0000_s1026" type="#_x0000_t202" style="position:absolute;margin-left:-.65pt;margin-top:32.05pt;width:489.9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" stroked="f">
                <v:textbox inset="0,0,0,0">
                  <w:txbxContent>
                    <w:p w14:paraId="19C7AC19" w14:textId="082DFFD4" w:rsidR="008016E9" w:rsidRPr="00356FD2" w:rsidRDefault="008016E9" w:rsidP="007F6BE9"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 w:rsidRPr="00356FD2">
                        <w:rPr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 sPLS-DA of metabolomics data of 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356FD2">
                        <w:rPr>
                          <w:sz w:val="20"/>
                          <w:szCs w:val="20"/>
                        </w:rPr>
                        <w:t>nstillation of NMs in exposure group.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-3009</wp:posOffset>
            </wp:positionH>
            <wp:positionV relativeFrom="paragraph">
              <wp:posOffset>220345</wp:posOffset>
            </wp:positionV>
            <wp:extent cx="2968831" cy="2968831"/>
            <wp:effectExtent l="0" t="0" r="3175" b="3175"/>
            <wp:wrapNone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9C1D31B0-10C8-4FD9-8913-39E3FD322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>
                      <a:extLst>
                        <a:ext uri="{FF2B5EF4-FFF2-40B4-BE49-F238E27FC236}">
                          <a16:creationId xmlns:a16="http://schemas.microsoft.com/office/drawing/2014/main" id="{9C1D31B0-10C8-4FD9-8913-39E3FD3225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1" cy="29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217805</wp:posOffset>
            </wp:positionV>
            <wp:extent cx="2825750" cy="2825750"/>
            <wp:effectExtent l="0" t="0" r="0" b="0"/>
            <wp:wrapNone/>
            <wp:docPr id="2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403FDB6-4F65-4805-B680-BCE7A0E18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>
                      <a:extLst>
                        <a:ext uri="{FF2B5EF4-FFF2-40B4-BE49-F238E27FC236}">
                          <a16:creationId xmlns:a16="http://schemas.microsoft.com/office/drawing/2014/main" id="{9403FDB6-4F65-4805-B680-BCE7A0E18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319256</wp:posOffset>
            </wp:positionV>
            <wp:extent cx="2968831" cy="2968831"/>
            <wp:effectExtent l="0" t="0" r="3175" b="3175"/>
            <wp:wrapNone/>
            <wp:docPr id="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97E8D4D-806F-425C-B092-409F9AFAF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>
                      <a:extLst>
                        <a:ext uri="{FF2B5EF4-FFF2-40B4-BE49-F238E27FC236}">
                          <a16:creationId xmlns:a16="http://schemas.microsoft.com/office/drawing/2014/main" id="{197E8D4D-806F-425C-B092-409F9AFAF0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8" cy="29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3267446</wp:posOffset>
            </wp:positionH>
            <wp:positionV relativeFrom="paragraph">
              <wp:posOffset>378295</wp:posOffset>
            </wp:positionV>
            <wp:extent cx="3040083" cy="3040083"/>
            <wp:effectExtent l="0" t="0" r="8255" b="8255"/>
            <wp:wrapNone/>
            <wp:docPr id="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8DB908C-1DCF-4946-9591-FB2D9DFD9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>
                      <a:extLst>
                        <a:ext uri="{FF2B5EF4-FFF2-40B4-BE49-F238E27FC236}">
                          <a16:creationId xmlns:a16="http://schemas.microsoft.com/office/drawing/2014/main" id="{38DB908C-1DCF-4946-9591-FB2D9DFD96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3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/>
    <w:p/>
    <w:p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229293</wp:posOffset>
                </wp:positionV>
                <wp:extent cx="6115792" cy="635"/>
                <wp:effectExtent l="0" t="0" r="0" b="0"/>
                <wp:wrapNone/>
                <wp:docPr id="192" name="Textfel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79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Figure S6 sPLS-DA of metabolomics data of instillation of NMs in recovery group.</w:t>
                            </w:r>
                          </w:p>
                          <w:p>
                            <w:pPr>
                              <w:pStyle w:val="Beschriftu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AB49A3" id="Textfeld 192" o:spid="_x0000_s1027" type="#_x0000_t202" style="position:absolute;left:0;text-align:left;margin-left:0;margin-top:18.05pt;width:481.55pt;height:.0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" stroked="f">
                <v:textbox style="mso-fit-shape-to-text:t" inset="0,0,0,0">
                  <w:txbxContent>
                    <w:p w14:paraId="2F279E07" w14:textId="17AC03E5" w:rsidR="008016E9" w:rsidRPr="00356FD2" w:rsidRDefault="008016E9" w:rsidP="007F6BE9"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 w:rsidRPr="00356FD2">
                        <w:rPr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 sPLS-DA of metabolomics data of 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356FD2">
                        <w:rPr>
                          <w:sz w:val="20"/>
                          <w:szCs w:val="20"/>
                        </w:rPr>
                        <w:t>nstillation of NMs in recovery group.</w:t>
                      </w:r>
                    </w:p>
                    <w:p w14:paraId="1DE63E99" w14:textId="77777777" w:rsidR="008016E9" w:rsidRPr="00551F99" w:rsidRDefault="008016E9" w:rsidP="007F6BE9">
                      <w:pPr>
                        <w:pStyle w:val="Beschriftu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/>
    <w:p/>
    <w:p/>
    <w:p/>
    <w:p/>
    <w:p>
      <w:pPr>
        <w:keepNext/>
        <w:jc w:val="center"/>
      </w:pPr>
      <w:r>
        <w:rPr>
          <w:noProof/>
          <w:lang w:val="de-DE" w:eastAsia="de-DE"/>
        </w:rPr>
        <w:drawing>
          <wp:inline distT="0" distB="0" distL="0" distR="0">
            <wp:extent cx="5413742" cy="35496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33" cy="356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eschriftung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Figure S7 Number of significantly changed metabolites vs. vehicle treated controls secondary to </w:t>
      </w:r>
      <w:r>
        <w:rPr>
          <w:i/>
          <w:iCs/>
          <w:sz w:val="20"/>
          <w:szCs w:val="20"/>
        </w:rPr>
        <w:t>in vivo</w:t>
      </w:r>
      <w:r>
        <w:rPr>
          <w:sz w:val="20"/>
          <w:szCs w:val="20"/>
        </w:rPr>
        <w:t xml:space="preserve"> instillations. </w:t>
      </w:r>
      <w:r>
        <w:rPr>
          <w:b w:val="0"/>
          <w:bCs w:val="0"/>
          <w:sz w:val="20"/>
          <w:szCs w:val="20"/>
        </w:rPr>
        <w:t>Blue indicates decreased and red increased amount of metabolites compared to untreated controls.</w:t>
      </w:r>
    </w:p>
    <w:p/>
    <w:p/>
    <w:p/>
    <w:p/>
    <w:p/>
    <w:p/>
    <w:p/>
    <w:p/>
    <w:p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-45085</wp:posOffset>
            </wp:positionV>
            <wp:extent cx="3121111" cy="2076628"/>
            <wp:effectExtent l="0" t="0" r="3175" b="0"/>
            <wp:wrapNone/>
            <wp:docPr id="19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7E77AF6F-4C9F-4E67-B185-B8E1D8ECB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7E77AF6F-4C9F-4E67-B185-B8E1D8ECB3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1111" cy="207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133463</wp:posOffset>
                </wp:positionV>
                <wp:extent cx="807085" cy="320040"/>
                <wp:effectExtent l="0" t="0" r="18415" b="1016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de-DE"/>
                              </w:rPr>
                            </w:pPr>
                            <w:r>
                              <w:t>Exposure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E5468" id="Textfeld 2" o:spid="_x0000_s1028" type="#_x0000_t202" style="position:absolute;left:0;text-align:left;margin-left:0;margin-top:10.5pt;width:63.55pt;height:25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">
                <v:textbox>
                  <w:txbxContent>
                    <w:p w14:paraId="7A8CC3EF" w14:textId="77777777" w:rsidR="008016E9" w:rsidRPr="007F6BE9" w:rsidRDefault="008016E9" w:rsidP="007F6BE9">
                      <w:pPr>
                        <w:rPr>
                          <w:lang w:val="de-DE"/>
                        </w:rPr>
                      </w:pPr>
                      <w:r>
                        <w:t>Exposure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>
            <wp:extent cx="1879000" cy="1879000"/>
            <wp:effectExtent l="0" t="0" r="6985" b="6985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3565" cy="18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2842393</wp:posOffset>
            </wp:positionH>
            <wp:positionV relativeFrom="paragraph">
              <wp:posOffset>1508865</wp:posOffset>
            </wp:positionV>
            <wp:extent cx="3234869" cy="2020999"/>
            <wp:effectExtent l="0" t="0" r="3810" b="0"/>
            <wp:wrapNone/>
            <wp:docPr id="198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17C9D45D-EDF1-430E-9BA6-69866A19A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17C9D45D-EDF1-430E-9BA6-69866A19A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4869" cy="202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>
            <wp:extent cx="1379529" cy="1379529"/>
            <wp:effectExtent l="0" t="0" r="0" b="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97167" cy="13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378948" cy="1378948"/>
            <wp:effectExtent l="0" t="0" r="0" b="0"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4078" cy="14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366615" cy="1366615"/>
            <wp:effectExtent l="0" t="0" r="5080" b="508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06998" cy="14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378585" cy="1378585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83541" cy="13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54610</wp:posOffset>
            </wp:positionV>
            <wp:extent cx="2044065" cy="2044065"/>
            <wp:effectExtent l="0" t="0" r="0" b="0"/>
            <wp:wrapThrough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hrough>
            <wp:docPr id="197" name="Grafik 9" descr="Ein Bild, das Text, Kart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D644FD93-EA07-44E7-B24B-24367AFAFD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Kart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D644FD93-EA07-44E7-B24B-24367AFAFD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78740</wp:posOffset>
                </wp:positionV>
                <wp:extent cx="807085" cy="320040"/>
                <wp:effectExtent l="0" t="0" r="12065" b="2286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Recovery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09AAF" id="_x0000_s1029" type="#_x0000_t202" style="position:absolute;left:0;text-align:left;margin-left:-.1pt;margin-top:6.2pt;width:63.55pt;height:2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">
                <v:textbox>
                  <w:txbxContent>
                    <w:p w14:paraId="05600166" w14:textId="77777777" w:rsidR="008016E9" w:rsidRPr="007F6BE9" w:rsidRDefault="008016E9" w:rsidP="004A4C7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Recovery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Beschriftung"/>
        <w:jc w:val="left"/>
      </w:pPr>
    </w:p>
    <w:p/>
    <w:p/>
    <w:p/>
    <w:p/>
    <w:p>
      <w:r>
        <w:rPr>
          <w:noProof/>
          <w:lang w:val="de-DE" w:eastAsia="de-DE"/>
        </w:rPr>
        <w:drawing>
          <wp:inline distT="0" distB="0" distL="0" distR="0">
            <wp:extent cx="1914113" cy="1914113"/>
            <wp:effectExtent l="0" t="0" r="0" b="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7347" cy="19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908420" cy="1908420"/>
            <wp:effectExtent l="0" t="0" r="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39307" cy="19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838849" cy="1838849"/>
            <wp:effectExtent l="0" t="0" r="9525" b="9525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9572" cy="18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-67747</wp:posOffset>
                </wp:positionH>
                <wp:positionV relativeFrom="paragraph">
                  <wp:posOffset>209666</wp:posOffset>
                </wp:positionV>
                <wp:extent cx="6483927" cy="270064"/>
                <wp:effectExtent l="0" t="0" r="0" b="0"/>
                <wp:wrapNone/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27" cy="27006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Figure S8 sPLS-DA (3D right, 2D left) of metabolomics data of STIS of TiO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NM-105 in exposure and recovery groups.</w:t>
                            </w:r>
                          </w:p>
                          <w:p>
                            <w:pPr>
                              <w:pStyle w:val="Beschriftu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611903" id="Textfeld 199" o:spid="_x0000_s1030" type="#_x0000_t202" style="position:absolute;left:0;text-align:left;margin-left:-5.35pt;margin-top:16.5pt;width:510.55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" stroked="f">
                <v:textbox inset="0,0,0,0">
                  <w:txbxContent>
                    <w:p w14:paraId="75A33320" w14:textId="5F3FF3BD" w:rsidR="008016E9" w:rsidRPr="00356FD2" w:rsidRDefault="008016E9" w:rsidP="003164C0"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 w:rsidRPr="00356FD2">
                        <w:rPr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 sPLS-DA (3D </w:t>
                      </w:r>
                      <w:r>
                        <w:rPr>
                          <w:sz w:val="20"/>
                          <w:szCs w:val="20"/>
                        </w:rPr>
                        <w:t>right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, 2D </w:t>
                      </w:r>
                      <w:r>
                        <w:rPr>
                          <w:sz w:val="20"/>
                          <w:szCs w:val="20"/>
                        </w:rPr>
                        <w:t>left</w:t>
                      </w:r>
                      <w:r w:rsidRPr="00356FD2">
                        <w:rPr>
                          <w:sz w:val="20"/>
                          <w:szCs w:val="20"/>
                        </w:rPr>
                        <w:t>) of metabolomics data of STIS of TiO</w:t>
                      </w:r>
                      <w:r w:rsidRPr="00356FD2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 NM-105 in exposure and recovery groups.</w:t>
                      </w:r>
                    </w:p>
                    <w:p w14:paraId="10ED42F2" w14:textId="77777777" w:rsidR="008016E9" w:rsidRPr="00F76159" w:rsidRDefault="008016E9" w:rsidP="004A4C7B">
                      <w:pPr>
                        <w:pStyle w:val="Beschriftu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noProof/>
          <w:lang w:val="de-DE" w:eastAsia="de-DE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-144602</wp:posOffset>
            </wp:positionH>
            <wp:positionV relativeFrom="paragraph">
              <wp:posOffset>100559</wp:posOffset>
            </wp:positionV>
            <wp:extent cx="3636975" cy="2526665"/>
            <wp:effectExtent l="0" t="0" r="1905" b="6985"/>
            <wp:wrapNone/>
            <wp:docPr id="202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1F4F3A1B-4333-48B8-90FF-4A60F537D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1F4F3A1B-4333-48B8-90FF-4A60F537D6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369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4316730</wp:posOffset>
            </wp:positionH>
            <wp:positionV relativeFrom="paragraph">
              <wp:posOffset>86995</wp:posOffset>
            </wp:positionV>
            <wp:extent cx="2334714" cy="2334714"/>
            <wp:effectExtent l="0" t="0" r="8890" b="8890"/>
            <wp:wrapNone/>
            <wp:docPr id="20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399F84C2-BBC5-4E85-B6F6-FBFC645F1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399F84C2-BBC5-4E85-B6F6-FBFC645F1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14" cy="233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88265</wp:posOffset>
                </wp:positionH>
                <wp:positionV relativeFrom="paragraph">
                  <wp:posOffset>1270</wp:posOffset>
                </wp:positionV>
                <wp:extent cx="807085" cy="320040"/>
                <wp:effectExtent l="0" t="0" r="12065" b="22860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de-DE"/>
                              </w:rPr>
                            </w:pPr>
                            <w:r>
                              <w:t>Exposure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5F0CE" id="_x0000_s1031" type="#_x0000_t202" style="position:absolute;left:0;text-align:left;margin-left:6.95pt;margin-top:.1pt;width:63.55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">
                <v:textbox>
                  <w:txbxContent>
                    <w:p w14:paraId="1907EF92" w14:textId="77777777" w:rsidR="008016E9" w:rsidRPr="007F6BE9" w:rsidRDefault="008016E9" w:rsidP="00122507">
                      <w:pPr>
                        <w:rPr>
                          <w:lang w:val="de-DE"/>
                        </w:rPr>
                      </w:pPr>
                      <w:r>
                        <w:t>Exposure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/>
    <w:p/>
    <w:p/>
    <w:p/>
    <w:p/>
    <w:p/>
    <w:p>
      <w:r>
        <w:rPr>
          <w:noProof/>
          <w:lang w:val="de-DE" w:eastAsia="de-DE"/>
        </w:rPr>
        <w:drawing>
          <wp:inline distT="0" distB="0" distL="0" distR="0">
            <wp:extent cx="1734589" cy="1734589"/>
            <wp:effectExtent l="0" t="0" r="0" b="0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7379" cy="17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756353" cy="1756353"/>
            <wp:effectExtent l="0" t="0" r="0" b="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7050" cy="17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771650" cy="1771650"/>
            <wp:effectExtent l="0" t="0" r="0" b="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499851</wp:posOffset>
            </wp:positionH>
            <wp:positionV relativeFrom="paragraph">
              <wp:posOffset>170815</wp:posOffset>
            </wp:positionV>
            <wp:extent cx="2782908" cy="1662165"/>
            <wp:effectExtent l="0" t="0" r="0" b="0"/>
            <wp:wrapNone/>
            <wp:docPr id="206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D3AB6808-1AA0-4A7F-A242-FB19470E8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D3AB6808-1AA0-4A7F-A242-FB19470E8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82908" cy="166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1270</wp:posOffset>
            </wp:positionV>
            <wp:extent cx="2002945" cy="2002945"/>
            <wp:effectExtent l="0" t="0" r="0" b="0"/>
            <wp:wrapNone/>
            <wp:docPr id="205" name="Grafik 9" descr="Ein Bild, das Karte,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B5A3D9B-2A01-4EA6-8CCE-C32178B36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Karte,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B5A3D9B-2A01-4EA6-8CCE-C32178B362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45" cy="20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64770</wp:posOffset>
                </wp:positionV>
                <wp:extent cx="807085" cy="320040"/>
                <wp:effectExtent l="0" t="0" r="12065" b="2286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Recovery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0FD0C4" id="_x0000_s1032" type="#_x0000_t202" style="position:absolute;left:0;text-align:left;margin-left:0;margin-top:5.1pt;width:63.55pt;height:2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">
                <v:textbox>
                  <w:txbxContent>
                    <w:p w14:paraId="6E896B46" w14:textId="77777777" w:rsidR="008016E9" w:rsidRPr="007F6BE9" w:rsidRDefault="008016E9" w:rsidP="00122507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Recovery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/>
    <w:p/>
    <w:p/>
    <w:p/>
    <w:p>
      <w:r>
        <w:rPr>
          <w:noProof/>
          <w:lang w:val="de-DE" w:eastAsia="de-DE"/>
        </w:rPr>
        <w:drawing>
          <wp:inline distT="0" distB="0" distL="0" distR="0">
            <wp:extent cx="1619250" cy="1619250"/>
            <wp:effectExtent l="0" t="0" r="0" b="0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de-DE" w:eastAsia="de-DE"/>
        </w:rPr>
        <w:drawing>
          <wp:inline distT="0" distB="0" distL="0" distR="0">
            <wp:extent cx="1647825" cy="1647825"/>
            <wp:effectExtent l="0" t="0" r="9525" b="9525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de-DE" w:eastAsia="de-DE"/>
        </w:rPr>
        <w:drawing>
          <wp:inline distT="0" distB="0" distL="0" distR="0">
            <wp:extent cx="1552575" cy="1552575"/>
            <wp:effectExtent l="0" t="0" r="9525" b="9525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eschriftung"/>
        <w:rPr>
          <w:lang w:val="en-US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-266700</wp:posOffset>
                </wp:positionH>
                <wp:positionV relativeFrom="paragraph">
                  <wp:posOffset>131445</wp:posOffset>
                </wp:positionV>
                <wp:extent cx="6383746" cy="635"/>
                <wp:effectExtent l="0" t="0" r="0" b="8255"/>
                <wp:wrapNone/>
                <wp:docPr id="207" name="Textfel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74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Figure 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SEQ Figure_S \* ARABIC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sPLS-DA (3D left, 2D right) of metabolomics data of STIS of SiO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_7 in exposure and recovery groups.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4CE7F9" id="Textfeld 207" o:spid="_x0000_s1033" type="#_x0000_t202" style="position:absolute;left:0;text-align:left;margin-left:-21pt;margin-top:10.35pt;width:502.6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" stroked="f">
                <v:textbox style="mso-fit-shape-to-text:t" inset="0,0,0,0">
                  <w:txbxContent>
                    <w:p w14:paraId="01BDC900" w14:textId="41483106" w:rsidR="008016E9" w:rsidRPr="00356FD2" w:rsidRDefault="008016E9" w:rsidP="00122507"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 w:rsidRPr="00356FD2">
                        <w:rPr>
                          <w:sz w:val="20"/>
                          <w:szCs w:val="20"/>
                        </w:rPr>
                        <w:t xml:space="preserve">Figure S </w:t>
                      </w:r>
                      <w:r w:rsidRPr="00356FD2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356FD2">
                        <w:rPr>
                          <w:sz w:val="20"/>
                          <w:szCs w:val="20"/>
                        </w:rPr>
                        <w:instrText xml:space="preserve"> SEQ Figure_S \* ARABIC </w:instrText>
                      </w:r>
                      <w:r w:rsidRPr="00356FD2"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9</w:t>
                      </w:r>
                      <w:r w:rsidRPr="00356FD2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 sPLS-DA (3D left, 2D right) of metabolomics data of STIS of SiO</w:t>
                      </w:r>
                      <w:r w:rsidRPr="00356FD2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356FD2">
                        <w:rPr>
                          <w:sz w:val="20"/>
                          <w:szCs w:val="20"/>
                        </w:rPr>
                        <w:t xml:space="preserve">_7 in exposure and recovery groups.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>
      <w:pPr>
        <w:keepNext/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69850</wp:posOffset>
                </wp:positionV>
                <wp:extent cx="1072800" cy="327600"/>
                <wp:effectExtent l="0" t="0" r="13335" b="158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8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lang w:val="de-CH"/>
                              </w:rPr>
                            </w:pPr>
                            <w:r>
                              <w:rPr>
                                <w:b/>
                              </w:rPr>
                              <w:t>TiO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NM-105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73.45pt;margin-top:5.5pt;width:84.45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">
                <v:textbox>
                  <w:txbxContent>
                    <w:p>
                      <w:pPr>
                        <w:rPr>
                          <w:b/>
                          <w:lang w:val="de-CH"/>
                        </w:rPr>
                      </w:pPr>
                      <w:r>
                        <w:rPr>
                          <w:b/>
                        </w:rPr>
                        <w:t>TiO</w:t>
                      </w:r>
                      <w:r>
                        <w:rPr>
                          <w:b/>
                          <w:vertAlign w:val="sub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NM-105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>
            <wp:extent cx="4584700" cy="2755900"/>
            <wp:effectExtent l="0" t="0" r="635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4488872" cy="2006930"/>
            <wp:effectExtent l="0" t="0" r="6985" b="12700"/>
            <wp:docPr id="17" name="Diagramm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>
      <w:pPr>
        <w:pStyle w:val="Beschriftung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Figure S10 Number of significant changed metabolites of </w:t>
      </w:r>
      <w:r>
        <w:rPr>
          <w:i/>
          <w:iCs/>
          <w:sz w:val="20"/>
          <w:szCs w:val="20"/>
        </w:rPr>
        <w:t>in vivo</w:t>
      </w:r>
      <w:r>
        <w:rPr>
          <w:sz w:val="20"/>
          <w:szCs w:val="20"/>
        </w:rPr>
        <w:t xml:space="preserve"> STIS. </w:t>
      </w:r>
    </w:p>
    <w:p>
      <w:pPr>
        <w:pStyle w:val="Beschriftung"/>
        <w:spacing w:after="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Blue indicates decreased and red increased amount of metabolites compared to untreated controls.</w:t>
      </w:r>
    </w:p>
    <w:p>
      <w:pPr>
        <w:pStyle w:val="Beschriftung"/>
        <w:rPr>
          <w:sz w:val="20"/>
          <w:szCs w:val="20"/>
        </w:rPr>
      </w:pPr>
    </w:p>
    <w:p>
      <w:pPr>
        <w:pStyle w:val="Beschriftung"/>
        <w:rPr>
          <w:sz w:val="20"/>
          <w:szCs w:val="20"/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pStyle w:val="Beschriftu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Table S</w:t>
      </w:r>
      <w:r>
        <w:rPr>
          <w:sz w:val="20"/>
          <w:szCs w:val="20"/>
          <w:lang w:val="en-US"/>
        </w:rPr>
        <w:fldChar w:fldCharType="begin"/>
      </w:r>
      <w:r>
        <w:rPr>
          <w:sz w:val="20"/>
          <w:szCs w:val="20"/>
          <w:lang w:val="en-US"/>
        </w:rPr>
        <w:instrText xml:space="preserve"> SEQ Table \* ARABIC </w:instrText>
      </w:r>
      <w:r>
        <w:rPr>
          <w:sz w:val="20"/>
          <w:szCs w:val="20"/>
          <w:lang w:val="en-US"/>
        </w:rPr>
        <w:fldChar w:fldCharType="separate"/>
      </w:r>
      <w:r>
        <w:rPr>
          <w:noProof/>
          <w:sz w:val="20"/>
          <w:szCs w:val="20"/>
          <w:lang w:val="en-US"/>
        </w:rPr>
        <w:t>4</w:t>
      </w:r>
      <w:r>
        <w:rPr>
          <w:sz w:val="20"/>
          <w:szCs w:val="20"/>
          <w:lang w:val="en-US"/>
        </w:rPr>
        <w:fldChar w:fldCharType="end"/>
      </w:r>
      <w:r>
        <w:rPr>
          <w:sz w:val="20"/>
          <w:szCs w:val="20"/>
          <w:lang w:val="en-US"/>
        </w:rPr>
        <w:t xml:space="preserve">: Overview feature (Metabolite) selection based on </w:t>
      </w:r>
      <w:proofErr w:type="spellStart"/>
      <w:r>
        <w:rPr>
          <w:sz w:val="20"/>
          <w:szCs w:val="20"/>
          <w:lang w:val="en-US"/>
        </w:rPr>
        <w:t>sPLS</w:t>
      </w:r>
      <w:proofErr w:type="spellEnd"/>
      <w:r>
        <w:rPr>
          <w:sz w:val="20"/>
          <w:szCs w:val="20"/>
          <w:lang w:val="en-US"/>
        </w:rPr>
        <w:t xml:space="preserve">-DA of </w:t>
      </w:r>
      <w:r>
        <w:rPr>
          <w:i/>
          <w:iCs/>
          <w:sz w:val="20"/>
          <w:szCs w:val="20"/>
          <w:lang w:val="en-US"/>
        </w:rPr>
        <w:t>in vitro</w:t>
      </w:r>
      <w:r>
        <w:rPr>
          <w:sz w:val="20"/>
          <w:szCs w:val="20"/>
          <w:lang w:val="en-US"/>
        </w:rPr>
        <w:t xml:space="preserve"> data.</w:t>
      </w:r>
    </w:p>
    <w:tbl>
      <w:tblPr>
        <w:tblStyle w:val="Listentabelle1hellAkzent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93"/>
        <w:gridCol w:w="2166"/>
        <w:gridCol w:w="2275"/>
        <w:gridCol w:w="262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vMerge w:val="restar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  <w:r>
              <w:rPr>
                <w:rFonts w:eastAsia="Calibri"/>
                <w:sz w:val="18"/>
                <w:szCs w:val="20"/>
                <w:lang w:val="de-DE"/>
              </w:rPr>
              <w:t>NM</w:t>
            </w:r>
          </w:p>
        </w:tc>
        <w:tc>
          <w:tcPr>
            <w:tcW w:w="2450" w:type="pct"/>
            <w:gridSpan w:val="2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20"/>
                <w:lang w:val="de-DE"/>
              </w:rPr>
              <w:t>24h</w:t>
            </w:r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48h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vMerge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RLE-6TN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Epithelial Cells</w:t>
            </w:r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20"/>
                <w:lang w:val="de-DE"/>
              </w:rPr>
            </w:pPr>
            <w:r>
              <w:rPr>
                <w:rFonts w:eastAsia="Calibri"/>
                <w:b/>
                <w:bCs/>
                <w:sz w:val="18"/>
                <w:szCs w:val="20"/>
                <w:lang w:val="de-DE"/>
              </w:rPr>
              <w:t xml:space="preserve">NR8383 </w:t>
            </w:r>
            <w:proofErr w:type="spellStart"/>
            <w:r>
              <w:rPr>
                <w:rFonts w:eastAsia="Calibri"/>
                <w:b/>
                <w:bCs/>
                <w:sz w:val="18"/>
                <w:szCs w:val="20"/>
                <w:lang w:val="de-DE"/>
              </w:rPr>
              <w:t>Macrophages</w:t>
            </w:r>
            <w:proofErr w:type="spellEnd"/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RLE-6TN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20"/>
                <w:lang w:val="de-DE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Epithelial Cells</w:t>
            </w:r>
          </w:p>
        </w:tc>
      </w:tr>
      <w:tr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_15_Unmod</w:t>
            </w: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Putrescine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LysoPCaC18:2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LysoPCaC16:0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Phe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SMC26:1</w:t>
            </w:r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SMOHC16:1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SMOH14:1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Glu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PCaeC44:5</w:t>
            </w:r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PCaeC40:1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PCaeC38:4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PCaeC38:1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C12:1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_15_Amino</w:t>
            </w: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PCaaC42:4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PCaeC40:1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PCaeC40:5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Spermidine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Spermine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Phe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SMC20:2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PCaeC44:5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LysoPCaC16:0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PCaaC36:4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SMC18:1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SMC24:1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SMC18:0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PCaaC24:0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</w:tc>
      </w:tr>
      <w:tr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_7</w:t>
            </w: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C16,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LysoPCaC18:0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PCaaC40:6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Cit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Tyr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Ile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 C20:2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 C24:1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 ae C30:2</w:t>
            </w:r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Gln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Ala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Glu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de-DE"/>
              </w:rPr>
              <w:t>Asn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Trp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SM C22:3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Taurine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LysoPCaC24:0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LysoPCaC26:0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PCaaC24:0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PCaeC44:6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Cit</w:t>
            </w:r>
            <w:proofErr w:type="spellEnd"/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SMC18:1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Ala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PCaaC40:2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Glu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LysoPCaC28:1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_40</w:t>
            </w: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PCaeC42:2,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LysoPCaC18:0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LysoPCaC17:0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PCaeC40:1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LysoPCaC18:2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Pro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C2</w:t>
            </w:r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Spermidine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PCaeC44:3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PCaeC44:4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LysoPCaC20:3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ADMA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Lyso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 PCaC16:0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PCaeC42:3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PCaaC42:4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SMC16:0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Ala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Taurine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SMC22:3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Arg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</w:tc>
      </w:tr>
      <w:tr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 xml:space="preserve"> NM-105</w:t>
            </w:r>
          </w:p>
        </w:tc>
        <w:tc>
          <w:tcPr>
            <w:tcW w:w="119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 xml:space="preserve">Putrescine,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 xml:space="preserve">PCaaC42:1,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fr-CH"/>
              </w:rPr>
              <w:t>Cit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 xml:space="preserve">PCaeC40:1,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PCaeC30:1,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LysoPCaC28:0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PCaaC24:0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lastRenderedPageBreak/>
              <w:t>C3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proofErr w:type="gramStart"/>
            <w:r>
              <w:rPr>
                <w:rFonts w:eastAsia="Calibri"/>
                <w:sz w:val="18"/>
                <w:szCs w:val="18"/>
                <w:lang w:val="fr-CH"/>
              </w:rPr>
              <w:t>lysoPCaC</w:t>
            </w:r>
            <w:proofErr w:type="gramEnd"/>
            <w:r>
              <w:rPr>
                <w:rFonts w:eastAsia="Calibri"/>
                <w:sz w:val="18"/>
                <w:szCs w:val="18"/>
                <w:lang w:val="fr-CH"/>
              </w:rPr>
              <w:t>18:2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proofErr w:type="gramStart"/>
            <w:r>
              <w:rPr>
                <w:rFonts w:eastAsia="Calibri"/>
                <w:sz w:val="18"/>
                <w:szCs w:val="18"/>
                <w:lang w:val="fr-CH"/>
              </w:rPr>
              <w:t>lysoPCaC</w:t>
            </w:r>
            <w:proofErr w:type="gramEnd"/>
            <w:r>
              <w:rPr>
                <w:rFonts w:eastAsia="Calibri"/>
                <w:sz w:val="18"/>
                <w:szCs w:val="18"/>
                <w:lang w:val="fr-CH"/>
              </w:rPr>
              <w:t>16:0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Taurine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SMOHC24:1</w:t>
            </w:r>
          </w:p>
        </w:tc>
        <w:tc>
          <w:tcPr>
            <w:tcW w:w="1255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lastRenderedPageBreak/>
              <w:t>PCaaC36:0,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PCaeC36:5,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PCaeC40:6,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His,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>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Asp,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Val,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lastRenderedPageBreak/>
              <w:t>Phe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Lys, 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Tyr,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Glu</w:t>
            </w:r>
          </w:p>
        </w:tc>
        <w:tc>
          <w:tcPr>
            <w:tcW w:w="1450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lastRenderedPageBreak/>
              <w:t>Putrescine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PCaaC42:1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PCaeC34:2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SMOHC24:1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fr-CH"/>
              </w:rPr>
            </w:pPr>
            <w:r>
              <w:rPr>
                <w:rFonts w:eastAsia="Calibri"/>
                <w:sz w:val="18"/>
                <w:szCs w:val="18"/>
                <w:lang w:val="fr-CH"/>
              </w:rPr>
              <w:t>LysoPCaC16:1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C16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C3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SMC26:0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Cit</w:t>
            </w:r>
            <w:proofErr w:type="spellEnd"/>
          </w:p>
        </w:tc>
      </w:tr>
    </w:tbl>
    <w:p/>
    <w:p>
      <w:pPr>
        <w:spacing w:after="0" w:line="240" w:lineRule="auto"/>
        <w:rPr>
          <w:rFonts w:eastAsia="Calibri"/>
          <w:b/>
          <w:bCs/>
          <w:sz w:val="20"/>
          <w:szCs w:val="18"/>
          <w:lang w:val="en-US"/>
        </w:rPr>
      </w:pPr>
      <w:r>
        <w:rPr>
          <w:rFonts w:eastAsia="Calibri"/>
          <w:b/>
          <w:bCs/>
          <w:sz w:val="20"/>
          <w:szCs w:val="18"/>
          <w:lang w:val="en-US"/>
        </w:rPr>
        <w:t>Table S</w:t>
      </w:r>
      <w:r>
        <w:rPr>
          <w:rFonts w:eastAsia="Calibri"/>
          <w:b/>
          <w:bCs/>
          <w:sz w:val="20"/>
          <w:szCs w:val="18"/>
          <w:lang w:val="de-DE"/>
        </w:rPr>
        <w:fldChar w:fldCharType="begin"/>
      </w:r>
      <w:r>
        <w:rPr>
          <w:rFonts w:eastAsia="Calibri"/>
          <w:b/>
          <w:bCs/>
          <w:sz w:val="20"/>
          <w:szCs w:val="18"/>
          <w:lang w:val="en-US"/>
        </w:rPr>
        <w:instrText xml:space="preserve"> SEQ Table \* ARABIC </w:instrText>
      </w:r>
      <w:r>
        <w:rPr>
          <w:rFonts w:eastAsia="Calibri"/>
          <w:b/>
          <w:bCs/>
          <w:sz w:val="20"/>
          <w:szCs w:val="18"/>
          <w:lang w:val="de-DE"/>
        </w:rPr>
        <w:fldChar w:fldCharType="separate"/>
      </w:r>
      <w:r>
        <w:rPr>
          <w:rFonts w:eastAsia="Calibri"/>
          <w:b/>
          <w:bCs/>
          <w:noProof/>
          <w:sz w:val="20"/>
          <w:szCs w:val="18"/>
          <w:lang w:val="en-US"/>
        </w:rPr>
        <w:t>5</w:t>
      </w:r>
      <w:r>
        <w:rPr>
          <w:rFonts w:eastAsia="Calibri"/>
          <w:b/>
          <w:bCs/>
          <w:sz w:val="20"/>
          <w:szCs w:val="18"/>
          <w:lang w:val="de-DE"/>
        </w:rPr>
        <w:fldChar w:fldCharType="end"/>
      </w:r>
      <w:r>
        <w:rPr>
          <w:rFonts w:eastAsia="Calibri"/>
          <w:b/>
          <w:bCs/>
          <w:sz w:val="20"/>
          <w:szCs w:val="18"/>
          <w:lang w:val="en-US"/>
        </w:rPr>
        <w:t xml:space="preserve"> Overview feature (Metabolite) selection based on </w:t>
      </w:r>
      <w:proofErr w:type="spellStart"/>
      <w:r>
        <w:rPr>
          <w:rFonts w:eastAsia="Calibri"/>
          <w:b/>
          <w:bCs/>
          <w:sz w:val="20"/>
          <w:szCs w:val="18"/>
          <w:lang w:val="en-US"/>
        </w:rPr>
        <w:t>sPLS</w:t>
      </w:r>
      <w:proofErr w:type="spellEnd"/>
      <w:r>
        <w:rPr>
          <w:rFonts w:eastAsia="Calibri"/>
          <w:b/>
          <w:bCs/>
          <w:sz w:val="20"/>
          <w:szCs w:val="18"/>
          <w:lang w:val="en-US"/>
        </w:rPr>
        <w:t xml:space="preserve">-DA of </w:t>
      </w:r>
      <w:r>
        <w:rPr>
          <w:rFonts w:eastAsia="Calibri"/>
          <w:b/>
          <w:bCs/>
          <w:i/>
          <w:iCs/>
          <w:sz w:val="20"/>
          <w:szCs w:val="18"/>
          <w:lang w:val="en-US"/>
        </w:rPr>
        <w:t xml:space="preserve">in vivo </w:t>
      </w:r>
      <w:r>
        <w:rPr>
          <w:rFonts w:eastAsia="Calibri"/>
          <w:b/>
          <w:bCs/>
          <w:sz w:val="20"/>
          <w:szCs w:val="18"/>
          <w:lang w:val="en-US"/>
        </w:rPr>
        <w:t>instillation data.</w:t>
      </w:r>
    </w:p>
    <w:p>
      <w:pPr>
        <w:spacing w:after="0" w:line="240" w:lineRule="auto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 xml:space="preserve">Metabolites were selected of highest components containing highest loadings. Results of exposure and recovery groups were regarded of </w:t>
      </w:r>
      <w:r>
        <w:rPr>
          <w:rFonts w:eastAsia="Calibri"/>
          <w:i/>
          <w:iCs/>
          <w:sz w:val="20"/>
          <w:szCs w:val="20"/>
          <w:lang w:val="en-US"/>
        </w:rPr>
        <w:t xml:space="preserve">in vivo </w:t>
      </w:r>
      <w:r>
        <w:rPr>
          <w:rFonts w:eastAsia="Calibri"/>
          <w:sz w:val="20"/>
          <w:szCs w:val="20"/>
          <w:lang w:val="en-US"/>
        </w:rPr>
        <w:t>instillation studies.</w:t>
      </w:r>
    </w:p>
    <w:tbl>
      <w:tblPr>
        <w:tblStyle w:val="Listentabelle1hellAkzent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623"/>
        <w:gridCol w:w="3333"/>
        <w:gridCol w:w="310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vMerge w:val="restar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  <w:r>
              <w:rPr>
                <w:rFonts w:eastAsia="Calibri"/>
                <w:sz w:val="18"/>
                <w:szCs w:val="20"/>
                <w:lang w:val="de-DE"/>
              </w:rPr>
              <w:t>Name</w:t>
            </w:r>
          </w:p>
        </w:tc>
        <w:tc>
          <w:tcPr>
            <w:tcW w:w="3553" w:type="pct"/>
            <w:gridSpan w:val="2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i/>
                <w:iCs/>
                <w:sz w:val="18"/>
                <w:szCs w:val="20"/>
                <w:lang w:val="de-DE"/>
              </w:rPr>
            </w:pPr>
            <w:r>
              <w:rPr>
                <w:rFonts w:eastAsia="Calibri"/>
                <w:i/>
                <w:iCs/>
                <w:sz w:val="18"/>
                <w:szCs w:val="20"/>
                <w:lang w:val="de-DE"/>
              </w:rPr>
              <w:t>In vivo</w:t>
            </w:r>
            <w:r>
              <w:rPr>
                <w:rFonts w:eastAsia="Calibri"/>
                <w:sz w:val="18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eastAsia="Calibri"/>
                <w:sz w:val="18"/>
                <w:szCs w:val="20"/>
                <w:lang w:val="de-DE"/>
              </w:rPr>
              <w:t>instillation</w:t>
            </w:r>
            <w:proofErr w:type="spellEnd"/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vMerge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Exposure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20"/>
                <w:lang w:val="de-DE"/>
              </w:rPr>
            </w:pPr>
            <w:r>
              <w:rPr>
                <w:rFonts w:eastAsia="Calibri"/>
                <w:b/>
                <w:bCs/>
                <w:sz w:val="18"/>
                <w:szCs w:val="20"/>
                <w:lang w:val="de-DE"/>
              </w:rPr>
              <w:t>Recovery</w:t>
            </w:r>
          </w:p>
        </w:tc>
      </w:tr>
      <w:tr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_15_Unmod</w:t>
            </w: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LysoPCaC16:0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C4-OH 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Total DMA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Taurine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C5OH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C8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Leu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Phe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C18:2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PCaaC30:2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Total DMA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PCaaC34:2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PCaaC36:2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PCaaC38:3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PCaeC44:5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PCaeC30:1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Glu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Phe</w:t>
            </w:r>
            <w:proofErr w:type="spellEnd"/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_15_Amino</w:t>
            </w: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Dopamine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C4-OH Pro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PCaaC42:2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PCaaC34:4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PCaaC40:3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Ala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C7-DC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PCaaC42:1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Pro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 xml:space="preserve">C6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C16-OH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TotalDMA</w:t>
            </w:r>
            <w:proofErr w:type="spellEnd"/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Taurine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C4-OH -Pro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Met-SO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Tyr</w:t>
            </w:r>
          </w:p>
        </w:tc>
      </w:tr>
      <w:tr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_7</w:t>
            </w: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C5-OH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C8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C3-DC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C6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Arg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PCaaC36:3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PCaaC34:3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PCaaC34:2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de-DE"/>
              </w:rPr>
              <w:t>Ser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t4-OH-Pro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_40</w:t>
            </w: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Alpha-AAA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PCaaC42:1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lastRenderedPageBreak/>
              <w:t>LysoPCaC16:1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C6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Thr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Trp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Pro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C3-DC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lastRenderedPageBreak/>
              <w:t>PCaaC40:3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PCaaC42:1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PCaeC34:0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SMOHC24:1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lastRenderedPageBreak/>
              <w:t>SMC18:1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C5-OH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de-DE"/>
              </w:rPr>
              <w:t>Glu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PCaeC44:3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t4-OH-Pro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Val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C3-DC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Carnosine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lysoPCaC16:1</w:t>
            </w:r>
          </w:p>
        </w:tc>
      </w:tr>
    </w:tbl>
    <w:p/>
    <w:p>
      <w:pPr>
        <w:spacing w:after="0" w:line="240" w:lineRule="auto"/>
        <w:rPr>
          <w:rFonts w:eastAsia="Calibri"/>
          <w:b/>
          <w:bCs/>
          <w:sz w:val="20"/>
          <w:szCs w:val="18"/>
          <w:lang w:val="en-US"/>
        </w:rPr>
      </w:pPr>
      <w:r>
        <w:rPr>
          <w:rFonts w:eastAsia="Calibri"/>
          <w:b/>
          <w:bCs/>
          <w:sz w:val="20"/>
          <w:szCs w:val="18"/>
          <w:lang w:val="en-US"/>
        </w:rPr>
        <w:t>Table S</w:t>
      </w:r>
      <w:r>
        <w:rPr>
          <w:rFonts w:eastAsia="Calibri"/>
          <w:b/>
          <w:bCs/>
          <w:sz w:val="20"/>
          <w:szCs w:val="18"/>
          <w:lang w:val="de-DE"/>
        </w:rPr>
        <w:fldChar w:fldCharType="begin"/>
      </w:r>
      <w:r>
        <w:rPr>
          <w:rFonts w:eastAsia="Calibri"/>
          <w:b/>
          <w:bCs/>
          <w:sz w:val="20"/>
          <w:szCs w:val="18"/>
          <w:lang w:val="en-US"/>
        </w:rPr>
        <w:instrText xml:space="preserve"> SEQ Table \* ARABIC </w:instrText>
      </w:r>
      <w:r>
        <w:rPr>
          <w:rFonts w:eastAsia="Calibri"/>
          <w:b/>
          <w:bCs/>
          <w:sz w:val="20"/>
          <w:szCs w:val="18"/>
          <w:lang w:val="de-DE"/>
        </w:rPr>
        <w:fldChar w:fldCharType="separate"/>
      </w:r>
      <w:r>
        <w:rPr>
          <w:rFonts w:eastAsia="Calibri"/>
          <w:b/>
          <w:bCs/>
          <w:noProof/>
          <w:sz w:val="20"/>
          <w:szCs w:val="18"/>
          <w:lang w:val="en-US"/>
        </w:rPr>
        <w:t>6</w:t>
      </w:r>
      <w:r>
        <w:rPr>
          <w:rFonts w:eastAsia="Calibri"/>
          <w:b/>
          <w:bCs/>
          <w:sz w:val="20"/>
          <w:szCs w:val="18"/>
          <w:lang w:val="de-DE"/>
        </w:rPr>
        <w:fldChar w:fldCharType="end"/>
      </w:r>
      <w:r>
        <w:rPr>
          <w:rFonts w:eastAsia="Calibri"/>
          <w:b/>
          <w:bCs/>
          <w:sz w:val="20"/>
          <w:szCs w:val="18"/>
          <w:lang w:val="en-US"/>
        </w:rPr>
        <w:t xml:space="preserve"> Overview feature (Metabolite) selection based on </w:t>
      </w:r>
      <w:proofErr w:type="spellStart"/>
      <w:r>
        <w:rPr>
          <w:rFonts w:eastAsia="Calibri"/>
          <w:b/>
          <w:bCs/>
          <w:sz w:val="20"/>
          <w:szCs w:val="18"/>
          <w:lang w:val="en-US"/>
        </w:rPr>
        <w:t>sPLS</w:t>
      </w:r>
      <w:proofErr w:type="spellEnd"/>
      <w:r>
        <w:rPr>
          <w:rFonts w:eastAsia="Calibri"/>
          <w:b/>
          <w:bCs/>
          <w:sz w:val="20"/>
          <w:szCs w:val="18"/>
          <w:lang w:val="en-US"/>
        </w:rPr>
        <w:t xml:space="preserve">-DA of </w:t>
      </w:r>
      <w:r>
        <w:rPr>
          <w:rFonts w:eastAsia="Calibri"/>
          <w:b/>
          <w:bCs/>
          <w:i/>
          <w:iCs/>
          <w:sz w:val="20"/>
          <w:szCs w:val="18"/>
          <w:lang w:val="en-US"/>
        </w:rPr>
        <w:t xml:space="preserve">in vivo </w:t>
      </w:r>
      <w:r>
        <w:rPr>
          <w:rFonts w:eastAsia="Calibri"/>
          <w:b/>
          <w:bCs/>
          <w:sz w:val="20"/>
          <w:szCs w:val="18"/>
          <w:lang w:val="en-US"/>
        </w:rPr>
        <w:t>STIS data.</w:t>
      </w:r>
    </w:p>
    <w:p>
      <w:pPr>
        <w:spacing w:after="0" w:line="240" w:lineRule="auto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 xml:space="preserve">Metabolites were selected of highest components containing highest loadings. Results of exposure and recovery groups were regarded of </w:t>
      </w:r>
      <w:r>
        <w:rPr>
          <w:rFonts w:eastAsia="Calibri"/>
          <w:i/>
          <w:iCs/>
          <w:sz w:val="20"/>
          <w:szCs w:val="20"/>
          <w:lang w:val="en-US"/>
        </w:rPr>
        <w:t xml:space="preserve">in vivo </w:t>
      </w:r>
      <w:r>
        <w:rPr>
          <w:rFonts w:eastAsia="Calibri"/>
          <w:sz w:val="20"/>
          <w:szCs w:val="20"/>
          <w:lang w:val="en-US"/>
        </w:rPr>
        <w:t>STIS.</w:t>
      </w:r>
    </w:p>
    <w:tbl>
      <w:tblPr>
        <w:tblStyle w:val="Listentabelle1hellAkzent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623"/>
        <w:gridCol w:w="3333"/>
        <w:gridCol w:w="310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vMerge w:val="restar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  <w:r>
              <w:rPr>
                <w:rFonts w:eastAsia="Calibri"/>
                <w:sz w:val="18"/>
                <w:szCs w:val="20"/>
                <w:lang w:val="de-DE"/>
              </w:rPr>
              <w:t>Name</w:t>
            </w:r>
          </w:p>
        </w:tc>
        <w:tc>
          <w:tcPr>
            <w:tcW w:w="3553" w:type="pct"/>
            <w:gridSpan w:val="2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i/>
                <w:iCs/>
                <w:sz w:val="18"/>
                <w:szCs w:val="20"/>
                <w:lang w:val="de-DE"/>
              </w:rPr>
            </w:pPr>
            <w:r>
              <w:rPr>
                <w:rFonts w:eastAsia="Calibri"/>
                <w:i/>
                <w:iCs/>
                <w:sz w:val="18"/>
                <w:szCs w:val="20"/>
                <w:lang w:val="de-DE"/>
              </w:rPr>
              <w:t>In vivo</w:t>
            </w:r>
            <w:r>
              <w:rPr>
                <w:rFonts w:eastAsia="Calibri"/>
                <w:sz w:val="18"/>
                <w:szCs w:val="20"/>
                <w:lang w:val="de-DE"/>
              </w:rPr>
              <w:t xml:space="preserve"> STIS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vMerge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20"/>
                <w:lang w:val="de-DE"/>
              </w:rPr>
            </w:pP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bCs/>
                <w:sz w:val="18"/>
                <w:szCs w:val="18"/>
                <w:lang w:val="en-US"/>
              </w:rPr>
              <w:t>Exposure</w:t>
            </w:r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18"/>
                <w:szCs w:val="20"/>
                <w:lang w:val="de-DE"/>
              </w:rPr>
            </w:pPr>
            <w:r>
              <w:rPr>
                <w:rFonts w:eastAsia="Calibri"/>
                <w:b/>
                <w:bCs/>
                <w:sz w:val="18"/>
                <w:szCs w:val="20"/>
                <w:lang w:val="de-DE"/>
              </w:rPr>
              <w:t>Recovery</w:t>
            </w:r>
          </w:p>
        </w:tc>
      </w:tr>
      <w:tr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>_7</w:t>
            </w:r>
          </w:p>
        </w:tc>
        <w:tc>
          <w:tcPr>
            <w:tcW w:w="1839" w:type="pct"/>
            <w:shd w:val="clear" w:color="auto" w:fill="FFFFFF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C16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C5:1-DC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C18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C16:1-OH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C18:2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PCaaC36:3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SMC26:1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PCaaC34:2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PCaaC40:3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t4-OH Pro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Asp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ADMA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de-DE"/>
              </w:rPr>
            </w:pPr>
            <w:r>
              <w:rPr>
                <w:rFonts w:eastAsia="Calibri"/>
                <w:sz w:val="18"/>
                <w:szCs w:val="18"/>
                <w:lang w:val="de-DE"/>
              </w:rPr>
              <w:t>lysoPCaC18:0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Ac-</w:t>
            </w: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lysoPCaC18:2</w:t>
            </w:r>
          </w:p>
        </w:tc>
        <w:tc>
          <w:tcPr>
            <w:tcW w:w="1714" w:type="pct"/>
            <w:shd w:val="clear" w:color="auto" w:fill="FFFFFF"/>
          </w:tcPr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C16:2-OH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C5:1-DC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C16:1-OH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C18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C16-OH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C14:2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PCaeC38:1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SMOHC24:1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PCaeC36:2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lysoPCaC20:4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</w:t>
            </w:r>
          </w:p>
          <w:p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Histamine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pct"/>
            <w:shd w:val="clear" w:color="auto" w:fill="FFFFFF"/>
          </w:tcPr>
          <w:p>
            <w:pPr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TiO</w:t>
            </w:r>
            <w:r>
              <w:rPr>
                <w:rFonts w:eastAsia="Calibri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eastAsia="Calibri"/>
                <w:sz w:val="18"/>
                <w:szCs w:val="18"/>
                <w:lang w:val="en-US"/>
              </w:rPr>
              <w:t xml:space="preserve"> NM-105</w:t>
            </w:r>
          </w:p>
        </w:tc>
        <w:tc>
          <w:tcPr>
            <w:tcW w:w="1839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C5-OH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C8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C6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C16-OH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SMOHC22:2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Ac-</w:t>
            </w: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SMC20:2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Kynurenine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Val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C5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</w:tc>
        <w:tc>
          <w:tcPr>
            <w:tcW w:w="1714" w:type="pct"/>
            <w:shd w:val="clear" w:color="auto" w:fill="FFFFFF"/>
            <w:vAlign w:val="center"/>
          </w:tcPr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C6:1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SMOHC22:2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lysoPCaC16:0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lysoPCaC18:2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SMC26:0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Glu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Creatinine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C0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Met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Val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Arg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eastAsia="Calibri"/>
                <w:sz w:val="18"/>
                <w:szCs w:val="18"/>
                <w:lang w:val="en-US"/>
              </w:rPr>
              <w:t>Orn</w:t>
            </w:r>
            <w:proofErr w:type="spellEnd"/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Ile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Leu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</w:t>
            </w:r>
          </w:p>
          <w:p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  <w:lang w:val="en-US"/>
              </w:rPr>
              <w:t>C3-DC</w:t>
            </w:r>
          </w:p>
        </w:tc>
      </w:tr>
    </w:tbl>
    <w:p>
      <w:pPr>
        <w:spacing w:after="0" w:line="480" w:lineRule="auto"/>
        <w:rPr>
          <w:rFonts w:eastAsia="Calibri"/>
          <w:b/>
          <w:bCs/>
          <w:lang w:val="en-US"/>
        </w:rPr>
      </w:pPr>
    </w:p>
    <w:p/>
    <w:p>
      <w:pPr>
        <w:pStyle w:val="Beschriftu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Table S</w:t>
      </w:r>
      <w:r>
        <w:rPr>
          <w:sz w:val="20"/>
          <w:szCs w:val="20"/>
        </w:rPr>
        <w:fldChar w:fldCharType="begin"/>
      </w:r>
      <w:r>
        <w:rPr>
          <w:sz w:val="20"/>
          <w:szCs w:val="20"/>
          <w:lang w:val="en-US"/>
        </w:rPr>
        <w:instrText xml:space="preserve"> SEQ Table \* ARABIC </w:instrText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  <w:lang w:val="en-US"/>
        </w:rPr>
        <w:t>7</w:t>
      </w:r>
      <w:r>
        <w:rPr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 xml:space="preserve"> Overview feature (Metabolite) selection based on </w:t>
      </w:r>
      <w:proofErr w:type="spellStart"/>
      <w:r>
        <w:rPr>
          <w:sz w:val="20"/>
          <w:szCs w:val="20"/>
          <w:lang w:val="en-US"/>
        </w:rPr>
        <w:t>sPLS</w:t>
      </w:r>
      <w:proofErr w:type="spellEnd"/>
      <w:r>
        <w:rPr>
          <w:sz w:val="20"/>
          <w:szCs w:val="20"/>
          <w:lang w:val="en-US"/>
        </w:rPr>
        <w:t xml:space="preserve">-DA of </w:t>
      </w:r>
      <w:r>
        <w:rPr>
          <w:i/>
          <w:iCs/>
          <w:sz w:val="20"/>
          <w:szCs w:val="20"/>
          <w:lang w:val="en-US"/>
        </w:rPr>
        <w:t xml:space="preserve">in vivo </w:t>
      </w:r>
      <w:r>
        <w:rPr>
          <w:sz w:val="20"/>
          <w:szCs w:val="20"/>
          <w:lang w:val="en-US"/>
        </w:rPr>
        <w:t>instillation data.</w:t>
      </w:r>
    </w:p>
    <w:p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Metabolites were selected of highest components containing high loadings. Results of exposure and recovery groups were regarded of </w:t>
      </w:r>
      <w:r>
        <w:rPr>
          <w:i/>
          <w:iCs/>
          <w:sz w:val="20"/>
          <w:szCs w:val="20"/>
          <w:lang w:val="en-US"/>
        </w:rPr>
        <w:t xml:space="preserve">in vivo </w:t>
      </w:r>
      <w:r>
        <w:rPr>
          <w:sz w:val="20"/>
          <w:szCs w:val="20"/>
          <w:lang w:val="en-US"/>
        </w:rPr>
        <w:t>instillation studies.</w:t>
      </w:r>
    </w:p>
    <w:tbl>
      <w:tblPr>
        <w:tblStyle w:val="Listentabelle1hellAkzent31"/>
        <w:tblW w:w="5000" w:type="pct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044"/>
        <w:gridCol w:w="1798"/>
        <w:gridCol w:w="1798"/>
        <w:gridCol w:w="1716"/>
        <w:gridCol w:w="171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vMerge w:val="restart"/>
            <w:tcBorders>
              <w:top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bookmarkStart w:id="2" w:name="_Hlk25856581"/>
            <w:r>
              <w:rPr>
                <w:sz w:val="18"/>
                <w:szCs w:val="20"/>
              </w:rPr>
              <w:t>Name</w:t>
            </w:r>
          </w:p>
        </w:tc>
        <w:tc>
          <w:tcPr>
            <w:tcW w:w="1982" w:type="pct"/>
            <w:gridSpan w:val="2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In vivo</w:t>
            </w:r>
            <w:r>
              <w:rPr>
                <w:sz w:val="18"/>
                <w:szCs w:val="20"/>
              </w:rPr>
              <w:t xml:space="preserve"> instillation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20"/>
              </w:rPr>
            </w:pPr>
            <w:r>
              <w:rPr>
                <w:i/>
                <w:iCs/>
                <w:sz w:val="18"/>
                <w:szCs w:val="20"/>
              </w:rPr>
              <w:t>In vivo</w:t>
            </w:r>
            <w:r>
              <w:rPr>
                <w:sz w:val="18"/>
                <w:szCs w:val="20"/>
              </w:rPr>
              <w:t xml:space="preserve"> STIS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9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Exposure</w:t>
            </w:r>
          </w:p>
        </w:tc>
        <w:tc>
          <w:tcPr>
            <w:tcW w:w="99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Recovery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Exposure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Recovery</w:t>
            </w:r>
          </w:p>
        </w:tc>
      </w:tr>
      <w:tr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SiO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_15_Unmod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LysoPCaC16:0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LysoPCaC18:0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C4-OH Pro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Taurine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C5OH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C8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C18:2</w:t>
            </w:r>
          </w:p>
        </w:tc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Total DMA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PCaaC34:2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PCaaC36:2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Trp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C0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NA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</w:tr>
      <w:bookmarkEnd w:id="2"/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SiO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_15_Amino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C4-OH Pro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PCaaC42:2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PCaaC40:3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Ala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C7-DC</w:t>
            </w:r>
          </w:p>
        </w:tc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C16-OH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C4-OH -Pro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Met-SO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LysoPCaC18:2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Ser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NA</w:t>
            </w:r>
          </w:p>
          <w:p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</w:tr>
      <w:tr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SiO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_7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C5-OH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Arg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Putrescine</w:t>
            </w:r>
          </w:p>
        </w:tc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PCaaC36:3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t4-OH-Pro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Asp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LysoPCaC18:0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Spermine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C12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C18:2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PCaaC36:3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SMC26:1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t4-OH Pro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Asp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</w:rPr>
              <w:t>lysoPCaC18:0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Spermine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C18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C16-OH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Asn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SMOHC24:1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PCaeC36:2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lysoPCaC17:0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Histamine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SiO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_40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PCaaC42:1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Asp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LysoPCaC16:1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C6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C0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Ser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Gly</w:t>
            </w:r>
            <w:proofErr w:type="spellEnd"/>
          </w:p>
        </w:tc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PCaaC40:3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SMC18:1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C10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C5-OH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t4-OH-Pro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lysoPCaC16:1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NA</w:t>
            </w:r>
          </w:p>
        </w:tc>
      </w:tr>
      <w:tr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TiO</w:t>
            </w:r>
            <w:r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NM-105</w:t>
            </w:r>
          </w:p>
        </w:tc>
        <w:tc>
          <w:tcPr>
            <w:tcW w:w="1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NA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SMOHC22:2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C6:1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Spermidine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Histamine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C5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Gly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C6:1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Gln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Putrescine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Gly</w:t>
            </w:r>
            <w:proofErr w:type="spellEnd"/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lysoPCaC16:0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lysoPCaC18:2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Spermine</w:t>
            </w:r>
          </w:p>
          <w:p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C0</w:t>
            </w:r>
          </w:p>
        </w:tc>
      </w:tr>
    </w:tbl>
    <w:p/>
    <w:p/>
    <w:p/>
    <w:p>
      <w:r>
        <w:rPr>
          <w:noProof/>
          <w:lang w:val="de-DE" w:eastAsia="de-DE"/>
        </w:rPr>
        <w:lastRenderedPageBreak/>
        <w:drawing>
          <wp:inline distT="0" distB="0" distL="0" distR="0">
            <wp:extent cx="2695575" cy="1534764"/>
            <wp:effectExtent l="0" t="0" r="0" b="8890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84" cy="156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de-DE" w:eastAsia="de-DE"/>
        </w:rPr>
        <w:drawing>
          <wp:inline distT="0" distB="0" distL="0" distR="0">
            <wp:extent cx="2804344" cy="1552411"/>
            <wp:effectExtent l="0" t="0" r="0" b="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5" cy="158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inline distT="0" distB="0" distL="0" distR="0">
            <wp:extent cx="2676525" cy="1589405"/>
            <wp:effectExtent l="0" t="0" r="9525" b="0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42" cy="161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de-DE" w:eastAsia="de-DE"/>
        </w:rPr>
        <w:drawing>
          <wp:inline distT="0" distB="0" distL="0" distR="0">
            <wp:extent cx="2771775" cy="1584280"/>
            <wp:effectExtent l="0" t="0" r="0" b="0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87" cy="160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inline distT="0" distB="0" distL="0" distR="0">
            <wp:extent cx="2667000" cy="1571370"/>
            <wp:effectExtent l="0" t="0" r="0" b="0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46" cy="159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de-DE" w:eastAsia="de-DE"/>
        </w:rPr>
        <w:drawing>
          <wp:inline distT="0" distB="0" distL="0" distR="0">
            <wp:extent cx="2740973" cy="1581150"/>
            <wp:effectExtent l="0" t="0" r="2540" b="0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87" cy="160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left"/>
      </w:pPr>
      <w:r>
        <w:t xml:space="preserve"> </w:t>
      </w:r>
      <w:r>
        <w:rPr>
          <w:noProof/>
          <w:lang w:val="de-DE" w:eastAsia="de-DE"/>
        </w:rPr>
        <w:drawing>
          <wp:inline distT="0" distB="0" distL="0" distR="0">
            <wp:extent cx="2743200" cy="1614238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63" cy="162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de-DE" w:eastAsia="de-DE"/>
        </w:rPr>
        <w:drawing>
          <wp:inline distT="0" distB="0" distL="0" distR="0">
            <wp:extent cx="2809875" cy="1627652"/>
            <wp:effectExtent l="0" t="0" r="0" b="0"/>
            <wp:docPr id="254" name="Grafi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24" cy="164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left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-133641</wp:posOffset>
                </wp:positionH>
                <wp:positionV relativeFrom="paragraph">
                  <wp:posOffset>1625600</wp:posOffset>
                </wp:positionV>
                <wp:extent cx="6383746" cy="635"/>
                <wp:effectExtent l="0" t="0" r="4445" b="6350"/>
                <wp:wrapNone/>
                <wp:docPr id="247" name="Textfel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74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Figure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SEQ Figure_S \* ARABIC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Metabolite changes following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 vitro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treatments and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 vivo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instillation exposures of silica NMs. Values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are expressed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as log2 values of the fold change vs. control (FC).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7" o:spid="_x0000_s1035" type="#_x0000_t202" style="position:absolute;margin-left:-10.5pt;margin-top:128pt;width:502.6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" stroked="f">
                <v:textbox style="mso-fit-shape-to-text:t" inset="0,0,0,0">
                  <w:txbxContent>
                    <w:p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sz w:val="20"/>
                          <w:szCs w:val="20"/>
                        </w:rPr>
                        <w:instrText xml:space="preserve"> SEQ Figure_S \* ARABIC </w:instrText>
                      </w:r>
                      <w:r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sz w:val="20"/>
                          <w:szCs w:val="20"/>
                        </w:rPr>
                        <w:t xml:space="preserve">. Metabolite changes following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in vitro</w:t>
                      </w:r>
                      <w:r>
                        <w:rPr>
                          <w:sz w:val="20"/>
                          <w:szCs w:val="20"/>
                        </w:rPr>
                        <w:t xml:space="preserve"> treatments and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in vivo</w:t>
                      </w:r>
                      <w:r>
                        <w:rPr>
                          <w:sz w:val="20"/>
                          <w:szCs w:val="20"/>
                        </w:rPr>
                        <w:t xml:space="preserve"> instillation exposures of silica NMs. Values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are expressed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as log2 values of the fold change vs. control (FC).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>
            <wp:extent cx="2676525" cy="1537434"/>
            <wp:effectExtent l="0" t="0" r="0" b="571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4" cy="156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de-DE" w:eastAsia="de-DE"/>
        </w:rPr>
        <w:drawing>
          <wp:inline distT="0" distB="0" distL="0" distR="0">
            <wp:extent cx="2657475" cy="1526492"/>
            <wp:effectExtent l="0" t="0" r="0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38" cy="154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center"/>
      </w:pPr>
      <w:r>
        <w:t>Supplementary Metabolite Tendencies</w:t>
      </w:r>
    </w:p>
    <w:p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2581275" cy="1676399"/>
            <wp:effectExtent l="0" t="0" r="0" b="635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25" cy="169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de-DE" w:eastAsia="de-DE"/>
        </w:rPr>
        <w:drawing>
          <wp:inline distT="0" distB="0" distL="0" distR="0">
            <wp:extent cx="2990850" cy="1709482"/>
            <wp:effectExtent l="0" t="0" r="0" b="5080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85" cy="172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val="de-DE" w:eastAsia="de-DE"/>
        </w:rPr>
        <w:drawing>
          <wp:inline distT="0" distB="0" distL="0" distR="0">
            <wp:extent cx="3674048" cy="2082800"/>
            <wp:effectExtent l="0" t="0" r="3175" b="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53" cy="209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val="de-DE" w:eastAsia="de-DE"/>
        </w:rPr>
        <w:drawing>
          <wp:inline distT="0" distB="0" distL="0" distR="0">
            <wp:extent cx="3714750" cy="2146905"/>
            <wp:effectExtent l="0" t="0" r="0" b="635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52" cy="223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-177800</wp:posOffset>
                </wp:positionH>
                <wp:positionV relativeFrom="paragraph">
                  <wp:posOffset>2299970</wp:posOffset>
                </wp:positionV>
                <wp:extent cx="6383746" cy="635"/>
                <wp:effectExtent l="0" t="0" r="0" b="8255"/>
                <wp:wrapNone/>
                <wp:docPr id="255" name="Textfel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74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eschriftu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Figure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SEQ Figure_S \* ARABIC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Metabolite tendencies comparing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 vitro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treatments and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 vivo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STIS for TiO2 NM-105 and SiO2_7. Values are expressed as log2 values of the fold change vs. control (FC).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5" o:spid="_x0000_s1036" type="#_x0000_t202" style="position:absolute;left:0;text-align:left;margin-left:-14pt;margin-top:181.1pt;width:502.6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" stroked="f">
                <v:textbox style="mso-fit-shape-to-text:t" inset="0,0,0,0">
                  <w:txbxContent>
                    <w:p>
                      <w:pPr>
                        <w:pStyle w:val="Beschriftu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Figure S</w:t>
                      </w:r>
                      <w:r>
                        <w:rPr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sz w:val="20"/>
                          <w:szCs w:val="20"/>
                        </w:rPr>
                        <w:instrText xml:space="preserve"> SEQ Figure_S \* ARABIC </w:instrText>
                      </w:r>
                      <w:r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sz w:val="20"/>
                          <w:szCs w:val="20"/>
                        </w:rPr>
                        <w:t xml:space="preserve">. Metabolite tendencies comparing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in vitro</w:t>
                      </w:r>
                      <w:r>
                        <w:rPr>
                          <w:sz w:val="20"/>
                          <w:szCs w:val="20"/>
                        </w:rPr>
                        <w:t xml:space="preserve"> treatments and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in vivo</w:t>
                      </w:r>
                      <w:r>
                        <w:rPr>
                          <w:sz w:val="20"/>
                          <w:szCs w:val="20"/>
                        </w:rPr>
                        <w:t xml:space="preserve"> STIS for TiO2 NM-105 and SiO2_7. Values are expressed as log2 values of the fold change vs. control (FC).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>
            <wp:extent cx="3737057" cy="2171700"/>
            <wp:effectExtent l="0" t="0" r="0" b="0"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03" cy="221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lang w:val="de-CH"/>
        </w:rPr>
      </w:pPr>
      <w:r>
        <w:rPr>
          <w:b/>
          <w:lang w:val="de-CH"/>
        </w:rPr>
        <w:lastRenderedPageBreak/>
        <w:t>References</w:t>
      </w:r>
      <w:bookmarkStart w:id="3" w:name="_GoBack"/>
      <w:bookmarkEnd w:id="3"/>
    </w:p>
    <w:p>
      <w:pPr>
        <w:pStyle w:val="EndNoteBibliography"/>
        <w:spacing w:after="0"/>
        <w:ind w:left="720" w:hanging="720"/>
        <w:jc w:val="both"/>
        <w:rPr>
          <w:lang w:val="de-DE"/>
        </w:rPr>
      </w:pPr>
      <w:r>
        <w:fldChar w:fldCharType="begin"/>
      </w:r>
      <w:r>
        <w:rPr>
          <w:lang w:val="de-CH"/>
        </w:rPr>
        <w:instrText xml:space="preserve"> ADDIN EN.REFLIST </w:instrText>
      </w:r>
      <w:r>
        <w:fldChar w:fldCharType="separate"/>
      </w:r>
      <w:r>
        <w:rPr>
          <w:lang w:val="de-CH"/>
        </w:rPr>
        <w:t xml:space="preserve">Bannuscher, A., Karkossa, I., Buhs, S., Nollau, P., Kettler, K., Balas, M., Dinischiotu, A., Hellack, B., Wiemann, M., Luch, A., Von Bergen, M., Haase, A. &amp; Schubert, K., 2019. </w:t>
      </w:r>
      <w:r>
        <w:t xml:space="preserve">A multi-omics approach reveals mechanisms of nanomaterial toxicity and structure–activity relationships in alveolar macrophages. </w:t>
      </w:r>
      <w:r>
        <w:rPr>
          <w:i/>
          <w:lang w:val="de-DE"/>
        </w:rPr>
        <w:t>Nanotoxicology</w:t>
      </w:r>
      <w:r>
        <w:rPr>
          <w:b/>
          <w:lang w:val="de-DE"/>
        </w:rPr>
        <w:t>,</w:t>
      </w:r>
      <w:r>
        <w:rPr>
          <w:lang w:val="de-DE"/>
        </w:rPr>
        <w:t xml:space="preserve"> 1-15.</w:t>
      </w:r>
    </w:p>
    <w:p>
      <w:pPr>
        <w:pStyle w:val="EndNoteBibliography"/>
        <w:ind w:left="720" w:hanging="720"/>
      </w:pPr>
      <w:r>
        <w:rPr>
          <w:lang w:val="de-DE"/>
        </w:rPr>
        <w:t xml:space="preserve">Karkossa, I., Bannuscher, A., Hellack, B., Bahl, A., Buhs, S., Nollau, P., Luch, A., Schubert, K., Von Bergen, M. &amp; Haase, A., 2019. </w:t>
      </w:r>
      <w:r>
        <w:t xml:space="preserve">An in-depth multi-omics analysis in RLE-6TN rat alveolar epithelial cells allows for nanomaterial categorization. </w:t>
      </w:r>
      <w:r>
        <w:rPr>
          <w:i/>
        </w:rPr>
        <w:t xml:space="preserve">Particle and Fibre Toxicology, </w:t>
      </w:r>
      <w:r>
        <w:t>16</w:t>
      </w:r>
      <w:r>
        <w:rPr>
          <w:b/>
        </w:rPr>
        <w:t>,</w:t>
      </w:r>
      <w:r>
        <w:t xml:space="preserve"> 38.</w:t>
      </w:r>
    </w:p>
    <w:p>
      <w:pPr>
        <w:jc w:val="left"/>
      </w:pPr>
      <w:r>
        <w:fldChar w:fldCharType="end"/>
      </w:r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X 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pww0safazvfkefd055xd2qx50tr29v2dzd&quot;&gt;My EndNote Library Copy&lt;record-ids&gt;&lt;item&gt;1833&lt;/item&gt;&lt;item&gt;1834&lt;/item&gt;&lt;/record-ids&gt;&lt;/item&gt;&lt;/Libraries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50CA7-6275-4212-9250-03291215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360" w:lineRule="auto"/>
      <w:jc w:val="both"/>
    </w:pPr>
    <w:rPr>
      <w:rFonts w:ascii="Times New Roman" w:hAnsi="Times New Roman" w:cs="Times New Roman"/>
      <w:sz w:val="24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b/>
      <w:bCs/>
      <w:sz w:val="18"/>
      <w:szCs w:val="18"/>
    </w:r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val="en-GB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terunterberschrift">
    <w:name w:val="Unterunterüberschrift"/>
    <w:basedOn w:val="Standard"/>
    <w:link w:val="UnterunterberschriftZchn"/>
    <w:qFormat/>
    <w:pPr>
      <w:keepNext/>
      <w:keepLines/>
      <w:numPr>
        <w:ilvl w:val="2"/>
      </w:numPr>
      <w:spacing w:before="200" w:after="0" w:line="480" w:lineRule="auto"/>
      <w:ind w:left="720" w:hanging="720"/>
      <w:outlineLvl w:val="2"/>
    </w:pPr>
    <w:rPr>
      <w:rFonts w:eastAsia="MS Gothic"/>
      <w:b/>
      <w:bCs/>
      <w:szCs w:val="22"/>
      <w:lang w:val="en-US"/>
    </w:rPr>
  </w:style>
  <w:style w:type="character" w:customStyle="1" w:styleId="UnterunterberschriftZchn">
    <w:name w:val="Unterunterüberschrift Zchn"/>
    <w:basedOn w:val="Absatz-Standardschriftart"/>
    <w:link w:val="Unterunterberschrift"/>
    <w:rPr>
      <w:rFonts w:ascii="Times New Roman" w:eastAsia="MS Gothic" w:hAnsi="Times New Roman" w:cs="Times New Roman"/>
      <w:b/>
      <w:bCs/>
      <w:sz w:val="24"/>
      <w:lang w:val="en-US"/>
    </w:rPr>
  </w:style>
  <w:style w:type="table" w:customStyle="1" w:styleId="TabellemithellemGitternetz1">
    <w:name w:val="Tabelle mit hellem Gitternetz1"/>
    <w:basedOn w:val="NormaleTabelle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ntabelle1hellAkzent31">
    <w:name w:val="Listentabelle 1 hell  – Akzent 31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after="0" w:line="480" w:lineRule="auto"/>
    </w:pPr>
    <w:rPr>
      <w:rFonts w:ascii="Arial" w:hAnsi="Arial" w:cstheme="minorBidi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Arial" w:hAnsi="Arial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12" w:space="1" w:color="auto"/>
      </w:pBdr>
      <w:spacing w:after="300" w:line="480" w:lineRule="auto"/>
      <w:contextualSpacing/>
      <w:jc w:val="center"/>
    </w:pPr>
    <w:rPr>
      <w:rFonts w:ascii="Arial" w:eastAsiaTheme="majorEastAsia" w:hAnsi="Arial" w:cstheme="majorBidi"/>
      <w:b/>
      <w:spacing w:val="5"/>
      <w:kern w:val="28"/>
      <w:sz w:val="36"/>
      <w:szCs w:val="52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pPr>
      <w:spacing w:after="200" w:line="240" w:lineRule="auto"/>
    </w:pPr>
    <w:rPr>
      <w:rFonts w:ascii="Times New Roman" w:hAnsi="Times New Roman" w:cs="Times New Roman"/>
      <w:b/>
      <w:bCs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Caption2">
    <w:name w:val="Caption2"/>
    <w:basedOn w:val="Standard"/>
    <w:next w:val="Standard"/>
    <w:link w:val="Caption2Zchn"/>
    <w:qFormat/>
    <w:pPr>
      <w:spacing w:after="0" w:line="240" w:lineRule="auto"/>
    </w:pPr>
    <w:rPr>
      <w:rFonts w:cstheme="minorBidi"/>
      <w:sz w:val="20"/>
      <w:szCs w:val="22"/>
      <w:lang w:val="en-US"/>
    </w:rPr>
  </w:style>
  <w:style w:type="paragraph" w:customStyle="1" w:styleId="EndNoteBibliographyTitle">
    <w:name w:val="EndNote Bibliography Title"/>
    <w:basedOn w:val="Standard"/>
    <w:link w:val="EndNoteBibliographyTitleZchn"/>
    <w:pPr>
      <w:spacing w:after="0"/>
      <w:jc w:val="center"/>
    </w:pPr>
    <w:rPr>
      <w:noProof/>
      <w:lang w:val="en-US"/>
    </w:rPr>
  </w:style>
  <w:style w:type="character" w:customStyle="1" w:styleId="Caption2Zchn">
    <w:name w:val="Caption2 Zchn"/>
    <w:basedOn w:val="Absatz-Standardschriftart"/>
    <w:link w:val="Caption2"/>
    <w:rPr>
      <w:rFonts w:ascii="Times New Roman" w:hAnsi="Times New Roman"/>
      <w:sz w:val="20"/>
      <w:lang w:val="en-US"/>
    </w:rPr>
  </w:style>
  <w:style w:type="character" w:customStyle="1" w:styleId="EndNoteBibliographyTitleZchn">
    <w:name w:val="EndNote Bibliography Title Zchn"/>
    <w:basedOn w:val="Caption2Zchn"/>
    <w:link w:val="EndNoteBibliographyTitle"/>
    <w:rPr>
      <w:rFonts w:ascii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Standard"/>
    <w:link w:val="EndNoteBibliographyZchn"/>
    <w:pPr>
      <w:spacing w:line="240" w:lineRule="auto"/>
      <w:jc w:val="center"/>
    </w:pPr>
    <w:rPr>
      <w:noProof/>
      <w:lang w:val="en-US"/>
    </w:rPr>
  </w:style>
  <w:style w:type="character" w:customStyle="1" w:styleId="EndNoteBibliographyZchn">
    <w:name w:val="EndNote Bibliography Zchn"/>
    <w:basedOn w:val="Caption2Zchn"/>
    <w:link w:val="EndNoteBibliography"/>
    <w:rPr>
      <w:rFonts w:ascii="Times New Roman" w:hAnsi="Times New Roman" w:cs="Times New Roman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chart" Target="charts/chart1.xml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hyperlink" Target="mailto:Andrea.Haase@bfr.bund.d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hart" Target="charts/chart2.xm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chart" Target="charts/chart3.xml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update%2011072019\Screening%20Auswertung\Zeit-Konz-Reihen\Anne%20R\RLE\original%20values_final\Epithelial_wilkoxon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-Arbeitsblatt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Arbeitsblat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de-DE" sz="1600"/>
              <a:t>RLE-6TN Epithelial cells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820492540540156"/>
          <c:y val="0.10018645989521846"/>
          <c:w val="0.86210448492850145"/>
          <c:h val="0.66616278871664458"/>
        </c:manualLayout>
      </c:layout>
      <c:barChart>
        <c:barDir val="col"/>
        <c:grouping val="stacked"/>
        <c:varyColors val="0"/>
        <c:ser>
          <c:idx val="0"/>
          <c:order val="0"/>
          <c:tx>
            <c:v>Increases</c:v>
          </c:tx>
          <c:spPr>
            <a:solidFill>
              <a:srgbClr val="C00000"/>
            </a:solidFill>
          </c:spPr>
          <c:invertIfNegative val="0"/>
          <c:cat>
            <c:strRef>
              <c:f>Tabelle4!$B$13:$B$46</c:f>
              <c:strCache>
                <c:ptCount val="34"/>
                <c:pt idx="0">
                  <c:v>1_24h</c:v>
                </c:pt>
                <c:pt idx="1">
                  <c:v>10_24h</c:v>
                </c:pt>
                <c:pt idx="2">
                  <c:v>50_24h</c:v>
                </c:pt>
                <c:pt idx="3">
                  <c:v>1_48h</c:v>
                </c:pt>
                <c:pt idx="4">
                  <c:v>10_48h</c:v>
                </c:pt>
                <c:pt idx="5">
                  <c:v>50_48h</c:v>
                </c:pt>
                <c:pt idx="7">
                  <c:v>1_24h</c:v>
                </c:pt>
                <c:pt idx="8">
                  <c:v>10_24h</c:v>
                </c:pt>
                <c:pt idx="9">
                  <c:v>50_24h</c:v>
                </c:pt>
                <c:pt idx="10">
                  <c:v>1_48h</c:v>
                </c:pt>
                <c:pt idx="11">
                  <c:v>10_48h</c:v>
                </c:pt>
                <c:pt idx="12">
                  <c:v>50_48h</c:v>
                </c:pt>
                <c:pt idx="14">
                  <c:v>1_24h</c:v>
                </c:pt>
                <c:pt idx="15">
                  <c:v>10_24h</c:v>
                </c:pt>
                <c:pt idx="16">
                  <c:v>50_24h</c:v>
                </c:pt>
                <c:pt idx="17">
                  <c:v>1_48h</c:v>
                </c:pt>
                <c:pt idx="18">
                  <c:v>10_48h</c:v>
                </c:pt>
                <c:pt idx="19">
                  <c:v>50_48h</c:v>
                </c:pt>
                <c:pt idx="21">
                  <c:v>1_24h</c:v>
                </c:pt>
                <c:pt idx="22">
                  <c:v>10_24h</c:v>
                </c:pt>
                <c:pt idx="23">
                  <c:v>50_24h</c:v>
                </c:pt>
                <c:pt idx="24">
                  <c:v>1_48h</c:v>
                </c:pt>
                <c:pt idx="25">
                  <c:v>10_48h</c:v>
                </c:pt>
                <c:pt idx="26">
                  <c:v>50_48h</c:v>
                </c:pt>
                <c:pt idx="28">
                  <c:v>0.1_24h</c:v>
                </c:pt>
                <c:pt idx="29">
                  <c:v>1_24h</c:v>
                </c:pt>
                <c:pt idx="30">
                  <c:v>10_24h</c:v>
                </c:pt>
                <c:pt idx="31">
                  <c:v>0.1_48h</c:v>
                </c:pt>
                <c:pt idx="32">
                  <c:v>1_48h</c:v>
                </c:pt>
                <c:pt idx="33">
                  <c:v>10_48h</c:v>
                </c:pt>
              </c:strCache>
            </c:strRef>
          </c:cat>
          <c:val>
            <c:numRef>
              <c:f>Tabelle4!$C$13:$C$46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64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24</c:v>
                </c:pt>
                <c:pt idx="14">
                  <c:v>0</c:v>
                </c:pt>
                <c:pt idx="15">
                  <c:v>10</c:v>
                </c:pt>
                <c:pt idx="16">
                  <c:v>75</c:v>
                </c:pt>
                <c:pt idx="17">
                  <c:v>0</c:v>
                </c:pt>
                <c:pt idx="18">
                  <c:v>13</c:v>
                </c:pt>
                <c:pt idx="19">
                  <c:v>82</c:v>
                </c:pt>
                <c:pt idx="21">
                  <c:v>0</c:v>
                </c:pt>
                <c:pt idx="22">
                  <c:v>21</c:v>
                </c:pt>
                <c:pt idx="23">
                  <c:v>81</c:v>
                </c:pt>
                <c:pt idx="24">
                  <c:v>0</c:v>
                </c:pt>
                <c:pt idx="25">
                  <c:v>41</c:v>
                </c:pt>
                <c:pt idx="26">
                  <c:v>22</c:v>
                </c:pt>
                <c:pt idx="28">
                  <c:v>0</c:v>
                </c:pt>
                <c:pt idx="29">
                  <c:v>1</c:v>
                </c:pt>
                <c:pt idx="30">
                  <c:v>25</c:v>
                </c:pt>
                <c:pt idx="31">
                  <c:v>0</c:v>
                </c:pt>
                <c:pt idx="32">
                  <c:v>3</c:v>
                </c:pt>
                <c:pt idx="3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6-7341-80A2-F9F1E4E46FF0}"/>
            </c:ext>
          </c:extLst>
        </c:ser>
        <c:ser>
          <c:idx val="1"/>
          <c:order val="1"/>
          <c:tx>
            <c:v>Decreases</c:v>
          </c:tx>
          <c:spPr>
            <a:solidFill>
              <a:schemeClr val="accent1"/>
            </a:solidFill>
          </c:spPr>
          <c:invertIfNegative val="0"/>
          <c:cat>
            <c:strRef>
              <c:f>Tabelle4!$B$13:$B$46</c:f>
              <c:strCache>
                <c:ptCount val="34"/>
                <c:pt idx="0">
                  <c:v>1_24h</c:v>
                </c:pt>
                <c:pt idx="1">
                  <c:v>10_24h</c:v>
                </c:pt>
                <c:pt idx="2">
                  <c:v>50_24h</c:v>
                </c:pt>
                <c:pt idx="3">
                  <c:v>1_48h</c:v>
                </c:pt>
                <c:pt idx="4">
                  <c:v>10_48h</c:v>
                </c:pt>
                <c:pt idx="5">
                  <c:v>50_48h</c:v>
                </c:pt>
                <c:pt idx="7">
                  <c:v>1_24h</c:v>
                </c:pt>
                <c:pt idx="8">
                  <c:v>10_24h</c:v>
                </c:pt>
                <c:pt idx="9">
                  <c:v>50_24h</c:v>
                </c:pt>
                <c:pt idx="10">
                  <c:v>1_48h</c:v>
                </c:pt>
                <c:pt idx="11">
                  <c:v>10_48h</c:v>
                </c:pt>
                <c:pt idx="12">
                  <c:v>50_48h</c:v>
                </c:pt>
                <c:pt idx="14">
                  <c:v>1_24h</c:v>
                </c:pt>
                <c:pt idx="15">
                  <c:v>10_24h</c:v>
                </c:pt>
                <c:pt idx="16">
                  <c:v>50_24h</c:v>
                </c:pt>
                <c:pt idx="17">
                  <c:v>1_48h</c:v>
                </c:pt>
                <c:pt idx="18">
                  <c:v>10_48h</c:v>
                </c:pt>
                <c:pt idx="19">
                  <c:v>50_48h</c:v>
                </c:pt>
                <c:pt idx="21">
                  <c:v>1_24h</c:v>
                </c:pt>
                <c:pt idx="22">
                  <c:v>10_24h</c:v>
                </c:pt>
                <c:pt idx="23">
                  <c:v>50_24h</c:v>
                </c:pt>
                <c:pt idx="24">
                  <c:v>1_48h</c:v>
                </c:pt>
                <c:pt idx="25">
                  <c:v>10_48h</c:v>
                </c:pt>
                <c:pt idx="26">
                  <c:v>50_48h</c:v>
                </c:pt>
                <c:pt idx="28">
                  <c:v>0.1_24h</c:v>
                </c:pt>
                <c:pt idx="29">
                  <c:v>1_24h</c:v>
                </c:pt>
                <c:pt idx="30">
                  <c:v>10_24h</c:v>
                </c:pt>
                <c:pt idx="31">
                  <c:v>0.1_48h</c:v>
                </c:pt>
                <c:pt idx="32">
                  <c:v>1_48h</c:v>
                </c:pt>
                <c:pt idx="33">
                  <c:v>10_48h</c:v>
                </c:pt>
              </c:strCache>
            </c:strRef>
          </c:cat>
          <c:val>
            <c:numRef>
              <c:f>Tabelle4!$D$13:$D$46</c:f>
              <c:numCache>
                <c:formatCode>General</c:formatCode>
                <c:ptCount val="3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96-7341-80A2-F9F1E4E46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0569984"/>
        <c:axId val="506720640"/>
      </c:barChart>
      <c:catAx>
        <c:axId val="480569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820000" vert="horz"/>
          <a:lstStyle/>
          <a:p>
            <a:pPr>
              <a:defRPr sz="700" b="1"/>
            </a:pPr>
            <a:endParaRPr lang="de-DE"/>
          </a:p>
        </c:txPr>
        <c:crossAx val="506720640"/>
        <c:crosses val="autoZero"/>
        <c:auto val="1"/>
        <c:lblAlgn val="ctr"/>
        <c:lblOffset val="100"/>
        <c:noMultiLvlLbl val="0"/>
      </c:catAx>
      <c:valAx>
        <c:axId val="5067206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/>
                  <a:t>number of significant changed metabolites</a:t>
                </a:r>
              </a:p>
            </c:rich>
          </c:tx>
          <c:layout>
            <c:manualLayout>
              <c:xMode val="edge"/>
              <c:yMode val="edge"/>
              <c:x val="2.5281292231645838E-2"/>
              <c:y val="9.625264449063161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05699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2559735141291115"/>
          <c:y val="0.10712022326780056"/>
          <c:w val="0.18086810791561778"/>
          <c:h val="0.12879164201442178"/>
        </c:manualLayout>
      </c:layout>
      <c:overlay val="0"/>
      <c:txPr>
        <a:bodyPr/>
        <a:lstStyle/>
        <a:p>
          <a:pPr>
            <a:defRPr sz="1400" b="1"/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de-DE" sz="1600"/>
              <a:t>NR8383 Macrophages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50934605396547"/>
          <c:y val="0.10018645989521846"/>
          <c:w val="0.87557197711397183"/>
          <c:h val="0.6078637546849853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Tabelle2!$D$3</c:f>
              <c:strCache>
                <c:ptCount val="1"/>
                <c:pt idx="0">
                  <c:v>Increased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Tabelle2!$C$4:$C$22</c:f>
              <c:strCache>
                <c:ptCount val="19"/>
                <c:pt idx="0">
                  <c:v>2.5_24h</c:v>
                </c:pt>
                <c:pt idx="1">
                  <c:v>5_24h</c:v>
                </c:pt>
                <c:pt idx="2">
                  <c:v>10_24h</c:v>
                </c:pt>
                <c:pt idx="4">
                  <c:v>2.5_24h</c:v>
                </c:pt>
                <c:pt idx="5">
                  <c:v>5_24h</c:v>
                </c:pt>
                <c:pt idx="6">
                  <c:v>10_24h</c:v>
                </c:pt>
                <c:pt idx="8">
                  <c:v>2.5_24h</c:v>
                </c:pt>
                <c:pt idx="9">
                  <c:v>5_24h</c:v>
                </c:pt>
                <c:pt idx="10">
                  <c:v>10_24h</c:v>
                </c:pt>
                <c:pt idx="12">
                  <c:v>2.5_24h</c:v>
                </c:pt>
                <c:pt idx="13">
                  <c:v>5_24h</c:v>
                </c:pt>
                <c:pt idx="14">
                  <c:v>10_24h</c:v>
                </c:pt>
                <c:pt idx="16">
                  <c:v>2.5_24h</c:v>
                </c:pt>
                <c:pt idx="17">
                  <c:v>5_24h</c:v>
                </c:pt>
                <c:pt idx="18">
                  <c:v>10_24h</c:v>
                </c:pt>
              </c:strCache>
            </c:strRef>
          </c:cat>
          <c:val>
            <c:numRef>
              <c:f>Tabelle2!$D$4:$D$22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D-3443-A15A-3168407DC7A3}"/>
            </c:ext>
          </c:extLst>
        </c:ser>
        <c:ser>
          <c:idx val="1"/>
          <c:order val="1"/>
          <c:tx>
            <c:strRef>
              <c:f>Tabelle2!$E$3</c:f>
              <c:strCache>
                <c:ptCount val="1"/>
                <c:pt idx="0">
                  <c:v>Decreased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strRef>
              <c:f>Tabelle2!$C$4:$C$22</c:f>
              <c:strCache>
                <c:ptCount val="19"/>
                <c:pt idx="0">
                  <c:v>2.5_24h</c:v>
                </c:pt>
                <c:pt idx="1">
                  <c:v>5_24h</c:v>
                </c:pt>
                <c:pt idx="2">
                  <c:v>10_24h</c:v>
                </c:pt>
                <c:pt idx="4">
                  <c:v>2.5_24h</c:v>
                </c:pt>
                <c:pt idx="5">
                  <c:v>5_24h</c:v>
                </c:pt>
                <c:pt idx="6">
                  <c:v>10_24h</c:v>
                </c:pt>
                <c:pt idx="8">
                  <c:v>2.5_24h</c:v>
                </c:pt>
                <c:pt idx="9">
                  <c:v>5_24h</c:v>
                </c:pt>
                <c:pt idx="10">
                  <c:v>10_24h</c:v>
                </c:pt>
                <c:pt idx="12">
                  <c:v>2.5_24h</c:v>
                </c:pt>
                <c:pt idx="13">
                  <c:v>5_24h</c:v>
                </c:pt>
                <c:pt idx="14">
                  <c:v>10_24h</c:v>
                </c:pt>
                <c:pt idx="16">
                  <c:v>2.5_24h</c:v>
                </c:pt>
                <c:pt idx="17">
                  <c:v>5_24h</c:v>
                </c:pt>
                <c:pt idx="18">
                  <c:v>10_24h</c:v>
                </c:pt>
              </c:strCache>
            </c:strRef>
          </c:cat>
          <c:val>
            <c:numRef>
              <c:f>Tabelle2!$E$4:$E$22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7</c:v>
                </c:pt>
                <c:pt idx="12">
                  <c:v>0</c:v>
                </c:pt>
                <c:pt idx="13">
                  <c:v>6</c:v>
                </c:pt>
                <c:pt idx="14">
                  <c:v>21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8D-3443-A15A-3168407DC7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6709120"/>
        <c:axId val="506710656"/>
      </c:barChart>
      <c:catAx>
        <c:axId val="506709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820000" vert="horz"/>
          <a:lstStyle/>
          <a:p>
            <a:pPr>
              <a:defRPr b="1"/>
            </a:pPr>
            <a:endParaRPr lang="de-DE"/>
          </a:p>
        </c:txPr>
        <c:crossAx val="506710656"/>
        <c:crosses val="autoZero"/>
        <c:auto val="1"/>
        <c:lblAlgn val="ctr"/>
        <c:lblOffset val="100"/>
        <c:noMultiLvlLbl val="0"/>
      </c:catAx>
      <c:valAx>
        <c:axId val="506710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number of significant changed metabolites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067091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4732897971086945"/>
          <c:y val="0.11901861032802998"/>
          <c:w val="0.18507912205418767"/>
          <c:h val="0.10212458010649904"/>
        </c:manualLayout>
      </c:layout>
      <c:overlay val="0"/>
      <c:txPr>
        <a:bodyPr/>
        <a:lstStyle/>
        <a:p>
          <a:pPr>
            <a:defRPr sz="1400" b="1"/>
          </a:pPr>
          <a:endParaRPr lang="de-DE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de-DE" sz="1600"/>
              <a:t>SiO</a:t>
            </a:r>
            <a:r>
              <a:rPr lang="de-DE" sz="1600" baseline="-25000"/>
              <a:t>2</a:t>
            </a:r>
            <a:r>
              <a:rPr lang="de-DE" sz="1600"/>
              <a:t>_7</a:t>
            </a:r>
          </a:p>
        </c:rich>
      </c:tx>
      <c:layout>
        <c:manualLayout>
          <c:xMode val="edge"/>
          <c:yMode val="edge"/>
          <c:x val="0.43393930627820992"/>
          <c:y val="9.259259259259258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79396325459317"/>
          <c:y val="3.8623542310375757E-2"/>
          <c:w val="0.82023950131233592"/>
          <c:h val="0.7170517292933320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Tabelle1!$Y$7</c:f>
              <c:strCache>
                <c:ptCount val="1"/>
                <c:pt idx="0">
                  <c:v>decreases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multiLvlStrRef>
              <c:f>Tabelle1!$V$8:$W$13</c:f>
              <c:multiLvlStrCache>
                <c:ptCount val="6"/>
                <c:lvl>
                  <c:pt idx="0">
                    <c:v>0.5 mg/m³</c:v>
                  </c:pt>
                  <c:pt idx="1">
                    <c:v>2 mg/m³</c:v>
                  </c:pt>
                  <c:pt idx="2">
                    <c:v>5 mg/m³</c:v>
                  </c:pt>
                  <c:pt idx="3">
                    <c:v>0.5 mg/m³</c:v>
                  </c:pt>
                  <c:pt idx="4">
                    <c:v>2 mg/m³</c:v>
                  </c:pt>
                  <c:pt idx="5">
                    <c:v>5 mg/m³</c:v>
                  </c:pt>
                </c:lvl>
                <c:lvl>
                  <c:pt idx="0">
                    <c:v>E</c:v>
                  </c:pt>
                  <c:pt idx="1">
                    <c:v>E</c:v>
                  </c:pt>
                  <c:pt idx="2">
                    <c:v>E</c:v>
                  </c:pt>
                  <c:pt idx="3">
                    <c:v>R</c:v>
                  </c:pt>
                  <c:pt idx="4">
                    <c:v>R</c:v>
                  </c:pt>
                  <c:pt idx="5">
                    <c:v>R</c:v>
                  </c:pt>
                </c:lvl>
              </c:multiLvlStrCache>
            </c:multiLvlStrRef>
          </c:cat>
          <c:val>
            <c:numRef>
              <c:f>Tabelle1!$Y$8:$Y$13</c:f>
              <c:numCache>
                <c:formatCode>General</c:formatCode>
                <c:ptCount val="6"/>
                <c:pt idx="0">
                  <c:v>13</c:v>
                </c:pt>
                <c:pt idx="1">
                  <c:v>0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B5-B240-A5DD-BE971B71BB76}"/>
            </c:ext>
          </c:extLst>
        </c:ser>
        <c:ser>
          <c:idx val="1"/>
          <c:order val="1"/>
          <c:tx>
            <c:strRef>
              <c:f>Tabelle1!$X$7</c:f>
              <c:strCache>
                <c:ptCount val="1"/>
                <c:pt idx="0">
                  <c:v>increases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multiLvlStrRef>
              <c:f>Tabelle1!$V$8:$W$13</c:f>
              <c:multiLvlStrCache>
                <c:ptCount val="6"/>
                <c:lvl>
                  <c:pt idx="0">
                    <c:v>0.5 mg/m³</c:v>
                  </c:pt>
                  <c:pt idx="1">
                    <c:v>2 mg/m³</c:v>
                  </c:pt>
                  <c:pt idx="2">
                    <c:v>5 mg/m³</c:v>
                  </c:pt>
                  <c:pt idx="3">
                    <c:v>0.5 mg/m³</c:v>
                  </c:pt>
                  <c:pt idx="4">
                    <c:v>2 mg/m³</c:v>
                  </c:pt>
                  <c:pt idx="5">
                    <c:v>5 mg/m³</c:v>
                  </c:pt>
                </c:lvl>
                <c:lvl>
                  <c:pt idx="0">
                    <c:v>E</c:v>
                  </c:pt>
                  <c:pt idx="1">
                    <c:v>E</c:v>
                  </c:pt>
                  <c:pt idx="2">
                    <c:v>E</c:v>
                  </c:pt>
                  <c:pt idx="3">
                    <c:v>R</c:v>
                  </c:pt>
                  <c:pt idx="4">
                    <c:v>R</c:v>
                  </c:pt>
                  <c:pt idx="5">
                    <c:v>R</c:v>
                  </c:pt>
                </c:lvl>
              </c:multiLvlStrCache>
            </c:multiLvlStrRef>
          </c:cat>
          <c:val>
            <c:numRef>
              <c:f>Tabelle1!$X$8:$X$13</c:f>
              <c:numCache>
                <c:formatCode>General</c:formatCode>
                <c:ptCount val="6"/>
                <c:pt idx="0">
                  <c:v>19</c:v>
                </c:pt>
                <c:pt idx="1">
                  <c:v>3</c:v>
                </c:pt>
                <c:pt idx="2">
                  <c:v>22</c:v>
                </c:pt>
                <c:pt idx="3">
                  <c:v>1</c:v>
                </c:pt>
                <c:pt idx="4">
                  <c:v>7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B5-B240-A5DD-BE971B71B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4103680"/>
        <c:axId val="484105216"/>
      </c:barChart>
      <c:catAx>
        <c:axId val="48410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de-DE"/>
          </a:p>
        </c:txPr>
        <c:crossAx val="484105216"/>
        <c:crosses val="autoZero"/>
        <c:auto val="1"/>
        <c:lblAlgn val="ctr"/>
        <c:lblOffset val="100"/>
        <c:noMultiLvlLbl val="0"/>
      </c:catAx>
      <c:valAx>
        <c:axId val="484105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number of significant changed metabolites (p&lt;0.05)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410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99732668866952"/>
          <c:y val="4.1387919864447335E-2"/>
          <c:w val="0.19181629410063047"/>
          <c:h val="0.1666704873916077"/>
        </c:manualLayout>
      </c:layout>
      <c:overlay val="0"/>
      <c:txPr>
        <a:bodyPr/>
        <a:lstStyle/>
        <a:p>
          <a:pPr>
            <a:defRPr sz="1200"/>
          </a:pPr>
          <a:endParaRPr lang="de-DE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0.67265</cdr:x>
      <cdr:y>0.86647</cdr:y>
    </cdr:from>
    <cdr:to>
      <cdr:x>0.76344</cdr:x>
      <cdr:y>0.95282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3985567" y="2848438"/>
          <a:ext cx="537947" cy="2838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de-DE" sz="1100" b="1" dirty="0"/>
            <a:t>SiO2_7</a:t>
          </a:r>
        </a:p>
      </cdr:txBody>
    </cdr:sp>
  </cdr:relSizeAnchor>
  <cdr:relSizeAnchor xmlns:cdr="http://schemas.openxmlformats.org/drawingml/2006/chartDrawing">
    <cdr:from>
      <cdr:x>0.48785</cdr:x>
      <cdr:y>0.86286</cdr:y>
    </cdr:from>
    <cdr:to>
      <cdr:x>0.61175</cdr:x>
      <cdr:y>0.94816</cdr:y>
    </cdr:to>
    <cdr:sp macro="" textlink="">
      <cdr:nvSpPr>
        <cdr:cNvPr id="3" name="Textfeld 1"/>
        <cdr:cNvSpPr txBox="1"/>
      </cdr:nvSpPr>
      <cdr:spPr>
        <a:xfrm xmlns:a="http://schemas.openxmlformats.org/drawingml/2006/main">
          <a:off x="2890605" y="2836562"/>
          <a:ext cx="734130" cy="2804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 dirty="0"/>
            <a:t>SiO2_40</a:t>
          </a:r>
        </a:p>
      </cdr:txBody>
    </cdr:sp>
  </cdr:relSizeAnchor>
  <cdr:relSizeAnchor xmlns:cdr="http://schemas.openxmlformats.org/drawingml/2006/chartDrawing">
    <cdr:from>
      <cdr:x>0.0822</cdr:x>
      <cdr:y>0.85925</cdr:y>
    </cdr:from>
    <cdr:to>
      <cdr:x>0.29042</cdr:x>
      <cdr:y>0.90849</cdr:y>
    </cdr:to>
    <cdr:sp macro="" textlink="">
      <cdr:nvSpPr>
        <cdr:cNvPr id="4" name="Textfeld 1"/>
        <cdr:cNvSpPr txBox="1"/>
      </cdr:nvSpPr>
      <cdr:spPr>
        <a:xfrm xmlns:a="http://schemas.openxmlformats.org/drawingml/2006/main">
          <a:off x="487076" y="2824686"/>
          <a:ext cx="1233742" cy="161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 dirty="0"/>
            <a:t>SiO2_15_Unmod</a:t>
          </a:r>
        </a:p>
      </cdr:txBody>
    </cdr:sp>
  </cdr:relSizeAnchor>
  <cdr:relSizeAnchor xmlns:cdr="http://schemas.openxmlformats.org/drawingml/2006/chartDrawing">
    <cdr:from>
      <cdr:x>0.28163</cdr:x>
      <cdr:y>0.85925</cdr:y>
    </cdr:from>
    <cdr:to>
      <cdr:x>0.48985</cdr:x>
      <cdr:y>0.90849</cdr:y>
    </cdr:to>
    <cdr:sp macro="" textlink="">
      <cdr:nvSpPr>
        <cdr:cNvPr id="5" name="Textfeld 1"/>
        <cdr:cNvSpPr txBox="1"/>
      </cdr:nvSpPr>
      <cdr:spPr>
        <a:xfrm xmlns:a="http://schemas.openxmlformats.org/drawingml/2006/main">
          <a:off x="1668738" y="2824687"/>
          <a:ext cx="1233742" cy="161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 dirty="0"/>
            <a:t>SiO2_15_Amino</a:t>
          </a:r>
        </a:p>
      </cdr:txBody>
    </cdr:sp>
  </cdr:relSizeAnchor>
  <cdr:relSizeAnchor xmlns:cdr="http://schemas.openxmlformats.org/drawingml/2006/chartDrawing">
    <cdr:from>
      <cdr:x>0.79178</cdr:x>
      <cdr:y>0.86286</cdr:y>
    </cdr:from>
    <cdr:to>
      <cdr:x>1</cdr:x>
      <cdr:y>0.9121</cdr:y>
    </cdr:to>
    <cdr:sp macro="" textlink="">
      <cdr:nvSpPr>
        <cdr:cNvPr id="6" name="Textfeld 1"/>
        <cdr:cNvSpPr txBox="1"/>
      </cdr:nvSpPr>
      <cdr:spPr>
        <a:xfrm xmlns:a="http://schemas.openxmlformats.org/drawingml/2006/main">
          <a:off x="4691443" y="2836562"/>
          <a:ext cx="1233742" cy="161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 dirty="0"/>
            <a:t>TiO2_NM-105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0.25497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69000" cy="83820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0.64823</cdr:x>
      <cdr:y>0.84805</cdr:y>
    </cdr:from>
    <cdr:to>
      <cdr:x>0.73902</cdr:x>
      <cdr:y>0.89729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3734288" y="3140588"/>
          <a:ext cx="523015" cy="1823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de-DE" sz="1100" b="1"/>
            <a:t>SiO2_7</a:t>
          </a:r>
        </a:p>
      </cdr:txBody>
    </cdr:sp>
  </cdr:relSizeAnchor>
  <cdr:relSizeAnchor xmlns:cdr="http://schemas.openxmlformats.org/drawingml/2006/chartDrawing">
    <cdr:from>
      <cdr:x>0.46999</cdr:x>
      <cdr:y>0.85297</cdr:y>
    </cdr:from>
    <cdr:to>
      <cdr:x>0.56078</cdr:x>
      <cdr:y>0.90846</cdr:y>
    </cdr:to>
    <cdr:sp macro="" textlink="">
      <cdr:nvSpPr>
        <cdr:cNvPr id="3" name="Textfeld 1"/>
        <cdr:cNvSpPr txBox="1"/>
      </cdr:nvSpPr>
      <cdr:spPr>
        <a:xfrm xmlns:a="http://schemas.openxmlformats.org/drawingml/2006/main">
          <a:off x="2707489" y="3158836"/>
          <a:ext cx="523015" cy="2054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/>
            <a:t>SiO2_40</a:t>
          </a:r>
        </a:p>
      </cdr:txBody>
    </cdr:sp>
  </cdr:relSizeAnchor>
  <cdr:relSizeAnchor xmlns:cdr="http://schemas.openxmlformats.org/drawingml/2006/chartDrawing">
    <cdr:from>
      <cdr:x>0.0461</cdr:x>
      <cdr:y>0.85339</cdr:y>
    </cdr:from>
    <cdr:to>
      <cdr:x>0.25432</cdr:x>
      <cdr:y>0.90263</cdr:y>
    </cdr:to>
    <cdr:sp macro="" textlink="">
      <cdr:nvSpPr>
        <cdr:cNvPr id="4" name="Textfeld 1"/>
        <cdr:cNvSpPr txBox="1"/>
      </cdr:nvSpPr>
      <cdr:spPr>
        <a:xfrm xmlns:a="http://schemas.openxmlformats.org/drawingml/2006/main">
          <a:off x="265585" y="3160364"/>
          <a:ext cx="1199497" cy="1823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/>
            <a:t>SiO2_15_Unmod</a:t>
          </a:r>
        </a:p>
      </cdr:txBody>
    </cdr:sp>
  </cdr:relSizeAnchor>
  <cdr:relSizeAnchor xmlns:cdr="http://schemas.openxmlformats.org/drawingml/2006/chartDrawing">
    <cdr:from>
      <cdr:x>0.24412</cdr:x>
      <cdr:y>0.855</cdr:y>
    </cdr:from>
    <cdr:to>
      <cdr:x>0.45234</cdr:x>
      <cdr:y>0.90424</cdr:y>
    </cdr:to>
    <cdr:sp macro="" textlink="">
      <cdr:nvSpPr>
        <cdr:cNvPr id="5" name="Textfeld 1"/>
        <cdr:cNvSpPr txBox="1"/>
      </cdr:nvSpPr>
      <cdr:spPr>
        <a:xfrm xmlns:a="http://schemas.openxmlformats.org/drawingml/2006/main">
          <a:off x="1406299" y="3166351"/>
          <a:ext cx="1199497" cy="1823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/>
            <a:t>SiO2_15_Amino</a:t>
          </a:r>
        </a:p>
      </cdr:txBody>
    </cdr:sp>
  </cdr:relSizeAnchor>
  <cdr:relSizeAnchor xmlns:cdr="http://schemas.openxmlformats.org/drawingml/2006/chartDrawing">
    <cdr:from>
      <cdr:x>0.79178</cdr:x>
      <cdr:y>0.8517</cdr:y>
    </cdr:from>
    <cdr:to>
      <cdr:x>1</cdr:x>
      <cdr:y>0.90094</cdr:y>
    </cdr:to>
    <cdr:sp macro="" textlink="">
      <cdr:nvSpPr>
        <cdr:cNvPr id="6" name="Textfeld 1"/>
        <cdr:cNvSpPr txBox="1"/>
      </cdr:nvSpPr>
      <cdr:spPr>
        <a:xfrm xmlns:a="http://schemas.openxmlformats.org/drawingml/2006/main">
          <a:off x="4561223" y="3154130"/>
          <a:ext cx="1199497" cy="1823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100" b="1"/>
            <a:t>TiO2_NM-105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0.22634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69000" cy="8382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997D9-4101-498D-8833-504AABDE1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BE948C24.dotm</Template>
  <TotalTime>0</TotalTime>
  <Pages>20</Pages>
  <Words>1999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Bundesinstitut fuer Risikobewertung</Company>
  <LinksUpToDate>false</LinksUpToDate>
  <CharactersWithSpaces>14564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Frau PD Dr. Andrea Haase</dc:creator>
  <cp:lastModifiedBy>Frau PD Dr. Andrea Haase</cp:lastModifiedBy>
  <cp:revision>47</cp:revision>
  <cp:lastPrinted>2019-11-18T15:57:00Z</cp:lastPrinted>
  <dcterms:created xsi:type="dcterms:W3CDTF">2020-03-28T13:49:00Z</dcterms:created>
  <dcterms:modified xsi:type="dcterms:W3CDTF">2020-04-24T14:41:00Z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2ff87ce9-57c6-3ddd-bbeb-ce9891079938</vt:lpwstr>
  </property>
  <property fmtid="{D5CDD505-2E9C-101B-9397-08002B2CF9AE}" pid="24" name="Mendeley Citation Style_1">
    <vt:lpwstr>http://www.zotero.org/styles/harvard1</vt:lpwstr>
  </property>
</Properties>
</file>