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85C" w:rsidRPr="00702A12" w:rsidRDefault="00702A12" w:rsidP="00702A12">
      <w:pPr>
        <w:jc w:val="center"/>
        <w:rPr>
          <w:rFonts w:ascii="Times New Roman" w:hAnsi="Times New Roman" w:cs="Times New Roman"/>
          <w:b/>
        </w:rPr>
      </w:pPr>
      <w:r w:rsidRPr="00702A12">
        <w:rPr>
          <w:rFonts w:ascii="Times New Roman" w:hAnsi="Times New Roman" w:cs="Times New Roman"/>
          <w:b/>
          <w:sz w:val="32"/>
        </w:rPr>
        <w:t>The molecular mechanism behind protein kinase B natural mutant E17K affecting the allosteric inhibitor sensitivity: A molecular dynamics simulation study</w:t>
      </w:r>
    </w:p>
    <w:p w:rsidR="00702A12" w:rsidRDefault="00702A12"/>
    <w:p w:rsidR="00702A12" w:rsidRPr="005A0F73" w:rsidRDefault="00702A12" w:rsidP="00702A12">
      <w:pPr>
        <w:rPr>
          <w:rFonts w:ascii="Times New Roman" w:hAnsi="Times New Roman" w:cs="Times New Roman"/>
          <w:b/>
        </w:rPr>
      </w:pPr>
      <w:r w:rsidRPr="005A0F73">
        <w:rPr>
          <w:rFonts w:ascii="Times New Roman" w:hAnsi="Times New Roman" w:cs="Times New Roman"/>
          <w:b/>
          <w:bCs/>
        </w:rPr>
        <w:t xml:space="preserve">SUPPLEMENTARY DATA </w:t>
      </w:r>
    </w:p>
    <w:p w:rsidR="00702A12" w:rsidRDefault="00702A12"/>
    <w:p w:rsidR="00702A12" w:rsidRPr="00702A12" w:rsidRDefault="00702A12" w:rsidP="00A15890">
      <w:pPr>
        <w:spacing w:line="360" w:lineRule="auto"/>
        <w:rPr>
          <w:rFonts w:ascii="Times New Roman" w:hAnsi="Times New Roman" w:cs="Times New Roman"/>
          <w:b/>
        </w:rPr>
      </w:pPr>
      <w:r w:rsidRPr="00702A12">
        <w:rPr>
          <w:rFonts w:ascii="Times New Roman" w:hAnsi="Times New Roman" w:cs="Times New Roman"/>
          <w:b/>
          <w:bCs/>
        </w:rPr>
        <w:t xml:space="preserve">Tunnel analysis </w:t>
      </w:r>
    </w:p>
    <w:p w:rsidR="00702A12" w:rsidRDefault="00702A12" w:rsidP="00A15890">
      <w:pPr>
        <w:spacing w:line="360" w:lineRule="auto"/>
        <w:rPr>
          <w:rFonts w:ascii="Times New Roman" w:hAnsi="Times New Roman" w:cs="Times New Roman"/>
        </w:rPr>
      </w:pPr>
      <w:r w:rsidRPr="00702A12">
        <w:rPr>
          <w:rFonts w:ascii="Times New Roman" w:hAnsi="Times New Roman" w:cs="Times New Roman"/>
        </w:rPr>
        <w:t>The preset reaction coordinates of ASMD were determined with the aid of tunnel analysis. Tunnel analysis was carried out by using the CAVER 3.0 software package</w:t>
      </w:r>
      <w:r w:rsidR="00F72E3C">
        <w:rPr>
          <w:rFonts w:ascii="Times New Roman" w:hAnsi="Times New Roman" w:cs="Times New Roman"/>
        </w:rPr>
        <w:fldChar w:fldCharType="begin"/>
      </w:r>
      <w:r w:rsidR="00223111">
        <w:rPr>
          <w:rFonts w:ascii="Times New Roman" w:hAnsi="Times New Roman" w:cs="Times New Roman"/>
        </w:rPr>
        <w:instrText xml:space="preserve"> ADDIN EN.CITE &lt;EndNote&gt;&lt;Cite&gt;&lt;Author&gt;Chovancova&lt;/Author&gt;&lt;Year&gt;2012&lt;/Year&gt;&lt;RecNum&gt;19&lt;/RecNum&gt;&lt;DisplayText&gt;(Chovancova et al., 2012)&lt;/DisplayText&gt;&lt;record&gt;&lt;rec-number&gt;19&lt;/rec-number&gt;&lt;foreign-keys&gt;&lt;key app="EN" db-id="deaazavz2dd5trexss8ppvvq505ve99xwfe2" timestamp="1587347993"&gt;19&lt;/key&gt;&lt;/foreign-keys&gt;&lt;ref-type name="Journal Article"&gt;17&lt;/ref-type&gt;&lt;contributors&gt;&lt;authors&gt;&lt;author&gt;Chovancova, Eva&lt;/author&gt;&lt;author&gt;Pavelka, Antonin&lt;/author&gt;&lt;author&gt;Benes, Petr&lt;/author&gt;&lt;author&gt;Strnad, Ondrej&lt;/author&gt;&lt;author&gt;Brezovsky, Jan&lt;/author&gt;&lt;author&gt;Kozlikova, Barbora&lt;/author&gt;&lt;author&gt;Gora, Artur&lt;/author&gt;&lt;author&gt;Sustr, Vilem&lt;/author&gt;&lt;author&gt;Klvana, Martin&lt;/author&gt;&lt;author&gt;Medek, Petr&lt;/author&gt;&lt;/authors&gt;&lt;/contributors&gt;&lt;titles&gt;&lt;title&gt;CAVER 3.0: a tool for the analysis of transport pathways in dynamic protein structures&lt;/title&gt;&lt;secondary-title&gt;PLoS computational biology&lt;/secondary-title&gt;&lt;/titles&gt;&lt;periodical&gt;&lt;full-title&gt;PLoS computational biology&lt;/full-title&gt;&lt;/periodical&gt;&lt;volume&gt;8&lt;/volume&gt;&lt;number&gt;10&lt;/number&gt;&lt;dates&gt;&lt;year&gt;2012&lt;/year&gt;&lt;/dates&gt;&lt;urls&gt;&lt;/urls&gt;&lt;/record&gt;&lt;/Cite&gt;&lt;/EndNote&gt;</w:instrText>
      </w:r>
      <w:r w:rsidR="00F72E3C">
        <w:rPr>
          <w:rFonts w:ascii="Times New Roman" w:hAnsi="Times New Roman" w:cs="Times New Roman"/>
        </w:rPr>
        <w:fldChar w:fldCharType="separate"/>
      </w:r>
      <w:r w:rsidR="00223111">
        <w:rPr>
          <w:rFonts w:ascii="Times New Roman" w:hAnsi="Times New Roman" w:cs="Times New Roman"/>
          <w:noProof/>
        </w:rPr>
        <w:t>(Chovancova et al., 2012)</w:t>
      </w:r>
      <w:r w:rsidR="00F72E3C">
        <w:rPr>
          <w:rFonts w:ascii="Times New Roman" w:hAnsi="Times New Roman" w:cs="Times New Roman"/>
        </w:rPr>
        <w:fldChar w:fldCharType="end"/>
      </w:r>
      <w:r w:rsidRPr="00702A12">
        <w:rPr>
          <w:rFonts w:ascii="Times New Roman" w:hAnsi="Times New Roman" w:cs="Times New Roman"/>
        </w:rPr>
        <w:t xml:space="preserve">. CAVER is a software tool widely used for identification and visualization of tunnels and channels of a specified protein structure. Based on the trajectory generated by MD simulations, CAVER 3.0 was capable of finding the possible egress tunnels from the binding side to the surface of the enzyme, enabling automatic analysis of large ensembles of protein conformations. Several pathways with nearly identical axes may be classified into one cluster. The lowest cost pathway is selected and all the other pathways in the cluster are discarded. A trajectory of MD simulation serves as the input, while the detailed characteristics of individual transport pathways and their time evolution are the outputs. </w:t>
      </w:r>
      <w:r w:rsidR="00522F0C" w:rsidRPr="00522F0C">
        <w:rPr>
          <w:rFonts w:ascii="Times New Roman" w:hAnsi="Times New Roman" w:cs="Times New Roman"/>
        </w:rPr>
        <w:t>The mass centers of Gly311, Thr312 for IQO systems and Gly294, Leu295 for BAY systems were chosen as the starting point for tunnel searching.</w:t>
      </w:r>
      <w:r w:rsidR="00522F0C">
        <w:rPr>
          <w:rFonts w:ascii="Times New Roman" w:hAnsi="Times New Roman" w:cs="Times New Roman"/>
        </w:rPr>
        <w:t xml:space="preserve"> </w:t>
      </w:r>
      <w:r w:rsidRPr="00702A12">
        <w:rPr>
          <w:rFonts w:ascii="Times New Roman" w:hAnsi="Times New Roman" w:cs="Times New Roman"/>
        </w:rPr>
        <w:t>For each trajectory, 1000 snapshots were extracted from the last 100 ns simulation. The probe radius and the clustering threshold were set to 1.0 and 8.5, respectively. For the other parameters, their default values were taken throughout the calculations. The obtained tunnels were visualized with VMD</w:t>
      </w:r>
      <w:r w:rsidR="003218A3">
        <w:rPr>
          <w:rFonts w:ascii="Times New Roman" w:hAnsi="Times New Roman" w:cs="Times New Roman"/>
        </w:rPr>
        <w:fldChar w:fldCharType="begin"/>
      </w:r>
      <w:r w:rsidR="00223111">
        <w:rPr>
          <w:rFonts w:ascii="Times New Roman" w:hAnsi="Times New Roman" w:cs="Times New Roman"/>
        </w:rPr>
        <w:instrText xml:space="preserve"> ADDIN EN.CITE &lt;EndNote&gt;&lt;Cite&gt;&lt;Author&gt;Humphrey&lt;/Author&gt;&lt;Year&gt;1996&lt;/Year&gt;&lt;RecNum&gt;20&lt;/RecNum&gt;&lt;DisplayText&gt;(Humphrey, Dalke, &amp;amp; Schulten, 1996)&lt;/DisplayText&gt;&lt;record&gt;&lt;rec-number&gt;20&lt;/rec-number&gt;&lt;foreign-keys&gt;&lt;key app="EN" db-id="deaazavz2dd5trexss8ppvvq505ve99xwfe2" timestamp="1587348082"&gt;20&lt;/key&gt;&lt;/foreign-keys&gt;&lt;ref-type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dynamics&lt;/title&gt;&lt;secondary-title&gt;Journal of molecular graphics&lt;/secondary-title&gt;&lt;/titles&gt;&lt;periodical&gt;&lt;full-title&gt;Journal of molecular graphics&lt;/full-title&gt;&lt;/periodical&gt;&lt;pages&gt;33-38&lt;/pages&gt;&lt;volume&gt;14&lt;/volume&gt;&lt;number&gt;1&lt;/number&gt;&lt;dates&gt;&lt;year&gt;1996&lt;/year&gt;&lt;/dates&gt;&lt;isbn&gt;0263-7855&lt;/isbn&gt;&lt;urls&gt;&lt;/urls&gt;&lt;/record&gt;&lt;/Cite&gt;&lt;/EndNote&gt;</w:instrText>
      </w:r>
      <w:r w:rsidR="003218A3">
        <w:rPr>
          <w:rFonts w:ascii="Times New Roman" w:hAnsi="Times New Roman" w:cs="Times New Roman"/>
        </w:rPr>
        <w:fldChar w:fldCharType="separate"/>
      </w:r>
      <w:r w:rsidR="00223111">
        <w:rPr>
          <w:rFonts w:ascii="Times New Roman" w:hAnsi="Times New Roman" w:cs="Times New Roman"/>
          <w:noProof/>
        </w:rPr>
        <w:t>(Humphrey, Dalke, &amp; Schulten, 1996)</w:t>
      </w:r>
      <w:r w:rsidR="003218A3">
        <w:rPr>
          <w:rFonts w:ascii="Times New Roman" w:hAnsi="Times New Roman" w:cs="Times New Roman"/>
        </w:rPr>
        <w:fldChar w:fldCharType="end"/>
      </w:r>
      <w:r w:rsidRPr="00702A12">
        <w:rPr>
          <w:rFonts w:ascii="Times New Roman" w:hAnsi="Times New Roman" w:cs="Times New Roman"/>
        </w:rPr>
        <w:t xml:space="preserve"> (Figure </w:t>
      </w:r>
      <w:r>
        <w:rPr>
          <w:rFonts w:ascii="Times New Roman" w:hAnsi="Times New Roman" w:cs="Times New Roman"/>
        </w:rPr>
        <w:t>S1</w:t>
      </w:r>
      <w:r w:rsidRPr="00702A12">
        <w:rPr>
          <w:rFonts w:ascii="Times New Roman" w:hAnsi="Times New Roman" w:cs="Times New Roman"/>
        </w:rPr>
        <w:t>). The direction of the pathway was chosen as the pulling direction in the ASMD simulations.</w:t>
      </w:r>
    </w:p>
    <w:p w:rsidR="00702A12" w:rsidRDefault="00702A12">
      <w:pPr>
        <w:rPr>
          <w:rFonts w:ascii="Times New Roman" w:hAnsi="Times New Roman" w:cs="Times New Roman"/>
        </w:rPr>
      </w:pPr>
      <w:r>
        <w:rPr>
          <w:rFonts w:ascii="Times New Roman" w:hAnsi="Times New Roman" w:cs="Times New Roman" w:hint="eastAsia"/>
          <w:noProof/>
        </w:rPr>
        <w:lastRenderedPageBreak/>
        <w:drawing>
          <wp:inline distT="0" distB="0" distL="0" distR="0">
            <wp:extent cx="5270500" cy="3952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VER.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702A12" w:rsidRPr="00440068" w:rsidRDefault="00702A12" w:rsidP="00A15890">
      <w:pPr>
        <w:jc w:val="center"/>
        <w:rPr>
          <w:rFonts w:ascii="Times New Roman" w:hAnsi="Times New Roman" w:cs="Times New Roman"/>
          <w:b/>
        </w:rPr>
      </w:pPr>
      <w:r w:rsidRPr="00440068">
        <w:rPr>
          <w:rFonts w:ascii="Times New Roman" w:hAnsi="Times New Roman" w:cs="Times New Roman" w:hint="eastAsia"/>
          <w:b/>
        </w:rPr>
        <w:t>F</w:t>
      </w:r>
      <w:r w:rsidRPr="00440068">
        <w:rPr>
          <w:rFonts w:ascii="Times New Roman" w:hAnsi="Times New Roman" w:cs="Times New Roman"/>
          <w:b/>
        </w:rPr>
        <w:t>igure S1. The highest possible tunnels (colored in purple) for IQO and BAY egressing from Akt1. The direction of the pathway was chosen as the pulling direction in the ASMD simulations.</w:t>
      </w:r>
    </w:p>
    <w:p w:rsidR="00702A12" w:rsidRDefault="00702A12">
      <w:pPr>
        <w:widowControl/>
        <w:jc w:val="left"/>
        <w:rPr>
          <w:rFonts w:ascii="Times New Roman" w:hAnsi="Times New Roman" w:cs="Times New Roman"/>
        </w:rPr>
      </w:pPr>
      <w:r>
        <w:rPr>
          <w:rFonts w:ascii="Times New Roman" w:hAnsi="Times New Roman" w:cs="Times New Roman"/>
        </w:rPr>
        <w:br w:type="page"/>
      </w:r>
    </w:p>
    <w:p w:rsidR="00702A12" w:rsidRPr="00103762" w:rsidRDefault="00702A12">
      <w:pPr>
        <w:rPr>
          <w:rFonts w:ascii="Times New Roman" w:hAnsi="Times New Roman" w:cs="Times New Roman"/>
          <w:b/>
        </w:rPr>
      </w:pPr>
      <w:r w:rsidRPr="00103762">
        <w:rPr>
          <w:rFonts w:ascii="Times New Roman" w:hAnsi="Times New Roman" w:cs="Times New Roman" w:hint="eastAsia"/>
          <w:b/>
        </w:rPr>
        <w:lastRenderedPageBreak/>
        <w:t>T</w:t>
      </w:r>
      <w:r w:rsidRPr="00103762">
        <w:rPr>
          <w:rFonts w:ascii="Times New Roman" w:hAnsi="Times New Roman" w:cs="Times New Roman"/>
          <w:b/>
        </w:rPr>
        <w:t xml:space="preserve">able S1. </w:t>
      </w:r>
      <w:r w:rsidRPr="00103762">
        <w:rPr>
          <w:rFonts w:ascii="Times New Roman" w:hAnsi="Times New Roman" w:cs="Times New Roman"/>
          <w:b/>
          <w:color w:val="000000" w:themeColor="text1"/>
        </w:rPr>
        <w:t>The results of H++ online server calculations for the histidine residues in 3O96 crystal structure.</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702A12" w:rsidRPr="00754F4B" w:rsidTr="00D27E87">
        <w:tc>
          <w:tcPr>
            <w:tcW w:w="4148" w:type="dxa"/>
            <w:tcBorders>
              <w:bottom w:val="single" w:sz="4" w:space="0" w:color="auto"/>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Histidine</w:t>
            </w:r>
          </w:p>
        </w:tc>
        <w:tc>
          <w:tcPr>
            <w:tcW w:w="4148" w:type="dxa"/>
            <w:tcBorders>
              <w:bottom w:val="single" w:sz="4" w:space="0" w:color="auto"/>
            </w:tcBorders>
          </w:tcPr>
          <w:p w:rsidR="00702A12" w:rsidRPr="00754F4B" w:rsidRDefault="00702A12" w:rsidP="00D27E87">
            <w:pPr>
              <w:jc w:val="center"/>
              <w:rPr>
                <w:rFonts w:ascii="Times New Roman" w:hAnsi="Times New Roman" w:cs="Times New Roman"/>
                <w:sz w:val="20"/>
                <w:szCs w:val="20"/>
              </w:rPr>
            </w:pPr>
            <w:proofErr w:type="spellStart"/>
            <w:r w:rsidRPr="00754F4B">
              <w:rPr>
                <w:rFonts w:ascii="Times New Roman" w:hAnsi="Times New Roman" w:cs="Times New Roman"/>
                <w:sz w:val="20"/>
                <w:szCs w:val="20"/>
              </w:rPr>
              <w:t>PKa</w:t>
            </w:r>
            <w:proofErr w:type="spellEnd"/>
            <w:r w:rsidRPr="00754F4B">
              <w:rPr>
                <w:rFonts w:ascii="Times New Roman" w:hAnsi="Times New Roman" w:cs="Times New Roman"/>
                <w:sz w:val="20"/>
                <w:szCs w:val="20"/>
              </w:rPr>
              <w:t xml:space="preserve"> value</w:t>
            </w:r>
          </w:p>
        </w:tc>
      </w:tr>
      <w:tr w:rsidR="00702A12" w:rsidRPr="00754F4B" w:rsidTr="00D27E87">
        <w:tc>
          <w:tcPr>
            <w:tcW w:w="4148" w:type="dxa"/>
            <w:tcBorders>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13</w:t>
            </w:r>
          </w:p>
        </w:tc>
        <w:tc>
          <w:tcPr>
            <w:tcW w:w="4148" w:type="dxa"/>
            <w:tcBorders>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5.2</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89</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&lt;0.0</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143</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5.6</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194</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3.0</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207</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6.5</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220</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5.7</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238</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2.7</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265</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6.1</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287</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5.9</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354</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5.9</w:t>
            </w:r>
          </w:p>
        </w:tc>
      </w:tr>
      <w:tr w:rsidR="00702A12" w:rsidRPr="00754F4B" w:rsidTr="00D27E87">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405</w:t>
            </w:r>
          </w:p>
        </w:tc>
        <w:tc>
          <w:tcPr>
            <w:tcW w:w="4148" w:type="dxa"/>
            <w:tcBorders>
              <w:top w:val="nil"/>
              <w:bottom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2.2</w:t>
            </w:r>
          </w:p>
        </w:tc>
      </w:tr>
      <w:tr w:rsidR="00702A12" w:rsidRPr="00754F4B" w:rsidTr="00D27E87">
        <w:tc>
          <w:tcPr>
            <w:tcW w:w="4148" w:type="dxa"/>
            <w:tcBorders>
              <w:top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415</w:t>
            </w:r>
          </w:p>
        </w:tc>
        <w:tc>
          <w:tcPr>
            <w:tcW w:w="4148" w:type="dxa"/>
            <w:tcBorders>
              <w:top w:val="nil"/>
            </w:tcBorders>
          </w:tcPr>
          <w:p w:rsidR="00702A12" w:rsidRPr="00754F4B" w:rsidRDefault="00702A12" w:rsidP="00D27E87">
            <w:pPr>
              <w:jc w:val="center"/>
              <w:rPr>
                <w:rFonts w:ascii="Times New Roman" w:hAnsi="Times New Roman" w:cs="Times New Roman"/>
                <w:sz w:val="20"/>
                <w:szCs w:val="20"/>
              </w:rPr>
            </w:pPr>
            <w:r w:rsidRPr="00754F4B">
              <w:rPr>
                <w:rFonts w:ascii="Times New Roman" w:hAnsi="Times New Roman" w:cs="Times New Roman"/>
                <w:sz w:val="20"/>
                <w:szCs w:val="20"/>
              </w:rPr>
              <w:t>5.7</w:t>
            </w:r>
          </w:p>
        </w:tc>
      </w:tr>
    </w:tbl>
    <w:p w:rsidR="00702A12" w:rsidRDefault="00702A12">
      <w:pPr>
        <w:rPr>
          <w:rFonts w:ascii="Times New Roman" w:hAnsi="Times New Roman" w:cs="Times New Roman"/>
        </w:rPr>
      </w:pPr>
    </w:p>
    <w:p w:rsidR="00702A12" w:rsidRDefault="00702A12">
      <w:pPr>
        <w:widowControl/>
        <w:jc w:val="left"/>
        <w:rPr>
          <w:rFonts w:ascii="Times New Roman" w:hAnsi="Times New Roman" w:cs="Times New Roman"/>
        </w:rPr>
      </w:pPr>
      <w:r>
        <w:rPr>
          <w:rFonts w:ascii="Times New Roman" w:hAnsi="Times New Roman" w:cs="Times New Roman"/>
        </w:rPr>
        <w:br w:type="page"/>
      </w:r>
    </w:p>
    <w:p w:rsidR="00702A12" w:rsidRPr="00702A12" w:rsidRDefault="00702A12" w:rsidP="00A15890">
      <w:pPr>
        <w:spacing w:line="360" w:lineRule="auto"/>
        <w:rPr>
          <w:rFonts w:ascii="Times New Roman" w:hAnsi="Times New Roman" w:cs="Times New Roman"/>
          <w:b/>
        </w:rPr>
      </w:pPr>
      <w:r w:rsidRPr="00702A12">
        <w:rPr>
          <w:rFonts w:ascii="Times New Roman" w:hAnsi="Times New Roman" w:cs="Times New Roman" w:hint="eastAsia"/>
          <w:b/>
        </w:rPr>
        <w:lastRenderedPageBreak/>
        <w:t>B</w:t>
      </w:r>
      <w:r w:rsidRPr="00702A12">
        <w:rPr>
          <w:rFonts w:ascii="Times New Roman" w:hAnsi="Times New Roman" w:cs="Times New Roman"/>
          <w:b/>
        </w:rPr>
        <w:t>inding free energy calculations</w:t>
      </w:r>
    </w:p>
    <w:p w:rsidR="00702A12" w:rsidRDefault="00702A12" w:rsidP="00A15890">
      <w:pPr>
        <w:spacing w:line="360" w:lineRule="auto"/>
        <w:rPr>
          <w:rFonts w:ascii="Times New Roman" w:hAnsi="Times New Roman" w:cs="Times New Roman"/>
        </w:rPr>
      </w:pPr>
      <w:r w:rsidRPr="00702A12">
        <w:rPr>
          <w:rFonts w:ascii="Times New Roman" w:hAnsi="Times New Roman" w:cs="Times New Roman"/>
        </w:rPr>
        <w:t>Based on the last 200ns of each system, binding free energies were calculated by using MM-GBSA method. For each system, 160 frames were extracted from the last 200ns trajectory files. The binding free energies calculations for all the 160 frames for each system are all taken the entropy into consideration and the entropy was calculation by using Normal Mode Analysis (</w:t>
      </w:r>
      <w:proofErr w:type="spellStart"/>
      <w:r w:rsidRPr="00702A12">
        <w:rPr>
          <w:rFonts w:ascii="Times New Roman" w:hAnsi="Times New Roman" w:cs="Times New Roman"/>
        </w:rPr>
        <w:t>nmode</w:t>
      </w:r>
      <w:proofErr w:type="spellEnd"/>
      <w:r w:rsidRPr="00702A12">
        <w:rPr>
          <w:rFonts w:ascii="Times New Roman" w:hAnsi="Times New Roman" w:cs="Times New Roman"/>
        </w:rPr>
        <w:t xml:space="preserve">). The results are shown in Figure </w:t>
      </w:r>
      <w:r>
        <w:rPr>
          <w:rFonts w:ascii="Times New Roman" w:hAnsi="Times New Roman" w:cs="Times New Roman"/>
        </w:rPr>
        <w:t>S2</w:t>
      </w:r>
      <w:r w:rsidRPr="00702A12">
        <w:rPr>
          <w:rFonts w:ascii="Times New Roman" w:hAnsi="Times New Roman" w:cs="Times New Roman"/>
        </w:rPr>
        <w:t xml:space="preserve">. </w:t>
      </w:r>
      <w:r w:rsidRPr="00702A12">
        <w:rPr>
          <w:rFonts w:ascii="Times New Roman" w:hAnsi="Times New Roman" w:cs="Times New Roman" w:hint="eastAsia"/>
        </w:rPr>
        <w:t>A</w:t>
      </w:r>
      <w:r w:rsidRPr="00702A12">
        <w:rPr>
          <w:rFonts w:ascii="Times New Roman" w:hAnsi="Times New Roman" w:cs="Times New Roman"/>
        </w:rPr>
        <w:t xml:space="preserve">s shown in Figure </w:t>
      </w:r>
      <w:r>
        <w:rPr>
          <w:rFonts w:ascii="Times New Roman" w:hAnsi="Times New Roman" w:cs="Times New Roman"/>
        </w:rPr>
        <w:t>S2</w:t>
      </w:r>
      <w:r w:rsidRPr="00702A12">
        <w:rPr>
          <w:rFonts w:ascii="Times New Roman" w:hAnsi="Times New Roman" w:cs="Times New Roman"/>
        </w:rPr>
        <w:t>, the binding free energies for both wild type and E17K mutant systems did not fluctuate much in the last 200ns simulation time, which implied the simulated systems were in the equilibrium state.</w:t>
      </w:r>
    </w:p>
    <w:p w:rsidR="00702A12" w:rsidRDefault="00702A12">
      <w:pPr>
        <w:rPr>
          <w:rFonts w:ascii="Times New Roman" w:hAnsi="Times New Roman" w:cs="Times New Roman"/>
        </w:rPr>
      </w:pPr>
      <w:r>
        <w:rPr>
          <w:rFonts w:ascii="Times New Roman" w:hAnsi="Times New Roman" w:cs="Times New Roman" w:hint="eastAsia"/>
          <w:noProof/>
        </w:rPr>
        <w:drawing>
          <wp:inline distT="0" distB="0" distL="0" distR="0">
            <wp:extent cx="5270500" cy="4944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action-time-.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0500" cy="4944110"/>
                    </a:xfrm>
                    <a:prstGeom prst="rect">
                      <a:avLst/>
                    </a:prstGeom>
                  </pic:spPr>
                </pic:pic>
              </a:graphicData>
            </a:graphic>
          </wp:inline>
        </w:drawing>
      </w:r>
    </w:p>
    <w:p w:rsidR="00702A12" w:rsidRPr="00103762" w:rsidRDefault="00702A12" w:rsidP="00A15890">
      <w:pPr>
        <w:jc w:val="center"/>
        <w:rPr>
          <w:rFonts w:ascii="Times New Roman" w:hAnsi="Times New Roman" w:cs="Times New Roman"/>
          <w:b/>
          <w:bCs/>
        </w:rPr>
      </w:pPr>
      <w:r w:rsidRPr="00103762">
        <w:rPr>
          <w:rFonts w:ascii="Times New Roman" w:hAnsi="Times New Roman" w:cs="Times New Roman"/>
          <w:b/>
        </w:rPr>
        <w:t xml:space="preserve">Figure S2. </w:t>
      </w:r>
      <w:r w:rsidRPr="00103762">
        <w:rPr>
          <w:rFonts w:ascii="Times New Roman" w:hAnsi="Times New Roman" w:cs="Times New Roman"/>
          <w:b/>
          <w:bCs/>
        </w:rPr>
        <w:t>Binding free energies (with entropy included) variations during the last 200ns for</w:t>
      </w:r>
      <w:r w:rsidRPr="00103762">
        <w:rPr>
          <w:b/>
          <w:bCs/>
        </w:rPr>
        <w:t xml:space="preserve"> </w:t>
      </w:r>
      <w:r w:rsidRPr="00103762">
        <w:rPr>
          <w:rFonts w:ascii="Times New Roman" w:hAnsi="Times New Roman" w:cs="Times New Roman" w:hint="cs"/>
          <w:b/>
          <w:bCs/>
        </w:rPr>
        <w:t>I</w:t>
      </w:r>
      <w:r w:rsidRPr="00103762">
        <w:rPr>
          <w:rFonts w:ascii="Times New Roman" w:hAnsi="Times New Roman" w:cs="Times New Roman"/>
          <w:b/>
          <w:bCs/>
        </w:rPr>
        <w:t>QO and BAY systems.</w:t>
      </w:r>
    </w:p>
    <w:p w:rsidR="00702A12" w:rsidRDefault="00702A12">
      <w:pPr>
        <w:widowControl/>
        <w:jc w:val="left"/>
        <w:rPr>
          <w:rFonts w:ascii="Times New Roman" w:hAnsi="Times New Roman" w:cs="Times New Roman"/>
        </w:rPr>
      </w:pPr>
      <w:r>
        <w:rPr>
          <w:rFonts w:ascii="Times New Roman" w:hAnsi="Times New Roman" w:cs="Times New Roman"/>
        </w:rPr>
        <w:br w:type="page"/>
      </w:r>
    </w:p>
    <w:p w:rsidR="00702A12" w:rsidRDefault="00702A12">
      <w:pPr>
        <w:rPr>
          <w:rFonts w:ascii="Times New Roman" w:hAnsi="Times New Roman" w:cs="Times New Roman"/>
        </w:rPr>
      </w:pPr>
    </w:p>
    <w:p w:rsidR="00702A12" w:rsidRDefault="00702A12">
      <w:pPr>
        <w:rPr>
          <w:rFonts w:ascii="Times New Roman" w:hAnsi="Times New Roman" w:cs="Times New Roman"/>
        </w:rPr>
      </w:pPr>
      <w:r>
        <w:rPr>
          <w:rFonts w:ascii="Times New Roman" w:hAnsi="Times New Roman" w:cs="Times New Roman" w:hint="eastAsia"/>
          <w:noProof/>
        </w:rPr>
        <w:drawing>
          <wp:inline distT="0" distB="0" distL="0" distR="0">
            <wp:extent cx="5270500" cy="2481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MSF-cMD-ASMD-total.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2481580"/>
                    </a:xfrm>
                    <a:prstGeom prst="rect">
                      <a:avLst/>
                    </a:prstGeom>
                  </pic:spPr>
                </pic:pic>
              </a:graphicData>
            </a:graphic>
          </wp:inline>
        </w:drawing>
      </w:r>
    </w:p>
    <w:p w:rsidR="003218A3" w:rsidRDefault="00702A12" w:rsidP="00A15890">
      <w:pPr>
        <w:jc w:val="center"/>
        <w:rPr>
          <w:rFonts w:ascii="Times New Roman" w:hAnsi="Times New Roman" w:cs="Times New Roman"/>
          <w:b/>
        </w:rPr>
      </w:pPr>
      <w:r w:rsidRPr="00103762">
        <w:rPr>
          <w:rFonts w:ascii="Times New Roman" w:hAnsi="Times New Roman" w:cs="Times New Roman" w:hint="eastAsia"/>
          <w:b/>
        </w:rPr>
        <w:t>F</w:t>
      </w:r>
      <w:r w:rsidRPr="00103762">
        <w:rPr>
          <w:rFonts w:ascii="Times New Roman" w:hAnsi="Times New Roman" w:cs="Times New Roman"/>
          <w:b/>
        </w:rPr>
        <w:t xml:space="preserve">igure S3. The RMSF for the IQO and BAY systems. (A) and (B). The IQO system RMSF obtained by </w:t>
      </w:r>
      <w:proofErr w:type="spellStart"/>
      <w:r w:rsidRPr="00103762">
        <w:rPr>
          <w:rFonts w:ascii="Times New Roman" w:hAnsi="Times New Roman" w:cs="Times New Roman"/>
          <w:b/>
        </w:rPr>
        <w:t>cMD</w:t>
      </w:r>
      <w:proofErr w:type="spellEnd"/>
      <w:r w:rsidRPr="00103762">
        <w:rPr>
          <w:rFonts w:ascii="Times New Roman" w:hAnsi="Times New Roman" w:cs="Times New Roman"/>
          <w:b/>
        </w:rPr>
        <w:t xml:space="preserve"> and ASMD simulations. (C) and (D). The BAY system RMSF obtained by </w:t>
      </w:r>
      <w:proofErr w:type="spellStart"/>
      <w:r w:rsidRPr="00103762">
        <w:rPr>
          <w:rFonts w:ascii="Times New Roman" w:hAnsi="Times New Roman" w:cs="Times New Roman"/>
          <w:b/>
        </w:rPr>
        <w:t>cMD</w:t>
      </w:r>
      <w:proofErr w:type="spellEnd"/>
      <w:r w:rsidRPr="00103762">
        <w:rPr>
          <w:rFonts w:ascii="Times New Roman" w:hAnsi="Times New Roman" w:cs="Times New Roman"/>
          <w:b/>
        </w:rPr>
        <w:t xml:space="preserve"> and ASMD simulations. All the residues in ASMD simulations with higher RMSF values were labelled.</w:t>
      </w:r>
    </w:p>
    <w:p w:rsidR="003218A3" w:rsidRDefault="003218A3">
      <w:pPr>
        <w:widowControl/>
        <w:jc w:val="left"/>
        <w:rPr>
          <w:rFonts w:ascii="Times New Roman" w:hAnsi="Times New Roman" w:cs="Times New Roman"/>
          <w:b/>
        </w:rPr>
      </w:pPr>
      <w:r>
        <w:rPr>
          <w:rFonts w:ascii="Times New Roman" w:hAnsi="Times New Roman" w:cs="Times New Roman"/>
          <w:b/>
        </w:rPr>
        <w:br w:type="page"/>
      </w:r>
    </w:p>
    <w:p w:rsidR="003218A3" w:rsidRDefault="003218A3">
      <w:pPr>
        <w:rPr>
          <w:rFonts w:ascii="Times New Roman" w:hAnsi="Times New Roman" w:cs="Times New Roman"/>
          <w:b/>
        </w:rPr>
      </w:pPr>
      <w:r>
        <w:rPr>
          <w:rFonts w:ascii="Times New Roman" w:hAnsi="Times New Roman" w:cs="Times New Roman" w:hint="eastAsia"/>
          <w:b/>
        </w:rPr>
        <w:lastRenderedPageBreak/>
        <w:t>R</w:t>
      </w:r>
      <w:r>
        <w:rPr>
          <w:rFonts w:ascii="Times New Roman" w:hAnsi="Times New Roman" w:cs="Times New Roman"/>
          <w:b/>
        </w:rPr>
        <w:t>EFERENCES</w:t>
      </w:r>
    </w:p>
    <w:p w:rsidR="00223111" w:rsidRPr="008F542C" w:rsidRDefault="003218A3" w:rsidP="00223111">
      <w:pPr>
        <w:pStyle w:val="EndNoteBibliography"/>
        <w:ind w:left="720" w:hanging="720"/>
        <w:rPr>
          <w:rFonts w:ascii="Times New Roman" w:hAnsi="Times New Roman" w:cs="Times New Roman"/>
          <w:noProof/>
        </w:rPr>
      </w:pPr>
      <w:r w:rsidRPr="003218A3">
        <w:rPr>
          <w:rFonts w:ascii="Times New Roman" w:hAnsi="Times New Roman" w:cs="Times New Roman"/>
          <w:sz w:val="21"/>
          <w:szCs w:val="21"/>
        </w:rPr>
        <w:fldChar w:fldCharType="begin"/>
      </w:r>
      <w:r w:rsidRPr="003218A3">
        <w:rPr>
          <w:rFonts w:ascii="Times New Roman" w:hAnsi="Times New Roman" w:cs="Times New Roman"/>
          <w:sz w:val="21"/>
          <w:szCs w:val="21"/>
        </w:rPr>
        <w:instrText xml:space="preserve"> ADDIN EN.REFLIST </w:instrText>
      </w:r>
      <w:r w:rsidRPr="003218A3">
        <w:rPr>
          <w:rFonts w:ascii="Times New Roman" w:hAnsi="Times New Roman" w:cs="Times New Roman"/>
          <w:sz w:val="21"/>
          <w:szCs w:val="21"/>
        </w:rPr>
        <w:fldChar w:fldCharType="separate"/>
      </w:r>
      <w:r w:rsidR="00223111" w:rsidRPr="008F542C">
        <w:rPr>
          <w:rFonts w:ascii="Times New Roman" w:hAnsi="Times New Roman" w:cs="Times New Roman"/>
          <w:noProof/>
        </w:rPr>
        <w:t xml:space="preserve">Chovancova, E., Pavelka, A., Benes, P., Strnad, O., Brezovsky, J., Kozlikova, B., . . . Medek, P. (2012). CAVER 3.0: a tool for the analysis of transport pathways in dynamic protein structures. PLoS computational biology, 8(10). </w:t>
      </w:r>
    </w:p>
    <w:p w:rsidR="00223111" w:rsidRPr="008F542C" w:rsidRDefault="00223111" w:rsidP="00223111">
      <w:pPr>
        <w:pStyle w:val="EndNoteBibliography"/>
        <w:ind w:left="720" w:hanging="720"/>
        <w:rPr>
          <w:rFonts w:ascii="Times New Roman" w:hAnsi="Times New Roman" w:cs="Times New Roman"/>
          <w:noProof/>
        </w:rPr>
      </w:pPr>
      <w:r w:rsidRPr="008F542C">
        <w:rPr>
          <w:rFonts w:ascii="Times New Roman" w:hAnsi="Times New Roman" w:cs="Times New Roman"/>
          <w:noProof/>
        </w:rPr>
        <w:t xml:space="preserve">Humphrey, W., Dalke, A., &amp; Schulten, K. (1996). VMD: visual molecular dynamics. Journal of molecular graphics, 14(1), 33-38. </w:t>
      </w:r>
    </w:p>
    <w:p w:rsidR="00702A12" w:rsidRPr="003218A3" w:rsidRDefault="003218A3">
      <w:pPr>
        <w:rPr>
          <w:rFonts w:ascii="Times New Roman" w:hAnsi="Times New Roman" w:cs="Times New Roman"/>
          <w:szCs w:val="21"/>
        </w:rPr>
      </w:pPr>
      <w:r w:rsidRPr="003218A3">
        <w:rPr>
          <w:rFonts w:ascii="Times New Roman" w:hAnsi="Times New Roman" w:cs="Times New Roman"/>
          <w:szCs w:val="21"/>
        </w:rPr>
        <w:fldChar w:fldCharType="end"/>
      </w:r>
      <w:bookmarkStart w:id="0" w:name="_GoBack"/>
      <w:bookmarkEnd w:id="0"/>
    </w:p>
    <w:sectPr w:rsidR="00702A12" w:rsidRPr="003218A3" w:rsidSect="00D75DB7">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02A12"/>
    <w:rsid w:val="000058B7"/>
    <w:rsid w:val="00005EB7"/>
    <w:rsid w:val="00046AD5"/>
    <w:rsid w:val="000B417A"/>
    <w:rsid w:val="000B6134"/>
    <w:rsid w:val="000B63C6"/>
    <w:rsid w:val="00103762"/>
    <w:rsid w:val="0011345A"/>
    <w:rsid w:val="0017693C"/>
    <w:rsid w:val="001A1F5E"/>
    <w:rsid w:val="001A79A2"/>
    <w:rsid w:val="001C3F9E"/>
    <w:rsid w:val="001D7CF8"/>
    <w:rsid w:val="001E66C5"/>
    <w:rsid w:val="00212E81"/>
    <w:rsid w:val="00215359"/>
    <w:rsid w:val="00223111"/>
    <w:rsid w:val="00246BDD"/>
    <w:rsid w:val="002712B8"/>
    <w:rsid w:val="00282F76"/>
    <w:rsid w:val="002B6E48"/>
    <w:rsid w:val="002C0DBD"/>
    <w:rsid w:val="002C2331"/>
    <w:rsid w:val="002C6357"/>
    <w:rsid w:val="002E551B"/>
    <w:rsid w:val="002F5595"/>
    <w:rsid w:val="003218A3"/>
    <w:rsid w:val="00360611"/>
    <w:rsid w:val="003832F5"/>
    <w:rsid w:val="0038365E"/>
    <w:rsid w:val="0040605D"/>
    <w:rsid w:val="00440068"/>
    <w:rsid w:val="004602B0"/>
    <w:rsid w:val="004A173F"/>
    <w:rsid w:val="004A1C71"/>
    <w:rsid w:val="004B0DEF"/>
    <w:rsid w:val="004C232E"/>
    <w:rsid w:val="004C5F47"/>
    <w:rsid w:val="005208FA"/>
    <w:rsid w:val="00522F0C"/>
    <w:rsid w:val="00537C2F"/>
    <w:rsid w:val="00543DC6"/>
    <w:rsid w:val="00563BE1"/>
    <w:rsid w:val="005672DC"/>
    <w:rsid w:val="00570860"/>
    <w:rsid w:val="005762FD"/>
    <w:rsid w:val="005875F7"/>
    <w:rsid w:val="00591F3A"/>
    <w:rsid w:val="00593E28"/>
    <w:rsid w:val="005A0F73"/>
    <w:rsid w:val="005A4CFE"/>
    <w:rsid w:val="005D2D0C"/>
    <w:rsid w:val="005F3F00"/>
    <w:rsid w:val="00684C06"/>
    <w:rsid w:val="006B3E94"/>
    <w:rsid w:val="006C00C8"/>
    <w:rsid w:val="006D789E"/>
    <w:rsid w:val="006E3812"/>
    <w:rsid w:val="00701069"/>
    <w:rsid w:val="00702A12"/>
    <w:rsid w:val="007263A0"/>
    <w:rsid w:val="00735CC3"/>
    <w:rsid w:val="00741853"/>
    <w:rsid w:val="007617AD"/>
    <w:rsid w:val="00796EFB"/>
    <w:rsid w:val="007B4ACC"/>
    <w:rsid w:val="007D1A0A"/>
    <w:rsid w:val="007D6B88"/>
    <w:rsid w:val="0081025A"/>
    <w:rsid w:val="008107C5"/>
    <w:rsid w:val="00882856"/>
    <w:rsid w:val="008B04FF"/>
    <w:rsid w:val="008F542C"/>
    <w:rsid w:val="00905E5E"/>
    <w:rsid w:val="00921E2D"/>
    <w:rsid w:val="00953D10"/>
    <w:rsid w:val="00956415"/>
    <w:rsid w:val="0097185C"/>
    <w:rsid w:val="0098442A"/>
    <w:rsid w:val="009E4BD4"/>
    <w:rsid w:val="009F2C63"/>
    <w:rsid w:val="009F70EC"/>
    <w:rsid w:val="00A0249C"/>
    <w:rsid w:val="00A15890"/>
    <w:rsid w:val="00A43D1F"/>
    <w:rsid w:val="00A64593"/>
    <w:rsid w:val="00AE4FF4"/>
    <w:rsid w:val="00AF0069"/>
    <w:rsid w:val="00AF79FD"/>
    <w:rsid w:val="00B3254D"/>
    <w:rsid w:val="00B36F79"/>
    <w:rsid w:val="00B61111"/>
    <w:rsid w:val="00B67E23"/>
    <w:rsid w:val="00BC2F07"/>
    <w:rsid w:val="00BF7F4B"/>
    <w:rsid w:val="00C0239D"/>
    <w:rsid w:val="00C46B2A"/>
    <w:rsid w:val="00C64FAA"/>
    <w:rsid w:val="00C71035"/>
    <w:rsid w:val="00C802C7"/>
    <w:rsid w:val="00CA0B70"/>
    <w:rsid w:val="00CA1ED2"/>
    <w:rsid w:val="00CA2F3D"/>
    <w:rsid w:val="00CA4CA6"/>
    <w:rsid w:val="00D0336C"/>
    <w:rsid w:val="00D10C87"/>
    <w:rsid w:val="00D16EC3"/>
    <w:rsid w:val="00D334E1"/>
    <w:rsid w:val="00D75DB7"/>
    <w:rsid w:val="00D85366"/>
    <w:rsid w:val="00DA195E"/>
    <w:rsid w:val="00DA7B38"/>
    <w:rsid w:val="00DB0EC1"/>
    <w:rsid w:val="00DC5622"/>
    <w:rsid w:val="00DD3692"/>
    <w:rsid w:val="00E62F7C"/>
    <w:rsid w:val="00EA2E16"/>
    <w:rsid w:val="00EB655E"/>
    <w:rsid w:val="00ED2850"/>
    <w:rsid w:val="00EE26F8"/>
    <w:rsid w:val="00F72E3C"/>
    <w:rsid w:val="00F81E39"/>
    <w:rsid w:val="00F9516C"/>
    <w:rsid w:val="00FA65CA"/>
    <w:rsid w:val="00FB02FC"/>
    <w:rsid w:val="00FB56F4"/>
    <w:rsid w:val="00FC2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D7434D42-31C4-BC48-8150-E8AAC321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02A1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02A12"/>
    <w:rPr>
      <w:b/>
      <w:bCs/>
      <w:kern w:val="44"/>
      <w:sz w:val="44"/>
      <w:szCs w:val="44"/>
    </w:rPr>
  </w:style>
  <w:style w:type="table" w:styleId="a3">
    <w:name w:val="Table Grid"/>
    <w:basedOn w:val="a1"/>
    <w:uiPriority w:val="39"/>
    <w:rsid w:val="00702A1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3218A3"/>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3218A3"/>
    <w:rPr>
      <w:rFonts w:ascii="DengXian" w:eastAsia="DengXian" w:hAnsi="DengXian"/>
      <w:sz w:val="20"/>
    </w:rPr>
  </w:style>
  <w:style w:type="paragraph" w:customStyle="1" w:styleId="EndNoteBibliography">
    <w:name w:val="EndNote Bibliography"/>
    <w:basedOn w:val="a"/>
    <w:link w:val="EndNoteBibliography0"/>
    <w:rsid w:val="003218A3"/>
    <w:rPr>
      <w:rFonts w:ascii="DengXian" w:eastAsia="DengXian" w:hAnsi="DengXian"/>
      <w:sz w:val="20"/>
    </w:rPr>
  </w:style>
  <w:style w:type="character" w:customStyle="1" w:styleId="EndNoteBibliography0">
    <w:name w:val="EndNote Bibliography 字符"/>
    <w:basedOn w:val="a0"/>
    <w:link w:val="EndNoteBibliography"/>
    <w:rsid w:val="003218A3"/>
    <w:rPr>
      <w:rFonts w:ascii="DengXian" w:eastAsia="DengXian" w:hAnsi="DengXi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4205">
      <w:bodyDiv w:val="1"/>
      <w:marLeft w:val="0"/>
      <w:marRight w:val="0"/>
      <w:marTop w:val="0"/>
      <w:marBottom w:val="0"/>
      <w:divBdr>
        <w:top w:val="none" w:sz="0" w:space="0" w:color="auto"/>
        <w:left w:val="none" w:sz="0" w:space="0" w:color="auto"/>
        <w:bottom w:val="none" w:sz="0" w:space="0" w:color="auto"/>
        <w:right w:val="none" w:sz="0" w:space="0" w:color="auto"/>
      </w:divBdr>
      <w:divsChild>
        <w:div w:id="1574780652">
          <w:marLeft w:val="0"/>
          <w:marRight w:val="0"/>
          <w:marTop w:val="0"/>
          <w:marBottom w:val="0"/>
          <w:divBdr>
            <w:top w:val="none" w:sz="0" w:space="0" w:color="auto"/>
            <w:left w:val="none" w:sz="0" w:space="0" w:color="auto"/>
            <w:bottom w:val="none" w:sz="0" w:space="0" w:color="auto"/>
            <w:right w:val="none" w:sz="0" w:space="0" w:color="auto"/>
          </w:divBdr>
          <w:divsChild>
            <w:div w:id="1643929152">
              <w:marLeft w:val="0"/>
              <w:marRight w:val="0"/>
              <w:marTop w:val="0"/>
              <w:marBottom w:val="0"/>
              <w:divBdr>
                <w:top w:val="none" w:sz="0" w:space="0" w:color="auto"/>
                <w:left w:val="none" w:sz="0" w:space="0" w:color="auto"/>
                <w:bottom w:val="none" w:sz="0" w:space="0" w:color="auto"/>
                <w:right w:val="none" w:sz="0" w:space="0" w:color="auto"/>
              </w:divBdr>
              <w:divsChild>
                <w:div w:id="7395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538">
      <w:bodyDiv w:val="1"/>
      <w:marLeft w:val="0"/>
      <w:marRight w:val="0"/>
      <w:marTop w:val="0"/>
      <w:marBottom w:val="0"/>
      <w:divBdr>
        <w:top w:val="none" w:sz="0" w:space="0" w:color="auto"/>
        <w:left w:val="none" w:sz="0" w:space="0" w:color="auto"/>
        <w:bottom w:val="none" w:sz="0" w:space="0" w:color="auto"/>
        <w:right w:val="none" w:sz="0" w:space="0" w:color="auto"/>
      </w:divBdr>
      <w:divsChild>
        <w:div w:id="1164737261">
          <w:marLeft w:val="0"/>
          <w:marRight w:val="0"/>
          <w:marTop w:val="0"/>
          <w:marBottom w:val="0"/>
          <w:divBdr>
            <w:top w:val="none" w:sz="0" w:space="0" w:color="auto"/>
            <w:left w:val="none" w:sz="0" w:space="0" w:color="auto"/>
            <w:bottom w:val="none" w:sz="0" w:space="0" w:color="auto"/>
            <w:right w:val="none" w:sz="0" w:space="0" w:color="auto"/>
          </w:divBdr>
          <w:divsChild>
            <w:div w:id="1557667300">
              <w:marLeft w:val="0"/>
              <w:marRight w:val="0"/>
              <w:marTop w:val="0"/>
              <w:marBottom w:val="0"/>
              <w:divBdr>
                <w:top w:val="none" w:sz="0" w:space="0" w:color="auto"/>
                <w:left w:val="none" w:sz="0" w:space="0" w:color="auto"/>
                <w:bottom w:val="none" w:sz="0" w:space="0" w:color="auto"/>
                <w:right w:val="none" w:sz="0" w:space="0" w:color="auto"/>
              </w:divBdr>
              <w:divsChild>
                <w:div w:id="17087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6847">
      <w:bodyDiv w:val="1"/>
      <w:marLeft w:val="0"/>
      <w:marRight w:val="0"/>
      <w:marTop w:val="0"/>
      <w:marBottom w:val="0"/>
      <w:divBdr>
        <w:top w:val="none" w:sz="0" w:space="0" w:color="auto"/>
        <w:left w:val="none" w:sz="0" w:space="0" w:color="auto"/>
        <w:bottom w:val="none" w:sz="0" w:space="0" w:color="auto"/>
        <w:right w:val="none" w:sz="0" w:space="0" w:color="auto"/>
      </w:divBdr>
      <w:divsChild>
        <w:div w:id="597761480">
          <w:marLeft w:val="0"/>
          <w:marRight w:val="0"/>
          <w:marTop w:val="0"/>
          <w:marBottom w:val="0"/>
          <w:divBdr>
            <w:top w:val="none" w:sz="0" w:space="0" w:color="auto"/>
            <w:left w:val="none" w:sz="0" w:space="0" w:color="auto"/>
            <w:bottom w:val="none" w:sz="0" w:space="0" w:color="auto"/>
            <w:right w:val="none" w:sz="0" w:space="0" w:color="auto"/>
          </w:divBdr>
          <w:divsChild>
            <w:div w:id="628628259">
              <w:marLeft w:val="0"/>
              <w:marRight w:val="0"/>
              <w:marTop w:val="0"/>
              <w:marBottom w:val="0"/>
              <w:divBdr>
                <w:top w:val="none" w:sz="0" w:space="0" w:color="auto"/>
                <w:left w:val="none" w:sz="0" w:space="0" w:color="auto"/>
                <w:bottom w:val="none" w:sz="0" w:space="0" w:color="auto"/>
                <w:right w:val="none" w:sz="0" w:space="0" w:color="auto"/>
              </w:divBdr>
              <w:divsChild>
                <w:div w:id="15508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63520">
      <w:bodyDiv w:val="1"/>
      <w:marLeft w:val="0"/>
      <w:marRight w:val="0"/>
      <w:marTop w:val="0"/>
      <w:marBottom w:val="0"/>
      <w:divBdr>
        <w:top w:val="none" w:sz="0" w:space="0" w:color="auto"/>
        <w:left w:val="none" w:sz="0" w:space="0" w:color="auto"/>
        <w:bottom w:val="none" w:sz="0" w:space="0" w:color="auto"/>
        <w:right w:val="none" w:sz="0" w:space="0" w:color="auto"/>
      </w:divBdr>
      <w:divsChild>
        <w:div w:id="413667438">
          <w:marLeft w:val="0"/>
          <w:marRight w:val="0"/>
          <w:marTop w:val="0"/>
          <w:marBottom w:val="0"/>
          <w:divBdr>
            <w:top w:val="none" w:sz="0" w:space="0" w:color="auto"/>
            <w:left w:val="none" w:sz="0" w:space="0" w:color="auto"/>
            <w:bottom w:val="none" w:sz="0" w:space="0" w:color="auto"/>
            <w:right w:val="none" w:sz="0" w:space="0" w:color="auto"/>
          </w:divBdr>
          <w:divsChild>
            <w:div w:id="1820998634">
              <w:marLeft w:val="0"/>
              <w:marRight w:val="0"/>
              <w:marTop w:val="0"/>
              <w:marBottom w:val="0"/>
              <w:divBdr>
                <w:top w:val="none" w:sz="0" w:space="0" w:color="auto"/>
                <w:left w:val="none" w:sz="0" w:space="0" w:color="auto"/>
                <w:bottom w:val="none" w:sz="0" w:space="0" w:color="auto"/>
                <w:right w:val="none" w:sz="0" w:space="0" w:color="auto"/>
              </w:divBdr>
              <w:divsChild>
                <w:div w:id="136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Relationship Id="rId4"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815</Words>
  <Characters>4652</Characters>
  <Application>Microsoft Office Word</Application>
  <DocSecurity>0</DocSecurity>
  <Lines>38</Lines>
  <Paragraphs>10</Paragraphs>
  <ScaleCrop>false</ScaleCrop>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2020-05-09T04:11:00Z</dcterms:created>
  <dcterms:modified xsi:type="dcterms:W3CDTF">2020-05-09T04:14:00Z</dcterms:modified>
</cp:coreProperties>
</file>