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AA" w:rsidRPr="005478AD" w:rsidRDefault="00D524AA" w:rsidP="00854C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1309E" w:rsidRDefault="005478AD" w:rsidP="00854C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Online </w:t>
      </w:r>
      <w:r w:rsidR="00D1309E" w:rsidRPr="005478AD">
        <w:rPr>
          <w:rFonts w:ascii="Times New Roman" w:hAnsi="Times New Roman" w:cs="Times New Roman"/>
          <w:b/>
          <w:bCs/>
          <w:sz w:val="28"/>
          <w:szCs w:val="28"/>
          <w:lang w:val="en-GB"/>
        </w:rPr>
        <w:t>Appendix</w:t>
      </w:r>
    </w:p>
    <w:p w:rsidR="005478AD" w:rsidRDefault="005478AD" w:rsidP="00854C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A703AD" w:rsidRDefault="00550456" w:rsidP="00A703AD">
      <w:pPr>
        <w:spacing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Supplementary </w:t>
      </w:r>
      <w:r w:rsidR="00A703AD">
        <w:rPr>
          <w:rFonts w:ascii="Times New Roman" w:hAnsi="Times New Roman" w:cs="Times New Roman"/>
          <w:bCs/>
          <w:lang w:val="en-GB"/>
        </w:rPr>
        <w:t>M</w:t>
      </w:r>
      <w:r>
        <w:rPr>
          <w:rFonts w:ascii="Times New Roman" w:hAnsi="Times New Roman" w:cs="Times New Roman"/>
          <w:bCs/>
          <w:lang w:val="en-GB"/>
        </w:rPr>
        <w:t>aterial for</w:t>
      </w:r>
    </w:p>
    <w:p w:rsidR="005478AD" w:rsidRPr="00A703AD" w:rsidRDefault="005478AD" w:rsidP="00A703AD">
      <w:pPr>
        <w:spacing w:line="360" w:lineRule="auto"/>
        <w:rPr>
          <w:rFonts w:ascii="Times New Roman" w:hAnsi="Times New Roman" w:cs="Times New Roman"/>
          <w:bCs/>
          <w:lang w:val="en-GB"/>
        </w:rPr>
      </w:pPr>
      <w:proofErr w:type="spellStart"/>
      <w:r>
        <w:rPr>
          <w:rFonts w:ascii="Times New Roman" w:hAnsi="Times New Roman" w:cs="Times New Roman"/>
          <w:bCs/>
          <w:lang w:val="en-GB"/>
        </w:rPr>
        <w:t>Corina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478AD">
        <w:rPr>
          <w:rFonts w:ascii="Times New Roman" w:hAnsi="Times New Roman" w:cs="Times New Roman"/>
          <w:bCs/>
          <w:lang w:val="en-GB"/>
        </w:rPr>
        <w:t>Lacatus</w:t>
      </w:r>
      <w:proofErr w:type="spellEnd"/>
      <w:r w:rsidRPr="005478AD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and Ulrich</w:t>
      </w:r>
      <w:r w:rsidRPr="005478A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478AD">
        <w:rPr>
          <w:rFonts w:ascii="Times New Roman" w:hAnsi="Times New Roman" w:cs="Times New Roman"/>
          <w:bCs/>
          <w:lang w:val="en-GB"/>
        </w:rPr>
        <w:t>Sedelmeier</w:t>
      </w:r>
      <w:proofErr w:type="spellEnd"/>
      <w:r>
        <w:rPr>
          <w:rFonts w:ascii="Times New Roman" w:hAnsi="Times New Roman" w:cs="Times New Roman"/>
          <w:bCs/>
          <w:lang w:val="en-GB"/>
        </w:rPr>
        <w:t>:</w:t>
      </w:r>
      <w:r w:rsidRPr="005478AD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‘</w:t>
      </w:r>
      <w:r w:rsidRPr="005478AD">
        <w:rPr>
          <w:rFonts w:ascii="Times New Roman" w:hAnsi="Times New Roman" w:cs="Times New Roman"/>
          <w:bCs/>
          <w:lang w:val="en-GB"/>
        </w:rPr>
        <w:t>Does monitoring without enforcement make a difference? The European Union and anti-corruption policies in Bulgaria and Romania after accession</w:t>
      </w:r>
      <w:r>
        <w:rPr>
          <w:rFonts w:ascii="Times New Roman" w:hAnsi="Times New Roman" w:cs="Times New Roman"/>
          <w:bCs/>
          <w:lang w:val="en-GB"/>
        </w:rPr>
        <w:t>’</w:t>
      </w:r>
    </w:p>
    <w:p w:rsidR="00D1309E" w:rsidRPr="005478AD" w:rsidRDefault="00D1309E">
      <w:pPr>
        <w:rPr>
          <w:rFonts w:ascii="Times New Roman" w:hAnsi="Times New Roman" w:cs="Times New Roman"/>
          <w:lang w:val="en-GB"/>
        </w:rPr>
      </w:pPr>
    </w:p>
    <w:p w:rsidR="00854CD9" w:rsidRPr="005478AD" w:rsidRDefault="00854CD9" w:rsidP="00216397">
      <w:pPr>
        <w:rPr>
          <w:rFonts w:ascii="Times New Roman" w:hAnsi="Times New Roman" w:cs="Times New Roman"/>
          <w:i/>
          <w:lang w:val="en-GB"/>
        </w:rPr>
      </w:pPr>
    </w:p>
    <w:p w:rsidR="00216397" w:rsidRPr="005478AD" w:rsidRDefault="000652ED" w:rsidP="0021639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78AD">
        <w:rPr>
          <w:rFonts w:ascii="Times New Roman" w:hAnsi="Times New Roman" w:cs="Times New Roman"/>
          <w:b/>
          <w:sz w:val="28"/>
          <w:szCs w:val="28"/>
          <w:lang w:val="en-GB"/>
        </w:rPr>
        <w:t xml:space="preserve">1. </w:t>
      </w:r>
      <w:r w:rsidR="00216397" w:rsidRPr="005478AD">
        <w:rPr>
          <w:rFonts w:ascii="Times New Roman" w:hAnsi="Times New Roman" w:cs="Times New Roman"/>
          <w:b/>
          <w:sz w:val="28"/>
          <w:szCs w:val="28"/>
          <w:lang w:val="en-GB"/>
        </w:rPr>
        <w:t xml:space="preserve">Methodological approach &amp; coding reliability </w:t>
      </w:r>
    </w:p>
    <w:p w:rsidR="00216397" w:rsidRPr="005478AD" w:rsidRDefault="00216397" w:rsidP="00216397">
      <w:pPr>
        <w:rPr>
          <w:rFonts w:ascii="Times New Roman" w:hAnsi="Times New Roman" w:cs="Times New Roman"/>
          <w:lang w:val="en-GB"/>
        </w:rPr>
      </w:pPr>
    </w:p>
    <w:p w:rsidR="00216397" w:rsidRPr="005478AD" w:rsidRDefault="00216397" w:rsidP="005478AD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5478AD">
        <w:rPr>
          <w:rFonts w:ascii="Times New Roman" w:hAnsi="Times New Roman" w:cs="Times New Roman"/>
          <w:lang w:val="en-GB"/>
        </w:rPr>
        <w:t xml:space="preserve">According to the principles of qualitative content analysis provided by methodological scholarship </w:t>
      </w:r>
      <w:r w:rsidR="00FF3D37" w:rsidRPr="005478AD">
        <w:rPr>
          <w:rFonts w:ascii="Times New Roman" w:hAnsi="Times New Roman" w:cs="Times New Roman"/>
          <w:lang w:val="en-GB"/>
        </w:rPr>
        <w:fldChar w:fldCharType="begin"/>
      </w:r>
      <w:r w:rsidRPr="005478AD">
        <w:rPr>
          <w:rFonts w:ascii="Times New Roman" w:hAnsi="Times New Roman" w:cs="Times New Roman"/>
          <w:lang w:val="en-GB"/>
        </w:rPr>
        <w:instrText xml:space="preserve"> ADDIN ZOTERO_ITEM CSL_CITATION {"citationID":"F58VUK6A","properties":{"formattedCitation":"(Mayring 2000)","plainCitation":"(Mayring 2000)","noteIndex":0},"citationItems":[{"id":77,"uris":["http://zotero.org/users/1248073/items/WIRQN2M9"],"uri":["http://zotero.org/users/1248073/items/WIRQN2M9"],"itemData":{"id":77,"type":"article-journal","title":"Qualitative Content Analysis","container-title":"Forum: Qualitative Social Research","volume":"1","issue":"2","URL":"http://www.qualitative-research.net/index.php/fqs/article/viewArticle/1089/2385","note":"00000","author":[{"family":"Mayring","given":"Philipp"}],"issued":{"date-parts":[["2000"]]}}}],"schema":"https://github.com/citation-style-language/schema/raw/master/csl-citation.json"} </w:instrText>
      </w:r>
      <w:r w:rsidR="00FF3D37" w:rsidRPr="005478AD">
        <w:rPr>
          <w:rFonts w:ascii="Times New Roman" w:hAnsi="Times New Roman" w:cs="Times New Roman"/>
          <w:lang w:val="en-GB"/>
        </w:rPr>
        <w:fldChar w:fldCharType="separate"/>
      </w:r>
      <w:r w:rsidRPr="005478AD">
        <w:rPr>
          <w:rFonts w:ascii="Times New Roman" w:hAnsi="Times New Roman" w:cs="Times New Roman"/>
          <w:lang w:val="en-GB"/>
        </w:rPr>
        <w:t>(Mayring 2000)</w:t>
      </w:r>
      <w:r w:rsidR="00FF3D37" w:rsidRPr="005478AD">
        <w:rPr>
          <w:rFonts w:ascii="Times New Roman" w:hAnsi="Times New Roman" w:cs="Times New Roman"/>
          <w:lang w:val="en-GB"/>
        </w:rPr>
        <w:fldChar w:fldCharType="end"/>
      </w:r>
      <w:r w:rsidRPr="005478AD">
        <w:rPr>
          <w:rFonts w:ascii="Times New Roman" w:hAnsi="Times New Roman" w:cs="Times New Roman"/>
          <w:lang w:val="en-GB"/>
        </w:rPr>
        <w:t>, systematic text analysis is based on the creation of categories of text that are initially identified and then revisited.</w:t>
      </w:r>
      <w:r w:rsidR="00C72C0B" w:rsidRPr="005478AD">
        <w:rPr>
          <w:rFonts w:ascii="Times New Roman" w:hAnsi="Times New Roman" w:cs="Times New Roman"/>
          <w:lang w:val="en-GB"/>
        </w:rPr>
        <w:t xml:space="preserve"> In this case, </w:t>
      </w:r>
      <w:r w:rsidR="007604D5" w:rsidRPr="005478AD">
        <w:rPr>
          <w:rFonts w:ascii="Times New Roman" w:hAnsi="Times New Roman" w:cs="Times New Roman"/>
          <w:lang w:val="en-GB"/>
        </w:rPr>
        <w:t xml:space="preserve">broader </w:t>
      </w:r>
      <w:r w:rsidR="00C72C0B" w:rsidRPr="005478AD">
        <w:rPr>
          <w:rFonts w:ascii="Times New Roman" w:hAnsi="Times New Roman" w:cs="Times New Roman"/>
          <w:lang w:val="en-GB"/>
        </w:rPr>
        <w:t>categories were</w:t>
      </w:r>
      <w:r w:rsidR="007604D5" w:rsidRPr="005478AD">
        <w:rPr>
          <w:rFonts w:ascii="Times New Roman" w:hAnsi="Times New Roman" w:cs="Times New Roman"/>
          <w:lang w:val="en-GB"/>
        </w:rPr>
        <w:t xml:space="preserve"> defined on the basis of assessment benchmarks included in the country reports, and demand/recommendation categories are</w:t>
      </w:r>
      <w:r w:rsidR="00C72C0B" w:rsidRPr="005478AD">
        <w:rPr>
          <w:rFonts w:ascii="Times New Roman" w:hAnsi="Times New Roman" w:cs="Times New Roman"/>
          <w:lang w:val="en-GB"/>
        </w:rPr>
        <w:t xml:space="preserve"> defined on the basis of demands/recommendations by the European Union for compliance, included in the CVM reports.</w:t>
      </w:r>
      <w:r w:rsidRPr="005478AD">
        <w:rPr>
          <w:rFonts w:ascii="Times New Roman" w:hAnsi="Times New Roman" w:cs="Times New Roman"/>
          <w:lang w:val="en-GB"/>
        </w:rPr>
        <w:t xml:space="preserve"> Data were coded according to the thematic category that was the most appropriate. Such categories consist of ‘idea clusters’ that share features and resist reductive essentialization </w:t>
      </w:r>
      <w:r w:rsidR="00FF3D37" w:rsidRPr="005478AD">
        <w:rPr>
          <w:rFonts w:ascii="Times New Roman" w:hAnsi="Times New Roman" w:cs="Times New Roman"/>
          <w:lang w:val="en-GB"/>
        </w:rPr>
        <w:fldChar w:fldCharType="begin"/>
      </w:r>
      <w:r w:rsidRPr="005478AD">
        <w:rPr>
          <w:rFonts w:ascii="Times New Roman" w:hAnsi="Times New Roman" w:cs="Times New Roman"/>
          <w:lang w:val="en-GB"/>
        </w:rPr>
        <w:instrText xml:space="preserve"> ADDIN ZOTERO_ITEM CSL_CITATION {"citationID":"zDmBsxZz","properties":{"formattedCitation":"(Spiro and Jehng 1990)","plainCitation":"(Spiro and Jehng 1990)","noteIndex":0},"citationItems":[{"id":78,"uris":["http://zotero.org/users/1248073/items/QGUUK4MP"],"uri":["http://zotero.org/users/1248073/items/QGUUK4MP"],"itemData":{"id":78,"type":"chapter","title":"Cognitive flexibility and hypertext: Theory and technology for the non-linear and multidimensional traversal of complex subject matter","container-title":"Cognition, Education, and Multimedia","publisher":"Erlbaum","publisher-place":"Hillsdale, NJ","event-place":"Hillsdale, NJ","note":"00000","author":[{"family":"Spiro","given":"R. J."},{"family":"Jehng","given":"J."}],"editor":[{"family":"Nix","given":"D."},{"family":"Spiro","given":"R. J."}],"issued":{"date-parts":[["1990"]]}}}],"schema":"https://github.com/citation-style-language/schema/raw/master/csl-citation.json"} </w:instrText>
      </w:r>
      <w:r w:rsidR="00FF3D37" w:rsidRPr="005478AD">
        <w:rPr>
          <w:rFonts w:ascii="Times New Roman" w:hAnsi="Times New Roman" w:cs="Times New Roman"/>
          <w:lang w:val="en-GB"/>
        </w:rPr>
        <w:fldChar w:fldCharType="separate"/>
      </w:r>
      <w:r w:rsidRPr="005478AD">
        <w:rPr>
          <w:rFonts w:ascii="Times New Roman" w:hAnsi="Times New Roman" w:cs="Times New Roman"/>
          <w:lang w:val="en-GB"/>
        </w:rPr>
        <w:t>(Spiro and Jehng 1990)</w:t>
      </w:r>
      <w:r w:rsidR="00FF3D37" w:rsidRPr="005478AD">
        <w:rPr>
          <w:rFonts w:ascii="Times New Roman" w:hAnsi="Times New Roman" w:cs="Times New Roman"/>
          <w:lang w:val="en-GB"/>
        </w:rPr>
        <w:fldChar w:fldCharType="end"/>
      </w:r>
      <w:r w:rsidRPr="005478AD">
        <w:rPr>
          <w:rFonts w:ascii="Times New Roman" w:hAnsi="Times New Roman" w:cs="Times New Roman"/>
          <w:lang w:val="en-GB"/>
        </w:rPr>
        <w:t xml:space="preserve">. </w:t>
      </w:r>
      <w:r w:rsidR="00C72C0B" w:rsidRPr="005478AD">
        <w:rPr>
          <w:rFonts w:ascii="Times New Roman" w:hAnsi="Times New Roman" w:cs="Times New Roman"/>
          <w:lang w:val="en-GB"/>
        </w:rPr>
        <w:t>At the second stage, coding made use of wholistic grading, ranking the degree of compliance with a certain demand/recommendation based on explicit mentions in the text of the country reports</w:t>
      </w:r>
      <w:r w:rsidR="00D73A4E" w:rsidRPr="005478AD">
        <w:rPr>
          <w:rFonts w:ascii="Times New Roman" w:hAnsi="Times New Roman" w:cs="Times New Roman"/>
          <w:lang w:val="en-GB"/>
        </w:rPr>
        <w:t xml:space="preserve">. Each statement was ranked as: </w:t>
      </w:r>
      <w:r w:rsidR="00B503C3" w:rsidRPr="005478AD">
        <w:rPr>
          <w:rFonts w:ascii="Times New Roman" w:hAnsi="Times New Roman" w:cs="Times New Roman"/>
          <w:lang w:val="en-GB"/>
        </w:rPr>
        <w:t>0=area of concern or no progress; 1=little/insufficient progress; 2=some progress; 3=very good/substantive progress or complete implementation.</w:t>
      </w:r>
      <w:r w:rsidR="00624999" w:rsidRPr="005478AD">
        <w:rPr>
          <w:rFonts w:ascii="Times New Roman" w:hAnsi="Times New Roman" w:cs="Times New Roman"/>
          <w:lang w:val="en-GB"/>
        </w:rPr>
        <w:t xml:space="preserve"> </w:t>
      </w:r>
      <w:r w:rsidRPr="005478AD">
        <w:rPr>
          <w:rFonts w:ascii="Times New Roman" w:hAnsi="Times New Roman" w:cs="Times New Roman"/>
          <w:lang w:val="en-GB"/>
        </w:rPr>
        <w:t xml:space="preserve">Coding was done manually followed the same set scheme for </w:t>
      </w:r>
      <w:r w:rsidR="00624999" w:rsidRPr="005478AD">
        <w:rPr>
          <w:rFonts w:ascii="Times New Roman" w:hAnsi="Times New Roman" w:cs="Times New Roman"/>
          <w:lang w:val="en-GB"/>
        </w:rPr>
        <w:t>all reports issued for both Bulgaria and Romania</w:t>
      </w:r>
      <w:r w:rsidRPr="005478AD">
        <w:rPr>
          <w:rFonts w:ascii="Times New Roman" w:hAnsi="Times New Roman" w:cs="Times New Roman"/>
          <w:lang w:val="en-GB"/>
        </w:rPr>
        <w:t xml:space="preserve">, </w:t>
      </w:r>
    </w:p>
    <w:p w:rsidR="00216397" w:rsidRDefault="00216397" w:rsidP="005478AD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5478AD">
        <w:rPr>
          <w:rFonts w:ascii="Times New Roman" w:hAnsi="Times New Roman" w:cs="Times New Roman"/>
          <w:lang w:val="en-GB"/>
        </w:rPr>
        <w:tab/>
        <w:t xml:space="preserve">To make sure that our coding was systematic, we carried out both inter-coder and intra-coder reliability tests. The inter-coder reliability test produced a coefficient of agreement of 0.80, which is in the high range of acceptable agreement </w:t>
      </w:r>
      <w:r w:rsidR="00FF3D37" w:rsidRPr="005478AD">
        <w:rPr>
          <w:rFonts w:ascii="Times New Roman" w:hAnsi="Times New Roman" w:cs="Times New Roman"/>
          <w:lang w:val="en-GB"/>
        </w:rPr>
        <w:fldChar w:fldCharType="begin"/>
      </w:r>
      <w:r w:rsidRPr="005478AD">
        <w:rPr>
          <w:rFonts w:ascii="Times New Roman" w:hAnsi="Times New Roman" w:cs="Times New Roman"/>
          <w:lang w:val="en-GB"/>
        </w:rPr>
        <w:instrText xml:space="preserve"> ADDIN ZOTERO_ITEM CSL_CITATION {"citationID":"tSzSGZk3","properties":{"formattedCitation":"(Krippendorff 2004)","plainCitation":"(Krippendorff 2004)","dontUpdate":true,"noteIndex":0},"citationItems":[{"id":1886,"uris":["http://zotero.org/users/1248073/items/B8IIDD9X"],"uri":["http://zotero.org/users/1248073/items/B8IIDD9X"],"itemData":{"id":1886,"type":"book","title":"Content analysis: an introduction to its methodology","publisher":"SAGE","publisher-place":"Thousand Oaks CA","edition":"3rd ed","source":"Library of Congress ISBN","event-place":"Thousand Oaks CA","call-number":"P93 .K74 2013","note":"19974","author":[{"family":"Krippendorff","given":"Klaus"}],"issued":{"date-parts":[["2004"]]}}}],"schema":"https://github.com/citation-style-language/schema/raw/master/csl-citation.json"} </w:instrText>
      </w:r>
      <w:r w:rsidR="00FF3D37" w:rsidRPr="005478AD">
        <w:rPr>
          <w:rFonts w:ascii="Times New Roman" w:hAnsi="Times New Roman" w:cs="Times New Roman"/>
          <w:lang w:val="en-GB"/>
        </w:rPr>
        <w:fldChar w:fldCharType="separate"/>
      </w:r>
      <w:r w:rsidRPr="005478AD">
        <w:rPr>
          <w:rFonts w:ascii="Times New Roman" w:hAnsi="Times New Roman" w:cs="Times New Roman"/>
          <w:lang w:val="en-GB"/>
        </w:rPr>
        <w:t>(Krippendorff 2004</w:t>
      </w:r>
      <w:r w:rsidR="00A21B46">
        <w:rPr>
          <w:rFonts w:ascii="Times New Roman" w:hAnsi="Times New Roman" w:cs="Times New Roman"/>
          <w:lang w:val="en-GB"/>
        </w:rPr>
        <w:t>:</w:t>
      </w:r>
      <w:r w:rsidRPr="005478AD">
        <w:rPr>
          <w:rFonts w:ascii="Times New Roman" w:hAnsi="Times New Roman" w:cs="Times New Roman"/>
          <w:lang w:val="en-GB"/>
        </w:rPr>
        <w:t xml:space="preserve"> 241)</w:t>
      </w:r>
      <w:r w:rsidR="00FF3D37" w:rsidRPr="005478AD">
        <w:rPr>
          <w:rFonts w:ascii="Times New Roman" w:hAnsi="Times New Roman" w:cs="Times New Roman"/>
          <w:lang w:val="en-GB"/>
        </w:rPr>
        <w:fldChar w:fldCharType="end"/>
      </w:r>
      <w:r w:rsidRPr="005478AD">
        <w:rPr>
          <w:rFonts w:ascii="Times New Roman" w:hAnsi="Times New Roman" w:cs="Times New Roman"/>
          <w:lang w:val="en-GB"/>
        </w:rPr>
        <w:t xml:space="preserve">. As an additional test of coding reliability, one of the coders performed coding of all codes for </w:t>
      </w:r>
      <w:r w:rsidR="000936E6" w:rsidRPr="005478AD">
        <w:rPr>
          <w:rFonts w:ascii="Times New Roman" w:hAnsi="Times New Roman" w:cs="Times New Roman"/>
          <w:lang w:val="en-GB"/>
        </w:rPr>
        <w:t>EU demands/recommendations</w:t>
      </w:r>
      <w:r w:rsidRPr="005478AD">
        <w:rPr>
          <w:rFonts w:ascii="Times New Roman" w:hAnsi="Times New Roman" w:cs="Times New Roman"/>
          <w:lang w:val="en-GB"/>
        </w:rPr>
        <w:t xml:space="preserve"> several months after the initial coding was completed. The intra-coder reliability test produced a coefficient of agreement of 0.85, which is also in the high range of acceptable agreement.</w:t>
      </w:r>
    </w:p>
    <w:p w:rsidR="00987A53" w:rsidRDefault="00987A53" w:rsidP="005478AD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A21B46" w:rsidRPr="00A21B46" w:rsidRDefault="00A21B46" w:rsidP="00A21B46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A21B46">
        <w:rPr>
          <w:rFonts w:ascii="Times New Roman" w:hAnsi="Times New Roman" w:cs="Times New Roman"/>
          <w:lang w:val="en-GB"/>
        </w:rPr>
        <w:t>Krippendorff</w:t>
      </w:r>
      <w:proofErr w:type="spellEnd"/>
      <w:r w:rsidRPr="00A21B46">
        <w:rPr>
          <w:rFonts w:ascii="Times New Roman" w:hAnsi="Times New Roman" w:cs="Times New Roman"/>
          <w:lang w:val="en-GB"/>
        </w:rPr>
        <w:t xml:space="preserve">, K. (2004) </w:t>
      </w:r>
      <w:r w:rsidRPr="00A21B46">
        <w:rPr>
          <w:rFonts w:ascii="Times New Roman" w:hAnsi="Times New Roman" w:cs="Times New Roman"/>
          <w:i/>
          <w:iCs/>
          <w:lang w:val="en-GB"/>
        </w:rPr>
        <w:t>Content analysis: an introduction to its methodology</w:t>
      </w:r>
      <w:r w:rsidRPr="00A21B46">
        <w:rPr>
          <w:rFonts w:ascii="Times New Roman" w:hAnsi="Times New Roman" w:cs="Times New Roman"/>
          <w:lang w:val="en-GB"/>
        </w:rPr>
        <w:t>, 3rd ed., Thousand Oaks CA: SAGE.</w:t>
      </w:r>
    </w:p>
    <w:p w:rsidR="00A21B46" w:rsidRPr="00A21B46" w:rsidRDefault="00A21B46" w:rsidP="00A21B46">
      <w:pPr>
        <w:spacing w:after="240" w:line="276" w:lineRule="auto"/>
        <w:ind w:left="720" w:right="-715" w:hanging="720"/>
        <w:rPr>
          <w:rFonts w:ascii="Times New Roman" w:hAnsi="Times New Roman" w:cs="Times New Roman"/>
          <w:lang w:val="en-GB"/>
        </w:rPr>
      </w:pPr>
      <w:proofErr w:type="spellStart"/>
      <w:r w:rsidRPr="00A21B46">
        <w:rPr>
          <w:rFonts w:ascii="Times New Roman" w:hAnsi="Times New Roman" w:cs="Times New Roman"/>
          <w:lang w:val="en-GB"/>
        </w:rPr>
        <w:t>Mayring</w:t>
      </w:r>
      <w:proofErr w:type="spellEnd"/>
      <w:r w:rsidRPr="00A21B46">
        <w:rPr>
          <w:rFonts w:ascii="Times New Roman" w:hAnsi="Times New Roman" w:cs="Times New Roman"/>
          <w:lang w:val="en-GB"/>
        </w:rPr>
        <w:t xml:space="preserve">, P. (2000) ‘Qualitative Content Analysis’, </w:t>
      </w:r>
      <w:r w:rsidRPr="00A21B46">
        <w:rPr>
          <w:rFonts w:ascii="Times New Roman" w:hAnsi="Times New Roman" w:cs="Times New Roman"/>
          <w:i/>
          <w:iCs/>
          <w:lang w:val="en-GB"/>
        </w:rPr>
        <w:t>Forum: Qualitative Social Research</w:t>
      </w:r>
      <w:r w:rsidRPr="00A21B46">
        <w:rPr>
          <w:rFonts w:ascii="Times New Roman" w:hAnsi="Times New Roman" w:cs="Times New Roman"/>
          <w:lang w:val="en-GB"/>
        </w:rPr>
        <w:t xml:space="preserve"> 1(2), available at http://www.qualitative-research.net/index.php/fqs/article/viewArticle/1089/2385.</w:t>
      </w:r>
    </w:p>
    <w:p w:rsidR="00A21B46" w:rsidRPr="00A21B46" w:rsidRDefault="00A21B46" w:rsidP="00A21B46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lang w:val="en-GB"/>
        </w:rPr>
      </w:pPr>
      <w:r w:rsidRPr="00A21B46">
        <w:rPr>
          <w:rFonts w:ascii="Times New Roman" w:hAnsi="Times New Roman" w:cs="Times New Roman"/>
          <w:lang w:val="en-GB"/>
        </w:rPr>
        <w:t xml:space="preserve">Spiro, R. J. and </w:t>
      </w:r>
      <w:proofErr w:type="spellStart"/>
      <w:r w:rsidRPr="00A21B46">
        <w:rPr>
          <w:rFonts w:ascii="Times New Roman" w:hAnsi="Times New Roman" w:cs="Times New Roman"/>
          <w:lang w:val="en-GB"/>
        </w:rPr>
        <w:t>Jehng</w:t>
      </w:r>
      <w:proofErr w:type="spellEnd"/>
      <w:r w:rsidRPr="00A21B46">
        <w:rPr>
          <w:rFonts w:ascii="Times New Roman" w:hAnsi="Times New Roman" w:cs="Times New Roman"/>
          <w:lang w:val="en-GB"/>
        </w:rPr>
        <w:t>, J. (1990) ‘Cognitive flexibility and hypertext: Theory and technology for the non-linear and multidimensional traversal of complex subject matter’, in D. Nix and R. J. Spiro (</w:t>
      </w:r>
      <w:proofErr w:type="spellStart"/>
      <w:r w:rsidRPr="00A21B46">
        <w:rPr>
          <w:rFonts w:ascii="Times New Roman" w:hAnsi="Times New Roman" w:cs="Times New Roman"/>
          <w:lang w:val="en-GB"/>
        </w:rPr>
        <w:t>eds</w:t>
      </w:r>
      <w:proofErr w:type="spellEnd"/>
      <w:r w:rsidRPr="00A21B46">
        <w:rPr>
          <w:rFonts w:ascii="Times New Roman" w:hAnsi="Times New Roman" w:cs="Times New Roman"/>
          <w:lang w:val="en-GB"/>
        </w:rPr>
        <w:t xml:space="preserve">) </w:t>
      </w:r>
      <w:r w:rsidRPr="00A21B46">
        <w:rPr>
          <w:rFonts w:ascii="Times New Roman" w:hAnsi="Times New Roman" w:cs="Times New Roman"/>
          <w:i/>
          <w:iCs/>
          <w:lang w:val="en-GB"/>
        </w:rPr>
        <w:t>Cognition, Education, and Multimedia</w:t>
      </w:r>
      <w:r w:rsidRPr="00A21B46">
        <w:rPr>
          <w:rFonts w:ascii="Times New Roman" w:hAnsi="Times New Roman" w:cs="Times New Roman"/>
          <w:lang w:val="en-GB"/>
        </w:rPr>
        <w:t>. Hillsdale, NJ: Erlbaum.</w:t>
      </w:r>
    </w:p>
    <w:p w:rsidR="00B13CF2" w:rsidRPr="00987A53" w:rsidRDefault="000652ED" w:rsidP="00B13CF2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2. </w:t>
      </w:r>
      <w:r w:rsidR="000C3128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Additional figures representing the </w:t>
      </w:r>
      <w:r w:rsidR="00353FDC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CVM report </w:t>
      </w:r>
      <w:r w:rsidR="000C3128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>assessment</w:t>
      </w:r>
      <w:r w:rsidR="00353FDC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0C3128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53FDC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for individual anti-corruption </w:t>
      </w:r>
      <w:r w:rsidR="000C3128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>benchmark</w:t>
      </w:r>
      <w:r w:rsidR="00353FDC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0C3128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53FDC" w:rsidRPr="00987A53">
        <w:rPr>
          <w:rFonts w:ascii="Times New Roman" w:hAnsi="Times New Roman" w:cs="Times New Roman"/>
          <w:b/>
          <w:bCs/>
          <w:sz w:val="28"/>
          <w:szCs w:val="28"/>
          <w:lang w:val="en-GB"/>
        </w:rPr>
        <w:t>(and separate scores for each bi-annual report)</w:t>
      </w:r>
    </w:p>
    <w:p w:rsidR="000C3128" w:rsidRDefault="000C3128" w:rsidP="00B13CF2">
      <w:pPr>
        <w:keepNext/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5478AD" w:rsidRPr="005478AD" w:rsidRDefault="005478AD" w:rsidP="00B13CF2">
      <w:pPr>
        <w:keepNext/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CE1DEC" w:rsidRPr="005478AD" w:rsidRDefault="00F74E7A" w:rsidP="005478AD">
      <w:pPr>
        <w:keepNext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 w:rsidRPr="005478AD">
        <w:rPr>
          <w:rFonts w:ascii="Times New Roman" w:hAnsi="Times New Roman" w:cs="Times New Roman"/>
          <w:b/>
          <w:bCs/>
          <w:iCs/>
          <w:sz w:val="22"/>
          <w:szCs w:val="22"/>
          <w:lang w:val="en-GB"/>
        </w:rPr>
        <w:t>Figure 1</w:t>
      </w:r>
      <w:r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>: Compliance with the CVM in Romania according to individual anti-corruption benchmarks</w:t>
      </w:r>
    </w:p>
    <w:p w:rsidR="00723A02" w:rsidRPr="005478AD" w:rsidRDefault="00723A02" w:rsidP="00216397">
      <w:pPr>
        <w:rPr>
          <w:noProof/>
          <w:lang w:val="en-GB"/>
        </w:rPr>
      </w:pPr>
    </w:p>
    <w:p w:rsidR="00F83712" w:rsidRPr="005478AD" w:rsidRDefault="00CE1DEC" w:rsidP="00216397">
      <w:pPr>
        <w:rPr>
          <w:rFonts w:ascii="Times New Roman" w:hAnsi="Times New Roman" w:cs="Times New Roman"/>
          <w:i/>
          <w:iCs/>
          <w:lang w:val="en-GB"/>
        </w:rPr>
      </w:pPr>
      <w:r w:rsidRPr="005478AD">
        <w:rPr>
          <w:noProof/>
          <w:lang w:val="en-NZ" w:eastAsia="en-NZ"/>
        </w:rPr>
        <w:drawing>
          <wp:inline distT="0" distB="0" distL="0" distR="0">
            <wp:extent cx="5703757" cy="3341797"/>
            <wp:effectExtent l="0" t="0" r="1143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C88746A-182A-3745-BF8F-009AA476D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FA0901" w:rsidRPr="005478AD" w:rsidRDefault="00FA0901" w:rsidP="00FA0901">
      <w:pPr>
        <w:keepNext/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 w:rsidRPr="005478AD">
        <w:rPr>
          <w:rFonts w:ascii="Times New Roman" w:hAnsi="Times New Roman" w:cs="Times New Roman"/>
          <w:b/>
          <w:bCs/>
          <w:iCs/>
          <w:sz w:val="22"/>
          <w:szCs w:val="22"/>
          <w:lang w:val="en-GB"/>
        </w:rPr>
        <w:t>Figure 2</w:t>
      </w:r>
      <w:r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: Compliance with the CVM in </w:t>
      </w:r>
      <w:r w:rsidR="00353FDC"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Bulgaria </w:t>
      </w:r>
      <w:r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according to </w:t>
      </w:r>
      <w:r w:rsidR="00353FDC"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>individual</w:t>
      </w:r>
      <w:r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anti-corruption benchmarks</w:t>
      </w: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274C0F" w:rsidRPr="005478AD" w:rsidRDefault="00CE1DEC" w:rsidP="00216397">
      <w:pPr>
        <w:rPr>
          <w:rFonts w:ascii="Times New Roman" w:hAnsi="Times New Roman" w:cs="Times New Roman"/>
          <w:i/>
          <w:iCs/>
          <w:lang w:val="en-GB"/>
        </w:rPr>
      </w:pPr>
      <w:r w:rsidRPr="005478AD">
        <w:rPr>
          <w:noProof/>
          <w:lang w:val="en-NZ" w:eastAsia="en-NZ"/>
        </w:rPr>
        <w:drawing>
          <wp:inline distT="0" distB="0" distL="0" distR="0">
            <wp:extent cx="5733738" cy="2757836"/>
            <wp:effectExtent l="0" t="0" r="6985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796BFB2-ECED-4C4C-9DC4-C46FD4E6BF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C0F" w:rsidRPr="005478AD" w:rsidRDefault="00274C0F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274C0F" w:rsidP="005478AD">
      <w:pPr>
        <w:keepNext/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 w:rsidRPr="005478AD">
        <w:rPr>
          <w:rFonts w:ascii="Times New Roman" w:hAnsi="Times New Roman" w:cs="Times New Roman"/>
          <w:b/>
          <w:bCs/>
          <w:iCs/>
          <w:sz w:val="22"/>
          <w:szCs w:val="22"/>
          <w:lang w:val="en-GB"/>
        </w:rPr>
        <w:lastRenderedPageBreak/>
        <w:t>Figure 3:</w:t>
      </w:r>
      <w:r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Compliance with the CVM in Romania (RO) and Bulgaria (BG) </w:t>
      </w:r>
      <w:r w:rsidR="00353FDC"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>(average of all</w:t>
      </w:r>
      <w:r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anti-corruption benchmarks</w:t>
      </w:r>
      <w:r w:rsidR="00353FDC" w:rsidRPr="005478AD">
        <w:rPr>
          <w:rFonts w:ascii="Times New Roman" w:hAnsi="Times New Roman" w:cs="Times New Roman"/>
          <w:bCs/>
          <w:iCs/>
          <w:sz w:val="22"/>
          <w:szCs w:val="22"/>
          <w:lang w:val="en-GB"/>
        </w:rPr>
        <w:t>)</w:t>
      </w: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274C0F" w:rsidP="00216397">
      <w:pPr>
        <w:rPr>
          <w:rFonts w:ascii="Times New Roman" w:hAnsi="Times New Roman" w:cs="Times New Roman"/>
          <w:i/>
          <w:iCs/>
          <w:lang w:val="en-GB"/>
        </w:rPr>
      </w:pPr>
      <w:r w:rsidRPr="005478AD">
        <w:rPr>
          <w:noProof/>
          <w:lang w:val="en-NZ" w:eastAsia="en-NZ"/>
        </w:rPr>
        <w:drawing>
          <wp:inline distT="0" distB="0" distL="0" distR="0">
            <wp:extent cx="5951095" cy="2743200"/>
            <wp:effectExtent l="0" t="0" r="18415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35D0F12-6630-CB48-90B5-5E69080843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EC6E50" w:rsidRPr="005478AD" w:rsidRDefault="00EC6E50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5906B6" w:rsidRPr="005478AD" w:rsidRDefault="005906B6" w:rsidP="00216397">
      <w:pPr>
        <w:rPr>
          <w:rFonts w:ascii="Times New Roman" w:hAnsi="Times New Roman" w:cs="Times New Roman"/>
          <w:i/>
          <w:iCs/>
          <w:lang w:val="en-GB"/>
        </w:rPr>
      </w:pPr>
    </w:p>
    <w:p w:rsidR="000F1447" w:rsidRDefault="000F1447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br w:type="page"/>
      </w:r>
    </w:p>
    <w:p w:rsidR="00363577" w:rsidRPr="00987A53" w:rsidRDefault="00EC6E50" w:rsidP="00216397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987A53">
        <w:rPr>
          <w:rFonts w:ascii="Times New Roman" w:hAnsi="Times New Roman" w:cs="Times New Roman"/>
          <w:b/>
          <w:iCs/>
          <w:sz w:val="28"/>
          <w:szCs w:val="28"/>
          <w:lang w:val="en-GB"/>
        </w:rPr>
        <w:lastRenderedPageBreak/>
        <w:t xml:space="preserve">3. </w:t>
      </w:r>
      <w:r w:rsidR="00C2692E" w:rsidRPr="00987A53">
        <w:rPr>
          <w:rFonts w:ascii="Times New Roman" w:hAnsi="Times New Roman" w:cs="Times New Roman"/>
          <w:b/>
          <w:iCs/>
          <w:sz w:val="28"/>
          <w:szCs w:val="28"/>
          <w:lang w:val="en-GB"/>
        </w:rPr>
        <w:t>Coding scheme</w:t>
      </w:r>
      <w:r w:rsidR="005478AD" w:rsidRPr="00987A53">
        <w:rPr>
          <w:rFonts w:ascii="Times New Roman" w:hAnsi="Times New Roman" w:cs="Times New Roman"/>
          <w:b/>
          <w:iCs/>
          <w:sz w:val="28"/>
          <w:szCs w:val="28"/>
          <w:lang w:val="en-GB"/>
        </w:rPr>
        <w:t>:</w:t>
      </w:r>
      <w:r w:rsidR="00160CBD" w:rsidRPr="00987A53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 m</w:t>
      </w:r>
      <w:r w:rsidR="00C30DFA" w:rsidRPr="00987A53">
        <w:rPr>
          <w:rFonts w:ascii="Times New Roman" w:hAnsi="Times New Roman" w:cs="Times New Roman"/>
          <w:b/>
          <w:iCs/>
          <w:sz w:val="28"/>
          <w:szCs w:val="28"/>
          <w:lang w:val="en-GB"/>
        </w:rPr>
        <w:t>ain categories per country</w:t>
      </w:r>
    </w:p>
    <w:p w:rsidR="004C2131" w:rsidRPr="005478AD" w:rsidRDefault="004C2131" w:rsidP="00216397">
      <w:pPr>
        <w:rPr>
          <w:rFonts w:ascii="Times New Roman" w:hAnsi="Times New Roman" w:cs="Times New Roman"/>
          <w:lang w:val="en-GB"/>
        </w:rPr>
      </w:pPr>
    </w:p>
    <w:p w:rsidR="00C42CC8" w:rsidRPr="005478AD" w:rsidRDefault="00C42CC8" w:rsidP="00216397">
      <w:pPr>
        <w:rPr>
          <w:rFonts w:ascii="Times New Roman" w:hAnsi="Times New Roman" w:cs="Times New Roman"/>
          <w:b/>
          <w:bCs/>
          <w:lang w:val="en-GB"/>
        </w:rPr>
      </w:pPr>
    </w:p>
    <w:p w:rsidR="00C42CC8" w:rsidRPr="005478AD" w:rsidRDefault="00AF3DCC" w:rsidP="00216397">
      <w:pPr>
        <w:rPr>
          <w:rFonts w:ascii="Times New Roman" w:hAnsi="Times New Roman" w:cs="Times New Roman"/>
          <w:b/>
          <w:bCs/>
          <w:lang w:val="en-GB"/>
        </w:rPr>
      </w:pPr>
      <w:r w:rsidRPr="005478AD">
        <w:rPr>
          <w:rFonts w:ascii="Times New Roman" w:hAnsi="Times New Roman" w:cs="Times New Roman"/>
          <w:b/>
          <w:bCs/>
          <w:lang w:val="en-GB"/>
        </w:rPr>
        <w:t>Bulgaria</w:t>
      </w:r>
    </w:p>
    <w:p w:rsidR="00A12F8D" w:rsidRPr="005478AD" w:rsidRDefault="00A12F8D" w:rsidP="00216397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PlainTable3"/>
        <w:tblW w:w="0" w:type="auto"/>
        <w:tblLook w:val="04A0"/>
      </w:tblPr>
      <w:tblGrid>
        <w:gridCol w:w="1990"/>
        <w:gridCol w:w="7076"/>
      </w:tblGrid>
      <w:tr w:rsidR="00A12F8D" w:rsidRPr="005478AD" w:rsidTr="00A12F8D">
        <w:trPr>
          <w:cnfStyle w:val="100000000000"/>
          <w:trHeight w:val="340"/>
        </w:trPr>
        <w:tc>
          <w:tcPr>
            <w:cnfStyle w:val="001000000100"/>
            <w:tcW w:w="1990" w:type="dxa"/>
            <w:noWrap/>
            <w:hideMark/>
          </w:tcPr>
          <w:p w:rsidR="00A12F8D" w:rsidRPr="005478AD" w:rsidRDefault="00A12F8D" w:rsidP="00987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Benchmark</w:t>
            </w:r>
          </w:p>
        </w:tc>
        <w:tc>
          <w:tcPr>
            <w:tcW w:w="7076" w:type="dxa"/>
            <w:hideMark/>
          </w:tcPr>
          <w:p w:rsidR="00A12F8D" w:rsidRPr="005478AD" w:rsidRDefault="00A12F8D" w:rsidP="00225312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Indicator</w:t>
            </w:r>
          </w:p>
        </w:tc>
      </w:tr>
      <w:tr w:rsidR="00A12F8D" w:rsidRPr="00225312" w:rsidTr="00A12F8D">
        <w:trPr>
          <w:cnfStyle w:val="000000100000"/>
          <w:trHeight w:val="839"/>
        </w:trPr>
        <w:tc>
          <w:tcPr>
            <w:cnfStyle w:val="001000000000"/>
            <w:tcW w:w="9066" w:type="dxa"/>
            <w:gridSpan w:val="2"/>
            <w:hideMark/>
          </w:tcPr>
          <w:p w:rsidR="00225312" w:rsidRDefault="00225312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  <w:p w:rsidR="00A12F8D" w:rsidRPr="00225312" w:rsidRDefault="00A12F8D">
            <w:pPr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  <w:t>4. Conduct and report on professional, non-partisan investigations into allegations of high-level corruption. Report on internal inspections of public institutions and on the publication of assets of high-level officials</w:t>
            </w:r>
          </w:p>
          <w:p w:rsidR="00A12F8D" w:rsidRPr="00225312" w:rsidRDefault="00A12F8D">
            <w:pPr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  <w:t> </w:t>
            </w:r>
          </w:p>
        </w:tc>
      </w:tr>
      <w:tr w:rsidR="00A12F8D" w:rsidRPr="005478AD" w:rsidTr="00225312">
        <w:trPr>
          <w:trHeight w:val="524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Adopt and implement a comprehensive strategy to fight corruption 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Streamline and coordinate the implementation of the plan to fight corruption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Streamline coordination and activity by "</w:t>
            </w:r>
            <w:r w:rsidR="005478AD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Anti-Corruption Council of Coordination"</w:t>
            </w:r>
          </w:p>
        </w:tc>
      </w:tr>
      <w:tr w:rsidR="00A12F8D" w:rsidRPr="005478AD" w:rsidTr="00A12F8D">
        <w:trPr>
          <w:cnfStyle w:val="000000100000"/>
          <w:trHeight w:val="34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Set up and implement measures to protect whistleblowers </w:t>
            </w:r>
          </w:p>
        </w:tc>
      </w:tr>
      <w:tr w:rsidR="00A12F8D" w:rsidRPr="005478AD" w:rsidTr="00225312">
        <w:trPr>
          <w:trHeight w:val="969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Set up and monitor the implementation of a legal and institutional framework to verify asset declarations of high public officials (Inspectorate dedicated to this NAO also has authority over verifications)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Ensure and speed up the </w:t>
            </w:r>
            <w:r w:rsidR="005478AD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syst</w:t>
            </w:r>
            <w:r w:rsid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5478AD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matic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rigorous judicial follow-up on allegations of high-level </w:t>
            </w:r>
          </w:p>
        </w:tc>
      </w:tr>
      <w:tr w:rsidR="00A12F8D" w:rsidRPr="005478AD" w:rsidTr="00A12F8D">
        <w:trPr>
          <w:trHeight w:val="34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effectiveness of pre-trial investigation 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support for anti-corruption programs involving expert assistance, </w:t>
            </w:r>
            <w:r w:rsidR="005478AD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assessment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guidance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the capacity, effectiveness and Independence of Inspectorates within State Administration 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capacity and </w:t>
            </w:r>
            <w:r w:rsidR="005478AD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strengthen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power of the regional anti-corruption councils (</w:t>
            </w:r>
            <w:r w:rsidR="005C3D17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prosecutors’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offices)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Establish and </w:t>
            </w:r>
            <w:r w:rsidR="005478AD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strengthen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capacity of State Agency of National Security (SANS)</w:t>
            </w:r>
          </w:p>
        </w:tc>
      </w:tr>
      <w:tr w:rsidR="00A12F8D" w:rsidRPr="005478AD" w:rsidTr="00A12F8D">
        <w:trPr>
          <w:cnfStyle w:val="000000100000"/>
          <w:trHeight w:val="102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Set up and increase transparency of checking mechanisms for asset </w:t>
            </w:r>
            <w:r w:rsidR="005C3D17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declaration (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Asset Forfeiture Commission, in 2018 the National Agency Anti-Corruption)</w:t>
            </w:r>
          </w:p>
        </w:tc>
      </w:tr>
      <w:tr w:rsidR="00A12F8D" w:rsidRPr="005478AD" w:rsidTr="00225312">
        <w:trPr>
          <w:trHeight w:val="532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Strengthen staffing capacity and activity of National Audit Office </w:t>
            </w:r>
          </w:p>
        </w:tc>
      </w:tr>
      <w:tr w:rsidR="00A12F8D" w:rsidRPr="005478AD" w:rsidTr="00A12F8D">
        <w:trPr>
          <w:cnfStyle w:val="000000100000"/>
          <w:trHeight w:val="102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the number of high-level corruption cases, the effectiveness of investigations, and speed up processing times 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Create and support legal and institutional framework to tackle cases conflict of interest (CPACI created in 2011)</w:t>
            </w:r>
          </w:p>
        </w:tc>
      </w:tr>
      <w:tr w:rsidR="00A12F8D" w:rsidRPr="005478AD" w:rsidTr="00A12F8D">
        <w:trPr>
          <w:cnfStyle w:val="000000100000"/>
          <w:trHeight w:val="102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Increase public transparency and availability of citizen information on- and offline regarding cases of conflict of interest and high-level corruption in general</w:t>
            </w:r>
          </w:p>
        </w:tc>
      </w:tr>
      <w:tr w:rsidR="00A12F8D" w:rsidRPr="005478AD" w:rsidTr="00225312">
        <w:trPr>
          <w:trHeight w:val="572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Ensure good management of EU funds/combat EU funds fraud </w:t>
            </w:r>
          </w:p>
        </w:tc>
      </w:tr>
      <w:tr w:rsidR="00A12F8D" w:rsidRPr="005478AD" w:rsidTr="00A12F8D">
        <w:trPr>
          <w:cnfStyle w:val="000000100000"/>
          <w:trHeight w:val="102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Establish and carry out prevention and (ex ante and ex-post) control measures at the administrative level, tackling public procurement irregularities </w:t>
            </w:r>
            <w:r w:rsidR="005C3D1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r w:rsidR="005C3D17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ncluding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through PPA)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Strengthen the capacity of the General Inspectorate to the Council of Ministers, investigating public administration 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Establish a network of specialised prosecutors, including with specialization in financial crimes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Specialised Court and Prosecution (established in 2012, but broad mandate, overloaded with cases, and not effective)</w:t>
            </w:r>
          </w:p>
        </w:tc>
      </w:tr>
      <w:tr w:rsidR="00A12F8D" w:rsidRPr="005478AD" w:rsidTr="00A12F8D">
        <w:trPr>
          <w:cnfStyle w:val="000000100000"/>
          <w:trHeight w:val="34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Adopt effective pro-active investigative strategies 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Ensure reporting of activities toward the two benchmarks and communication with int</w:t>
            </w:r>
            <w:r w:rsidR="005C3D1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ernational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enforcement bodies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Establish single national institution focused on high-level corruption</w:t>
            </w:r>
          </w:p>
        </w:tc>
      </w:tr>
      <w:tr w:rsidR="00A12F8D" w:rsidRPr="005478AD" w:rsidTr="00225312">
        <w:trPr>
          <w:trHeight w:val="680"/>
        </w:trPr>
        <w:tc>
          <w:tcPr>
            <w:cnfStyle w:val="001000000000"/>
            <w:tcW w:w="1990" w:type="dxa"/>
            <w:tcBorders>
              <w:bottom w:val="single" w:sz="4" w:space="0" w:color="7F7F7F" w:themeColor="text1" w:themeTint="80"/>
            </w:tcBorders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tcBorders>
              <w:bottom w:val="single" w:sz="4" w:space="0" w:color="7F7F7F" w:themeColor="text1" w:themeTint="80"/>
            </w:tcBorders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Increase cooperation amongst existing specialised (prosecution and investigatory) institutions</w:t>
            </w:r>
          </w:p>
        </w:tc>
      </w:tr>
      <w:tr w:rsidR="00A12F8D" w:rsidRPr="00225312" w:rsidTr="00225312">
        <w:trPr>
          <w:cnfStyle w:val="000000100000"/>
          <w:trHeight w:val="648"/>
        </w:trPr>
        <w:tc>
          <w:tcPr>
            <w:cnfStyle w:val="001000000000"/>
            <w:tcW w:w="9066" w:type="dxa"/>
            <w:gridSpan w:val="2"/>
            <w:tcBorders>
              <w:top w:val="single" w:sz="4" w:space="0" w:color="7F7F7F" w:themeColor="text1" w:themeTint="80"/>
            </w:tcBorders>
            <w:hideMark/>
          </w:tcPr>
          <w:p w:rsidR="00225312" w:rsidRDefault="00225312" w:rsidP="0022531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  <w:p w:rsidR="00A12F8D" w:rsidRDefault="00A12F8D" w:rsidP="0022531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  <w:t>5. Take further measures to prevent and fight corruption, in particular at the borders and within local government</w:t>
            </w:r>
          </w:p>
          <w:p w:rsidR="00225312" w:rsidRPr="00225312" w:rsidRDefault="00225312" w:rsidP="00225312">
            <w:pPr>
              <w:spacing w:line="276" w:lineRule="auto"/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</w:pPr>
          </w:p>
          <w:p w:rsidR="00A12F8D" w:rsidRPr="00225312" w:rsidRDefault="00A12F8D">
            <w:pPr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</w:pP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Set up and implement measures to control corruption at border stations </w:t>
            </w:r>
          </w:p>
        </w:tc>
      </w:tr>
      <w:tr w:rsidR="00A12F8D" w:rsidRPr="005478AD" w:rsidTr="00A12F8D">
        <w:trPr>
          <w:cnfStyle w:val="000000100000"/>
          <w:trHeight w:val="102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Raise awareness of and implement measures to monitor and combat conflict interest and corruption in the vulnerable fields of education and health </w:t>
            </w:r>
          </w:p>
        </w:tc>
      </w:tr>
      <w:tr w:rsidR="00A12F8D" w:rsidRPr="005478AD" w:rsidTr="00225312">
        <w:trPr>
          <w:trHeight w:val="785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Establish and support partnerships with civil society in combatting corruption in vulnerable sectors, such as health and education</w:t>
            </w:r>
          </w:p>
        </w:tc>
      </w:tr>
      <w:tr w:rsidR="00A12F8D" w:rsidRPr="005478AD" w:rsidTr="00A12F8D">
        <w:trPr>
          <w:cnfStyle w:val="000000100000"/>
          <w:trHeight w:val="34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Carry out the training of local and regional administration</w:t>
            </w:r>
          </w:p>
        </w:tc>
      </w:tr>
      <w:tr w:rsidR="00A12F8D" w:rsidRPr="005478AD" w:rsidTr="00225312">
        <w:trPr>
          <w:trHeight w:val="518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Carry out training/strengthen </w:t>
            </w:r>
            <w:r w:rsidR="00225312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capacity of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police and magistrates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Adopt and improve the Integrated Strategy for Prevention and Counteraction of Corruption and Organised Crime 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transparency in public administration of all levels (including through BORKOR)  </w:t>
            </w:r>
          </w:p>
        </w:tc>
      </w:tr>
      <w:tr w:rsidR="00A12F8D" w:rsidRPr="005478AD" w:rsidTr="00A12F8D">
        <w:trPr>
          <w:cnfStyle w:val="000000100000"/>
          <w:trHeight w:val="34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Ensure the prosecution of corruption cases at local level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Strengthen the institutional framework in capacity and scope for the investigations of inexplicable wealth cases </w:t>
            </w:r>
          </w:p>
        </w:tc>
      </w:tr>
      <w:tr w:rsidR="00A12F8D" w:rsidRPr="005478AD" w:rsidTr="00A12F8D">
        <w:trPr>
          <w:cnfStyle w:val="000000100000"/>
          <w:trHeight w:val="102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Set up systems of monitoring, evaluation of risk of corruption and disciplinary sanctions in public administration (Ministry of Interior is a successful model starting 2015)</w:t>
            </w:r>
          </w:p>
        </w:tc>
      </w:tr>
      <w:tr w:rsidR="00A12F8D" w:rsidRPr="005478AD" w:rsidTr="00A12F8D">
        <w:trPr>
          <w:trHeight w:val="102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Implement reforms of National Customs Agency (increase its effectiveness and support its collaboration with the National Revenue Agency)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Adopt and implement National strategy to combat low-level corruption 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transparency in service provision, with a focus on the regional and municipal levels </w:t>
            </w:r>
          </w:p>
        </w:tc>
      </w:tr>
      <w:tr w:rsidR="00A12F8D" w:rsidRPr="005478AD" w:rsidTr="00A12F8D">
        <w:trPr>
          <w:cnfStyle w:val="000000100000"/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Combat corruption </w:t>
            </w:r>
            <w:r w:rsidR="00225312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occurring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at duty-free shops and petrol stations</w:t>
            </w:r>
          </w:p>
        </w:tc>
      </w:tr>
      <w:tr w:rsidR="00A12F8D" w:rsidRPr="005478AD" w:rsidTr="00225312">
        <w:trPr>
          <w:trHeight w:val="1026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effectiveness of legal and institutional framework for control of corruption in certain problematic areas such as vote-buying, land swaps, forest swaps and political party financing </w:t>
            </w:r>
          </w:p>
        </w:tc>
      </w:tr>
      <w:tr w:rsidR="00A12F8D" w:rsidRPr="005478AD" w:rsidTr="00A12F8D">
        <w:trPr>
          <w:cnfStyle w:val="000000100000"/>
          <w:trHeight w:val="136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Establish and implement effectively a strategic legal framework for the financial management and control of public procurement at the local level (institutions: SFIA, NAO and PPA)</w:t>
            </w:r>
          </w:p>
        </w:tc>
      </w:tr>
      <w:tr w:rsidR="00A12F8D" w:rsidRPr="005478AD" w:rsidTr="00A12F8D">
        <w:trPr>
          <w:trHeight w:val="68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Strengthen the capacity and effectiveness of the Public Procurement Agency</w:t>
            </w:r>
          </w:p>
        </w:tc>
      </w:tr>
      <w:tr w:rsidR="00A12F8D" w:rsidRPr="005478AD" w:rsidTr="00225312">
        <w:trPr>
          <w:cnfStyle w:val="000000100000"/>
          <w:trHeight w:val="340"/>
        </w:trPr>
        <w:tc>
          <w:tcPr>
            <w:cnfStyle w:val="001000000000"/>
            <w:tcW w:w="1990" w:type="dxa"/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hideMark/>
          </w:tcPr>
          <w:p w:rsidR="00A12F8D" w:rsidRPr="005478AD" w:rsidRDefault="00A12F8D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Curb election fraud </w:t>
            </w:r>
          </w:p>
        </w:tc>
      </w:tr>
      <w:tr w:rsidR="00A12F8D" w:rsidRPr="005478AD" w:rsidTr="00225312">
        <w:trPr>
          <w:trHeight w:val="680"/>
        </w:trPr>
        <w:tc>
          <w:tcPr>
            <w:cnfStyle w:val="001000000000"/>
            <w:tcW w:w="1990" w:type="dxa"/>
            <w:tcBorders>
              <w:bottom w:val="single" w:sz="4" w:space="0" w:color="auto"/>
            </w:tcBorders>
            <w:noWrap/>
            <w:hideMark/>
          </w:tcPr>
          <w:p w:rsidR="00A12F8D" w:rsidRPr="005478AD" w:rsidRDefault="00A12F8D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76" w:type="dxa"/>
            <w:tcBorders>
              <w:bottom w:val="single" w:sz="4" w:space="0" w:color="auto"/>
            </w:tcBorders>
            <w:hideMark/>
          </w:tcPr>
          <w:p w:rsidR="00A12F8D" w:rsidRPr="005478AD" w:rsidRDefault="00A12F8D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Create and implement sectorial anti-corruption measures in Ministry of Interior </w:t>
            </w:r>
          </w:p>
        </w:tc>
      </w:tr>
    </w:tbl>
    <w:p w:rsidR="00AF3DCC" w:rsidRPr="005478AD" w:rsidRDefault="00AF3DCC" w:rsidP="00216397">
      <w:pPr>
        <w:rPr>
          <w:rFonts w:ascii="Times New Roman" w:hAnsi="Times New Roman" w:cs="Times New Roman"/>
          <w:b/>
          <w:bCs/>
          <w:lang w:val="en-GB"/>
        </w:rPr>
      </w:pPr>
    </w:p>
    <w:p w:rsidR="005C3D17" w:rsidRDefault="005C3D1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C30DFA" w:rsidRPr="005478AD" w:rsidRDefault="004C2131" w:rsidP="00216397">
      <w:pPr>
        <w:rPr>
          <w:rFonts w:ascii="Times New Roman" w:hAnsi="Times New Roman" w:cs="Times New Roman"/>
          <w:b/>
          <w:bCs/>
          <w:lang w:val="en-GB"/>
        </w:rPr>
      </w:pPr>
      <w:r w:rsidRPr="005478AD">
        <w:rPr>
          <w:rFonts w:ascii="Times New Roman" w:hAnsi="Times New Roman" w:cs="Times New Roman"/>
          <w:b/>
          <w:bCs/>
          <w:lang w:val="en-GB"/>
        </w:rPr>
        <w:lastRenderedPageBreak/>
        <w:t>Romania</w:t>
      </w:r>
    </w:p>
    <w:tbl>
      <w:tblPr>
        <w:tblStyle w:val="PlainTable3"/>
        <w:tblW w:w="0" w:type="auto"/>
        <w:tblLook w:val="04A0"/>
      </w:tblPr>
      <w:tblGrid>
        <w:gridCol w:w="1985"/>
        <w:gridCol w:w="7081"/>
      </w:tblGrid>
      <w:tr w:rsidR="007604D5" w:rsidRPr="005478AD" w:rsidTr="00CD3178">
        <w:trPr>
          <w:cnfStyle w:val="100000000000"/>
          <w:trHeight w:val="320"/>
        </w:trPr>
        <w:tc>
          <w:tcPr>
            <w:cnfStyle w:val="001000000100"/>
            <w:tcW w:w="1985" w:type="dxa"/>
            <w:tcBorders>
              <w:bottom w:val="single" w:sz="4" w:space="0" w:color="auto"/>
            </w:tcBorders>
            <w:noWrap/>
            <w:hideMark/>
          </w:tcPr>
          <w:p w:rsidR="00E231F2" w:rsidRPr="005478AD" w:rsidRDefault="00E231F2" w:rsidP="00225312">
            <w:pPr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:rsidR="007604D5" w:rsidRPr="005478AD" w:rsidRDefault="007604D5" w:rsidP="00225312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Benchmark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noWrap/>
            <w:hideMark/>
          </w:tcPr>
          <w:p w:rsidR="00E231F2" w:rsidRPr="005478AD" w:rsidRDefault="00E231F2" w:rsidP="00225312">
            <w:pPr>
              <w:snapToGrid w:val="0"/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  <w:lang w:val="en-GB"/>
              </w:rPr>
            </w:pPr>
          </w:p>
          <w:p w:rsidR="007604D5" w:rsidRPr="005478AD" w:rsidRDefault="007604D5" w:rsidP="00225312">
            <w:pPr>
              <w:snapToGrid w:val="0"/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Indicator</w:t>
            </w:r>
          </w:p>
        </w:tc>
      </w:tr>
      <w:tr w:rsidR="00160CBD" w:rsidRPr="00225312" w:rsidTr="00505C31">
        <w:trPr>
          <w:cnfStyle w:val="000000100000"/>
          <w:trHeight w:val="745"/>
        </w:trPr>
        <w:tc>
          <w:tcPr>
            <w:cnfStyle w:val="001000000000"/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5312" w:rsidRDefault="00225312">
            <w:pP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  <w:lang w:val="en-GB"/>
              </w:rPr>
            </w:pPr>
          </w:p>
          <w:p w:rsidR="00160CBD" w:rsidRDefault="00160CB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  <w:t xml:space="preserve">2. </w:t>
            </w:r>
            <w:r w:rsidR="00E231F2" w:rsidRPr="00225312"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  <w:t xml:space="preserve">Establish an integrity agency with responsibilities for verifying assets, incompatibilities and </w:t>
            </w:r>
            <w:r w:rsidR="00225312" w:rsidRPr="00225312"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  <w:t>potential conflicts</w:t>
            </w:r>
            <w:r w:rsidR="00E231F2" w:rsidRPr="00225312"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  <w:t xml:space="preserve"> of interest, and for issuing mandatory decisions on the basis of which dissuasive sanctions can be taken</w:t>
            </w:r>
          </w:p>
          <w:p w:rsidR="00225312" w:rsidRPr="00225312" w:rsidRDefault="00225312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</w:tr>
      <w:tr w:rsidR="007604D5" w:rsidRPr="005478AD" w:rsidTr="00225312">
        <w:trPr>
          <w:trHeight w:val="450"/>
        </w:trPr>
        <w:tc>
          <w:tcPr>
            <w:cnfStyle w:val="001000000000"/>
            <w:tcW w:w="1985" w:type="dxa"/>
            <w:tcBorders>
              <w:top w:val="single" w:sz="4" w:space="0" w:color="auto"/>
            </w:tcBorders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tcBorders>
              <w:top w:val="single" w:sz="4" w:space="0" w:color="auto"/>
            </w:tcBorders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Create, maintain and implement the law on the National Integrity Agency </w:t>
            </w:r>
          </w:p>
        </w:tc>
      </w:tr>
      <w:tr w:rsidR="00CD3178" w:rsidRPr="005478AD" w:rsidTr="00CD3178">
        <w:trPr>
          <w:cnfStyle w:val="000000100000"/>
          <w:trHeight w:val="34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Establish, consolidate and support ANI </w:t>
            </w:r>
          </w:p>
        </w:tc>
      </w:tr>
      <w:tr w:rsidR="007604D5" w:rsidRPr="005478AD" w:rsidTr="00CD3178">
        <w:trPr>
          <w:trHeight w:val="34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Maintain and improve ANI track record of cases</w:t>
            </w:r>
          </w:p>
        </w:tc>
      </w:tr>
      <w:tr w:rsidR="00CD3178" w:rsidRPr="005478AD" w:rsidTr="00CD3178">
        <w:trPr>
          <w:cnfStyle w:val="000000100000"/>
          <w:trHeight w:val="34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Implement sanctions as follow-up to ANI decisions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Impact of ANI more widely (as reflected in other areas of practice/public offices and internationally)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Ensure the independence of ANI &amp; the National Integrity Council and also more broadly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Increase the effectiveness of ANI powers to investigate and issue decisions on which dissuasive sanctions can be taken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ANI ensure and increase cooperation/coordination of ANI with other high-level state authorities and the prosecution</w:t>
            </w:r>
          </w:p>
        </w:tc>
      </w:tr>
      <w:tr w:rsidR="007604D5" w:rsidRPr="005478AD" w:rsidTr="00CD3178">
        <w:trPr>
          <w:trHeight w:val="34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Disseminate publicly information on ANI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Provide human/ financial &amp; infrastructure resources for high-level corruption</w:t>
            </w:r>
          </w:p>
        </w:tc>
      </w:tr>
      <w:tr w:rsidR="007604D5" w:rsidRPr="005478AD" w:rsidTr="00CD3178">
        <w:trPr>
          <w:trHeight w:val="102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Implementation of legislation on incompatibilities as well as the implementation of court decisions regarding unjustified assets or conflict of interest and incompatibilities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Set up and implement ex ante checks and prevention activities (for potential conflict of interest, like PREVENT)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tcBorders>
              <w:bottom w:val="single" w:sz="4" w:space="0" w:color="auto"/>
            </w:tcBorders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Wealth declaration (especially of candidates in local elections; new electoral law)</w:t>
            </w:r>
          </w:p>
        </w:tc>
      </w:tr>
      <w:tr w:rsidR="00505C31" w:rsidRPr="00225312" w:rsidTr="00505C31">
        <w:trPr>
          <w:cnfStyle w:val="000000100000"/>
          <w:trHeight w:val="284"/>
        </w:trPr>
        <w:tc>
          <w:tcPr>
            <w:cnfStyle w:val="001000000000"/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5312" w:rsidRDefault="00225312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  <w:p w:rsidR="00505C31" w:rsidRPr="00225312" w:rsidRDefault="00505C31">
            <w:pPr>
              <w:rPr>
                <w:rFonts w:ascii="Times New Roman" w:hAnsi="Times New Roman" w:cs="Times New Roman"/>
                <w:caps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  <w:t>3. Continue to conduct professional, non- partisan investigations into allegations of high- level corruption</w:t>
            </w:r>
          </w:p>
          <w:p w:rsidR="00505C31" w:rsidRPr="00225312" w:rsidRDefault="00505C31">
            <w:pPr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  <w:t> 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tcBorders>
              <w:top w:val="single" w:sz="4" w:space="0" w:color="auto"/>
            </w:tcBorders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tcBorders>
              <w:top w:val="single" w:sz="4" w:space="0" w:color="auto"/>
            </w:tcBorders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Establish and ensure good functioning of specialised prosecution services (DNA)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Continue to improve track record on high-profile cases with the indictment of well-known and influential public figures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Carry out non-partisan investigations (Parliament is seen as an open threat as of 2017)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Ensure rigour and shorten the duration of cases of prosecution (caused by HCCJ, but improved significantly after 2010-11)</w:t>
            </w:r>
          </w:p>
        </w:tc>
      </w:tr>
      <w:tr w:rsidR="007604D5" w:rsidRPr="005478AD" w:rsidTr="00225312">
        <w:trPr>
          <w:trHeight w:val="482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Secure the quality and stability of the anti-corruption legal framework 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Provide sufficient general financial support to fight against corruption (including EU funds)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Public trust in anti-corruption fight based on tackling high-level corruption and DNA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Draft and disseminate online training guides for courts, by High Court for Cassation and Justice (HCCJ)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Continue to maintain HCCJ track record of high-level corruption cases and improve its effectiveness </w:t>
            </w:r>
          </w:p>
        </w:tc>
      </w:tr>
      <w:tr w:rsidR="00CD3178" w:rsidRPr="005478AD" w:rsidTr="00CD3178">
        <w:trPr>
          <w:cnfStyle w:val="000000100000"/>
          <w:trHeight w:val="34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Improve Parliament awareness/support of anti-corruption fight </w:t>
            </w:r>
          </w:p>
        </w:tc>
      </w:tr>
      <w:tr w:rsidR="007604D5" w:rsidRPr="005478AD" w:rsidTr="00CD3178">
        <w:trPr>
          <w:trHeight w:val="1020"/>
        </w:trPr>
        <w:tc>
          <w:tcPr>
            <w:cnfStyle w:val="001000000000"/>
            <w:tcW w:w="1985" w:type="dxa"/>
            <w:tcBorders>
              <w:bottom w:val="single" w:sz="4" w:space="0" w:color="auto"/>
            </w:tcBorders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New Criminal Code and Code for Criminal Procedures, offering </w:t>
            </w:r>
            <w:r w:rsidR="00225312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clearer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framework for </w:t>
            </w:r>
            <w:r w:rsidR="00225312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fighting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corruption (in line with GRECO, too)</w:t>
            </w:r>
          </w:p>
        </w:tc>
      </w:tr>
      <w:tr w:rsidR="00574652" w:rsidRPr="00225312" w:rsidTr="00574652">
        <w:trPr>
          <w:cnfStyle w:val="000000100000"/>
          <w:trHeight w:val="256"/>
        </w:trPr>
        <w:tc>
          <w:tcPr>
            <w:cnfStyle w:val="001000000000"/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5312" w:rsidRDefault="00225312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  <w:p w:rsidR="00574652" w:rsidRPr="00225312" w:rsidRDefault="00574652">
            <w:pPr>
              <w:rPr>
                <w:rFonts w:ascii="Times New Roman" w:hAnsi="Times New Roman" w:cs="Times New Roman"/>
                <w:caps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caps w:val="0"/>
                <w:sz w:val="22"/>
                <w:szCs w:val="22"/>
                <w:lang w:val="en-GB"/>
              </w:rPr>
              <w:t>4. Take further measures to prevent and fight against corruption, in particular within the local government</w:t>
            </w:r>
          </w:p>
          <w:p w:rsidR="00574652" w:rsidRPr="00225312" w:rsidRDefault="00574652">
            <w:pPr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</w:pPr>
            <w:r w:rsidRPr="00225312">
              <w:rPr>
                <w:rFonts w:ascii="Times New Roman" w:hAnsi="Times New Roman" w:cs="Times New Roman"/>
                <w:bCs w:val="0"/>
                <w:sz w:val="22"/>
                <w:szCs w:val="22"/>
                <w:lang w:val="en-GB"/>
              </w:rPr>
              <w:t> </w:t>
            </w:r>
          </w:p>
        </w:tc>
      </w:tr>
      <w:tr w:rsidR="007604D5" w:rsidRPr="005478AD" w:rsidTr="00225312">
        <w:trPr>
          <w:trHeight w:val="498"/>
        </w:trPr>
        <w:tc>
          <w:tcPr>
            <w:cnfStyle w:val="001000000000"/>
            <w:tcW w:w="1985" w:type="dxa"/>
            <w:tcBorders>
              <w:top w:val="single" w:sz="4" w:space="0" w:color="auto"/>
            </w:tcBorders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tcBorders>
              <w:top w:val="single" w:sz="4" w:space="0" w:color="auto"/>
            </w:tcBorders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Support and carry out projects to raise public awareness on corruption</w:t>
            </w:r>
          </w:p>
        </w:tc>
      </w:tr>
      <w:tr w:rsidR="00CD3178" w:rsidRPr="005478AD" w:rsidTr="00CD3178">
        <w:trPr>
          <w:cnfStyle w:val="000000100000"/>
          <w:trHeight w:val="34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Strengthen capacity (and integrity) of local public officials 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Improve quality of local public services/increase transparency and streamline local services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Establish and implement preventive measures in health and education fields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Increase support for/awareness of anti-corruption in education and health sectors 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Encourage and increase civil society support for/awareness of anti-corruption, especially in education and health sectors </w:t>
            </w:r>
          </w:p>
        </w:tc>
      </w:tr>
      <w:tr w:rsidR="007604D5" w:rsidRPr="005478AD" w:rsidTr="00225312">
        <w:trPr>
          <w:trHeight w:val="771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Design &amp; implement &amp; monitor comprehensive local anti-corruption strategy with a focus on vulnerable sectors and local public administration</w:t>
            </w:r>
          </w:p>
        </w:tc>
      </w:tr>
      <w:tr w:rsidR="00CD3178" w:rsidRPr="005478AD" w:rsidTr="00CD3178">
        <w:trPr>
          <w:cnfStyle w:val="000000100000"/>
          <w:trHeight w:val="34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Establish he Green Help line/TELVERDE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Establish new protocol with NGOs (AID) on the National Integrity Centre - </w:t>
            </w:r>
            <w:r w:rsidR="00225312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local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plans to promote integrity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Implementation of the new NGO protocol and support involvement of civil society</w:t>
            </w:r>
          </w:p>
        </w:tc>
      </w:tr>
      <w:tr w:rsidR="007604D5" w:rsidRPr="005478AD" w:rsidTr="00225312">
        <w:trPr>
          <w:trHeight w:val="562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Support research and ensure collection of complaints/signals of corruption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Carry out </w:t>
            </w:r>
            <w:r w:rsidR="00225312"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investigations</w:t>
            </w: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sanctioning of public officials (DGA and Prosecutor General)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Take measures to improve good administration of EU funds/indictment of EU fraud </w:t>
            </w:r>
          </w:p>
        </w:tc>
      </w:tr>
      <w:tr w:rsidR="00CD3178" w:rsidRPr="005478AD" w:rsidTr="00CD3178">
        <w:trPr>
          <w:cnfStyle w:val="000000100000"/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Improve law enforcement and information sharing, across sectors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Strengthen legal and institutional capacity to carry out cases on public procurement</w:t>
            </w:r>
          </w:p>
        </w:tc>
      </w:tr>
      <w:tr w:rsidR="00CD3178" w:rsidRPr="005478AD" w:rsidTr="00CD3178">
        <w:trPr>
          <w:cnfStyle w:val="000000100000"/>
          <w:trHeight w:val="102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Fight petty and medium-level corruption at the local level, through prevention and pursuit of cases (DNA medium-</w:t>
            </w:r>
            <w:proofErr w:type="spellStart"/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evel</w:t>
            </w:r>
            <w:proofErr w:type="spellEnd"/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General Prosecution for low-level)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Carry out investigation and cases of corruption of border police and customs staff (DGA and DNA)</w:t>
            </w:r>
          </w:p>
        </w:tc>
      </w:tr>
      <w:tr w:rsidR="00CD3178" w:rsidRPr="005478AD" w:rsidTr="00225312">
        <w:trPr>
          <w:cnfStyle w:val="000000100000"/>
          <w:trHeight w:val="1263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Increase efforts with regard to cases of asset recovery, public procurement and the prosecution of money laundering (ANAF/National Procurement Agency and National Agency for the Management of Seized Assets newly created)</w:t>
            </w:r>
          </w:p>
        </w:tc>
      </w:tr>
      <w:tr w:rsidR="007604D5" w:rsidRPr="005478AD" w:rsidTr="00CD3178">
        <w:trPr>
          <w:trHeight w:val="68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Increase efforts with regard to cases of conflict of interest, unjustified wealth, incompatibility</w:t>
            </w:r>
          </w:p>
        </w:tc>
      </w:tr>
      <w:tr w:rsidR="00CD3178" w:rsidRPr="005478AD" w:rsidTr="00225312">
        <w:trPr>
          <w:cnfStyle w:val="000000100000"/>
          <w:trHeight w:val="1020"/>
        </w:trPr>
        <w:tc>
          <w:tcPr>
            <w:cnfStyle w:val="001000000000"/>
            <w:tcW w:w="1985" w:type="dxa"/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hideMark/>
          </w:tcPr>
          <w:p w:rsidR="007604D5" w:rsidRPr="005478AD" w:rsidRDefault="007604D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Set up and use National Anti-Corruption Strategy (NAS 2012-2015) to carry out prevention work (identify corruption-risk areas and design preventive and educational measures)</w:t>
            </w:r>
          </w:p>
        </w:tc>
      </w:tr>
      <w:tr w:rsidR="007604D5" w:rsidRPr="005478AD" w:rsidTr="00225312">
        <w:trPr>
          <w:trHeight w:val="680"/>
        </w:trPr>
        <w:tc>
          <w:tcPr>
            <w:cnfStyle w:val="001000000000"/>
            <w:tcW w:w="1985" w:type="dxa"/>
            <w:tcBorders>
              <w:bottom w:val="single" w:sz="4" w:space="0" w:color="auto"/>
            </w:tcBorders>
            <w:noWrap/>
            <w:hideMark/>
          </w:tcPr>
          <w:p w:rsidR="007604D5" w:rsidRPr="005478AD" w:rsidRDefault="007604D5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  <w:hideMark/>
          </w:tcPr>
          <w:p w:rsidR="007604D5" w:rsidRPr="005478AD" w:rsidRDefault="007604D5">
            <w:pPr>
              <w:cnfStyle w:val="00000000000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478A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Put in place and implement public procurement mechanisms (PREVENT)</w:t>
            </w:r>
          </w:p>
        </w:tc>
      </w:tr>
    </w:tbl>
    <w:p w:rsidR="00C30DFA" w:rsidRPr="005478AD" w:rsidRDefault="00C30DFA" w:rsidP="00216397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C30DFA" w:rsidRPr="005478AD" w:rsidSect="00B32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F0" w:rsidRDefault="008208F0" w:rsidP="005906B6">
      <w:r>
        <w:separator/>
      </w:r>
    </w:p>
  </w:endnote>
  <w:endnote w:type="continuationSeparator" w:id="0">
    <w:p w:rsidR="008208F0" w:rsidRDefault="008208F0" w:rsidP="0059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899662130"/>
      <w:docPartObj>
        <w:docPartGallery w:val="Page Numbers (Bottom of Page)"/>
        <w:docPartUnique/>
      </w:docPartObj>
    </w:sdtPr>
    <w:sdtContent>
      <w:p w:rsidR="005906B6" w:rsidRDefault="00FF3D37" w:rsidP="005602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906B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906B6" w:rsidRDefault="005906B6" w:rsidP="005906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21702290"/>
      <w:docPartObj>
        <w:docPartGallery w:val="Page Numbers (Bottom of Page)"/>
        <w:docPartUnique/>
      </w:docPartObj>
    </w:sdtPr>
    <w:sdtContent>
      <w:p w:rsidR="005906B6" w:rsidRDefault="00FF3D37" w:rsidP="005602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906B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729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906B6" w:rsidRDefault="005906B6" w:rsidP="005906B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FB" w:rsidRDefault="00A35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F0" w:rsidRDefault="008208F0" w:rsidP="005906B6">
      <w:r>
        <w:separator/>
      </w:r>
    </w:p>
  </w:footnote>
  <w:footnote w:type="continuationSeparator" w:id="0">
    <w:p w:rsidR="008208F0" w:rsidRDefault="008208F0" w:rsidP="0059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FB" w:rsidRDefault="00A35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5C" w:rsidRPr="00D524AA" w:rsidRDefault="006B5F5C" w:rsidP="00D524AA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FB" w:rsidRDefault="00A35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F1"/>
    <w:rsid w:val="000652ED"/>
    <w:rsid w:val="000936E6"/>
    <w:rsid w:val="000C3128"/>
    <w:rsid w:val="000F1447"/>
    <w:rsid w:val="00116832"/>
    <w:rsid w:val="00160CBD"/>
    <w:rsid w:val="001A7636"/>
    <w:rsid w:val="001E7631"/>
    <w:rsid w:val="00216397"/>
    <w:rsid w:val="00225312"/>
    <w:rsid w:val="00274C0F"/>
    <w:rsid w:val="002A3979"/>
    <w:rsid w:val="002E1661"/>
    <w:rsid w:val="00353FDC"/>
    <w:rsid w:val="00363577"/>
    <w:rsid w:val="004607DA"/>
    <w:rsid w:val="004C2131"/>
    <w:rsid w:val="00505C31"/>
    <w:rsid w:val="00540F2B"/>
    <w:rsid w:val="00541A00"/>
    <w:rsid w:val="005478AD"/>
    <w:rsid w:val="00550456"/>
    <w:rsid w:val="005556BB"/>
    <w:rsid w:val="00574652"/>
    <w:rsid w:val="00577294"/>
    <w:rsid w:val="005906B6"/>
    <w:rsid w:val="005C3D17"/>
    <w:rsid w:val="00624999"/>
    <w:rsid w:val="006B5F5C"/>
    <w:rsid w:val="006C0E04"/>
    <w:rsid w:val="00723A02"/>
    <w:rsid w:val="007604D5"/>
    <w:rsid w:val="008208F0"/>
    <w:rsid w:val="00850387"/>
    <w:rsid w:val="00854CD9"/>
    <w:rsid w:val="00894321"/>
    <w:rsid w:val="009145E6"/>
    <w:rsid w:val="00987A53"/>
    <w:rsid w:val="009A02E8"/>
    <w:rsid w:val="009A4D31"/>
    <w:rsid w:val="00A12F8D"/>
    <w:rsid w:val="00A21B46"/>
    <w:rsid w:val="00A352FB"/>
    <w:rsid w:val="00A41E58"/>
    <w:rsid w:val="00A61B32"/>
    <w:rsid w:val="00A703AD"/>
    <w:rsid w:val="00AC08A7"/>
    <w:rsid w:val="00AF3DCC"/>
    <w:rsid w:val="00B13CF2"/>
    <w:rsid w:val="00B32353"/>
    <w:rsid w:val="00B503C3"/>
    <w:rsid w:val="00C143AB"/>
    <w:rsid w:val="00C17913"/>
    <w:rsid w:val="00C2692E"/>
    <w:rsid w:val="00C30DFA"/>
    <w:rsid w:val="00C41E5E"/>
    <w:rsid w:val="00C42CC8"/>
    <w:rsid w:val="00C72C0B"/>
    <w:rsid w:val="00CD3178"/>
    <w:rsid w:val="00CE1DEC"/>
    <w:rsid w:val="00CE446D"/>
    <w:rsid w:val="00D02B99"/>
    <w:rsid w:val="00D1309E"/>
    <w:rsid w:val="00D524AA"/>
    <w:rsid w:val="00D73A4E"/>
    <w:rsid w:val="00DA7DF5"/>
    <w:rsid w:val="00DB79D3"/>
    <w:rsid w:val="00DF31B7"/>
    <w:rsid w:val="00E231F2"/>
    <w:rsid w:val="00E7580D"/>
    <w:rsid w:val="00E902F1"/>
    <w:rsid w:val="00EC6E50"/>
    <w:rsid w:val="00F74E7A"/>
    <w:rsid w:val="00F83712"/>
    <w:rsid w:val="00FA0901"/>
    <w:rsid w:val="00F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60C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160C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160C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906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B6"/>
  </w:style>
  <w:style w:type="character" w:styleId="PageNumber">
    <w:name w:val="page number"/>
    <w:basedOn w:val="DefaultParagraphFont"/>
    <w:uiPriority w:val="99"/>
    <w:semiHidden/>
    <w:unhideWhenUsed/>
    <w:rsid w:val="005906B6"/>
  </w:style>
  <w:style w:type="paragraph" w:styleId="Header">
    <w:name w:val="header"/>
    <w:basedOn w:val="Normal"/>
    <w:link w:val="HeaderChar"/>
    <w:uiPriority w:val="99"/>
    <w:unhideWhenUsed/>
    <w:rsid w:val="006B5F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F5C"/>
  </w:style>
  <w:style w:type="paragraph" w:styleId="BalloonText">
    <w:name w:val="Balloon Text"/>
    <w:basedOn w:val="Normal"/>
    <w:link w:val="BalloonTextChar"/>
    <w:uiPriority w:val="99"/>
    <w:semiHidden/>
    <w:unhideWhenUsed/>
    <w:rsid w:val="00C143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DC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coralacatus\Desktop\CVMs_EU%20Demands_14%20Nov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coralacatus\Desktop\CVMs_EU%20Demands_14%20Nov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coralacatus\Desktop\Projects\Project%20with%20Uli_June%202019\Compliance%20Index%20data\CVMs_EU%20Demands_11%20July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N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Romania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312588704189757"/>
          <c:y val="0.1386967063568274"/>
          <c:w val="0.83242986293380028"/>
          <c:h val="0.56335773958133262"/>
        </c:manualLayout>
      </c:layout>
      <c:lineChart>
        <c:grouping val="standard"/>
        <c:ser>
          <c:idx val="0"/>
          <c:order val="0"/>
          <c:tx>
            <c:strRef>
              <c:f>Graphs!$A$5</c:f>
              <c:strCache>
                <c:ptCount val="1"/>
                <c:pt idx="0">
                  <c:v>Benchmark 2: Establish an integrity agency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Graphs!$B$4:$S$4</c:f>
              <c:numCache>
                <c:formatCode>General</c:formatCode>
                <c:ptCount val="18"/>
                <c:pt idx="0">
                  <c:v>2007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2009</c:v>
                </c:pt>
                <c:pt idx="5">
                  <c:v>2010</c:v>
                </c:pt>
                <c:pt idx="6">
                  <c:v>2010</c:v>
                </c:pt>
                <c:pt idx="7">
                  <c:v>2011</c:v>
                </c:pt>
                <c:pt idx="8">
                  <c:v>2011</c:v>
                </c:pt>
                <c:pt idx="9">
                  <c:v>2012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Graphs!$B$5:$S$5</c:f>
              <c:numCache>
                <c:formatCode>General</c:formatCode>
                <c:ptCount val="18"/>
                <c:pt idx="0">
                  <c:v>0.8</c:v>
                </c:pt>
                <c:pt idx="1">
                  <c:v>1</c:v>
                </c:pt>
                <c:pt idx="2">
                  <c:v>1.8333333333333333</c:v>
                </c:pt>
                <c:pt idx="3">
                  <c:v>2.1428571428571432</c:v>
                </c:pt>
                <c:pt idx="4">
                  <c:v>2.625</c:v>
                </c:pt>
                <c:pt idx="5">
                  <c:v>2.625</c:v>
                </c:pt>
                <c:pt idx="6">
                  <c:v>1.1111111111111116</c:v>
                </c:pt>
                <c:pt idx="7">
                  <c:v>2</c:v>
                </c:pt>
                <c:pt idx="8">
                  <c:v>1.7777777777777779</c:v>
                </c:pt>
                <c:pt idx="9">
                  <c:v>1.6666666666666667</c:v>
                </c:pt>
                <c:pt idx="10">
                  <c:v>2.1</c:v>
                </c:pt>
                <c:pt idx="11">
                  <c:v>2.6666666666666665</c:v>
                </c:pt>
                <c:pt idx="12">
                  <c:v>2.9</c:v>
                </c:pt>
                <c:pt idx="13">
                  <c:v>3</c:v>
                </c:pt>
                <c:pt idx="14">
                  <c:v>2.4</c:v>
                </c:pt>
                <c:pt idx="15">
                  <c:v>2.4545454545454537</c:v>
                </c:pt>
                <c:pt idx="16">
                  <c:v>2.2999999999999998</c:v>
                </c:pt>
                <c:pt idx="17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5F-CF46-8787-0EC0D5AA3736}"/>
            </c:ext>
          </c:extLst>
        </c:ser>
        <c:ser>
          <c:idx val="1"/>
          <c:order val="1"/>
          <c:tx>
            <c:strRef>
              <c:f>Graphs!$A$6</c:f>
              <c:strCache>
                <c:ptCount val="1"/>
                <c:pt idx="0">
                  <c:v>Benchmark 3: Investigate high-level corruption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Graphs!$B$4:$S$4</c:f>
              <c:numCache>
                <c:formatCode>General</c:formatCode>
                <c:ptCount val="18"/>
                <c:pt idx="0">
                  <c:v>2007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2009</c:v>
                </c:pt>
                <c:pt idx="5">
                  <c:v>2010</c:v>
                </c:pt>
                <c:pt idx="6">
                  <c:v>2010</c:v>
                </c:pt>
                <c:pt idx="7">
                  <c:v>2011</c:v>
                </c:pt>
                <c:pt idx="8">
                  <c:v>2011</c:v>
                </c:pt>
                <c:pt idx="9">
                  <c:v>2012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Graphs!$B$6:$S$6</c:f>
              <c:numCache>
                <c:formatCode>General</c:formatCode>
                <c:ptCount val="18"/>
                <c:pt idx="0">
                  <c:v>1.7500000000000002</c:v>
                </c:pt>
                <c:pt idx="1">
                  <c:v>1.7500000000000002</c:v>
                </c:pt>
                <c:pt idx="2">
                  <c:v>1.5</c:v>
                </c:pt>
                <c:pt idx="3">
                  <c:v>1.625</c:v>
                </c:pt>
                <c:pt idx="4">
                  <c:v>2</c:v>
                </c:pt>
                <c:pt idx="5">
                  <c:v>2.3749999999999991</c:v>
                </c:pt>
                <c:pt idx="6">
                  <c:v>2.625</c:v>
                </c:pt>
                <c:pt idx="7">
                  <c:v>2.1666666666666665</c:v>
                </c:pt>
                <c:pt idx="8">
                  <c:v>2.1428571428571432</c:v>
                </c:pt>
                <c:pt idx="9">
                  <c:v>2.4444444444444438</c:v>
                </c:pt>
                <c:pt idx="10">
                  <c:v>2.4444444444444438</c:v>
                </c:pt>
                <c:pt idx="11">
                  <c:v>2.6666666666666665</c:v>
                </c:pt>
                <c:pt idx="12">
                  <c:v>2.5555555555555554</c:v>
                </c:pt>
                <c:pt idx="13">
                  <c:v>2.6</c:v>
                </c:pt>
                <c:pt idx="14">
                  <c:v>2.5</c:v>
                </c:pt>
                <c:pt idx="15">
                  <c:v>2.3636363636363642</c:v>
                </c:pt>
                <c:pt idx="16">
                  <c:v>1.8888888888888893</c:v>
                </c:pt>
                <c:pt idx="17">
                  <c:v>1.7777777777777779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5F-CF46-8787-0EC0D5AA3736}"/>
            </c:ext>
          </c:extLst>
        </c:ser>
        <c:ser>
          <c:idx val="2"/>
          <c:order val="2"/>
          <c:tx>
            <c:strRef>
              <c:f>Graphs!$A$7</c:f>
              <c:strCache>
                <c:ptCount val="1"/>
                <c:pt idx="0">
                  <c:v>Benchmark 4: Tackle corruption in local government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Graphs!$B$4:$S$4</c:f>
              <c:numCache>
                <c:formatCode>General</c:formatCode>
                <c:ptCount val="18"/>
                <c:pt idx="0">
                  <c:v>2007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2009</c:v>
                </c:pt>
                <c:pt idx="5">
                  <c:v>2010</c:v>
                </c:pt>
                <c:pt idx="6">
                  <c:v>2010</c:v>
                </c:pt>
                <c:pt idx="7">
                  <c:v>2011</c:v>
                </c:pt>
                <c:pt idx="8">
                  <c:v>2011</c:v>
                </c:pt>
                <c:pt idx="9">
                  <c:v>2012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Graphs!$B$7:$S$7</c:f>
              <c:numCache>
                <c:formatCode>General</c:formatCode>
                <c:ptCount val="18"/>
                <c:pt idx="0">
                  <c:v>2.1428571428571432</c:v>
                </c:pt>
                <c:pt idx="1">
                  <c:v>1.7500000000000002</c:v>
                </c:pt>
                <c:pt idx="2">
                  <c:v>1.5833333333333333</c:v>
                </c:pt>
                <c:pt idx="3">
                  <c:v>1.7777777777777779</c:v>
                </c:pt>
                <c:pt idx="4">
                  <c:v>2.6153846153846154</c:v>
                </c:pt>
                <c:pt idx="5">
                  <c:v>2.7142857142857144</c:v>
                </c:pt>
                <c:pt idx="6">
                  <c:v>2.4117647058823546</c:v>
                </c:pt>
                <c:pt idx="7">
                  <c:v>2</c:v>
                </c:pt>
                <c:pt idx="8">
                  <c:v>2.3124999999999987</c:v>
                </c:pt>
                <c:pt idx="9">
                  <c:v>2.5</c:v>
                </c:pt>
                <c:pt idx="10">
                  <c:v>2.7222222222222232</c:v>
                </c:pt>
                <c:pt idx="11">
                  <c:v>1.8333333333333333</c:v>
                </c:pt>
                <c:pt idx="12">
                  <c:v>2.8571428571428572</c:v>
                </c:pt>
                <c:pt idx="13">
                  <c:v>2.8749999999999991</c:v>
                </c:pt>
                <c:pt idx="14">
                  <c:v>2.625</c:v>
                </c:pt>
                <c:pt idx="15">
                  <c:v>2.6470588235294117</c:v>
                </c:pt>
                <c:pt idx="16">
                  <c:v>2.5714285714285707</c:v>
                </c:pt>
                <c:pt idx="17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5F-CF46-8787-0EC0D5AA3736}"/>
            </c:ext>
          </c:extLst>
        </c:ser>
        <c:marker val="1"/>
        <c:axId val="126019072"/>
        <c:axId val="126020608"/>
      </c:lineChart>
      <c:catAx>
        <c:axId val="126019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0608"/>
        <c:crosses val="autoZero"/>
        <c:auto val="1"/>
        <c:lblAlgn val="ctr"/>
        <c:lblOffset val="100"/>
      </c:catAx>
      <c:valAx>
        <c:axId val="126020608"/>
        <c:scaling>
          <c:orientation val="minMax"/>
          <c:max val="3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1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5531977421741202E-2"/>
          <c:y val="0.78521194494171542"/>
          <c:w val="0.83038606660653902"/>
          <c:h val="0.1914099136205286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N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Bulgaria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0039370078740171E-2"/>
          <c:y val="0.10689814814814817"/>
          <c:w val="0.89940507436570449"/>
          <c:h val="0.63498359580052488"/>
        </c:manualLayout>
      </c:layout>
      <c:lineChart>
        <c:grouping val="standard"/>
        <c:ser>
          <c:idx val="0"/>
          <c:order val="0"/>
          <c:tx>
            <c:strRef>
              <c:f>Graphs!$A$31</c:f>
              <c:strCache>
                <c:ptCount val="1"/>
                <c:pt idx="0">
                  <c:v>Benchmark 4: Investigate high-level corruption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Graphs!$B$30:$S$30</c:f>
              <c:numCache>
                <c:formatCode>General</c:formatCode>
                <c:ptCount val="18"/>
                <c:pt idx="0">
                  <c:v>2007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2009</c:v>
                </c:pt>
                <c:pt idx="5">
                  <c:v>2010</c:v>
                </c:pt>
                <c:pt idx="6">
                  <c:v>2010</c:v>
                </c:pt>
                <c:pt idx="7">
                  <c:v>2011</c:v>
                </c:pt>
                <c:pt idx="8">
                  <c:v>2011</c:v>
                </c:pt>
                <c:pt idx="9">
                  <c:v>2012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Graphs!$B$31:$S$31</c:f>
              <c:numCache>
                <c:formatCode>General</c:formatCode>
                <c:ptCount val="18"/>
                <c:pt idx="0">
                  <c:v>1</c:v>
                </c:pt>
                <c:pt idx="1">
                  <c:v>0</c:v>
                </c:pt>
                <c:pt idx="2">
                  <c:v>0.62500000000000022</c:v>
                </c:pt>
                <c:pt idx="3">
                  <c:v>0.66666666666666663</c:v>
                </c:pt>
                <c:pt idx="4">
                  <c:v>0.71428571428571452</c:v>
                </c:pt>
                <c:pt idx="5">
                  <c:v>0.71428571428571452</c:v>
                </c:pt>
                <c:pt idx="6">
                  <c:v>1.2857142857142854</c:v>
                </c:pt>
                <c:pt idx="7">
                  <c:v>1.5</c:v>
                </c:pt>
                <c:pt idx="8">
                  <c:v>1.0588235294117652</c:v>
                </c:pt>
                <c:pt idx="9">
                  <c:v>1.25</c:v>
                </c:pt>
                <c:pt idx="10">
                  <c:v>1.736842105263158</c:v>
                </c:pt>
                <c:pt idx="12">
                  <c:v>1</c:v>
                </c:pt>
                <c:pt idx="13">
                  <c:v>1.5294117647058822</c:v>
                </c:pt>
                <c:pt idx="14">
                  <c:v>1.1578947368421049</c:v>
                </c:pt>
                <c:pt idx="15">
                  <c:v>1.3636363636363635</c:v>
                </c:pt>
                <c:pt idx="16">
                  <c:v>1.9411764705882357</c:v>
                </c:pt>
                <c:pt idx="17">
                  <c:v>1.9500000000000004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77-1749-B9A2-D0397D0B63CE}"/>
            </c:ext>
          </c:extLst>
        </c:ser>
        <c:ser>
          <c:idx val="1"/>
          <c:order val="1"/>
          <c:tx>
            <c:strRef>
              <c:f>Graphs!$A$32</c:f>
              <c:strCache>
                <c:ptCount val="1"/>
                <c:pt idx="0">
                  <c:v>Benchmark 5: Tackle corruption in local government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Graphs!$B$30:$S$30</c:f>
              <c:numCache>
                <c:formatCode>General</c:formatCode>
                <c:ptCount val="18"/>
                <c:pt idx="0">
                  <c:v>2007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2009</c:v>
                </c:pt>
                <c:pt idx="5">
                  <c:v>2010</c:v>
                </c:pt>
                <c:pt idx="6">
                  <c:v>2010</c:v>
                </c:pt>
                <c:pt idx="7">
                  <c:v>2011</c:v>
                </c:pt>
                <c:pt idx="8">
                  <c:v>2011</c:v>
                </c:pt>
                <c:pt idx="9">
                  <c:v>2012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Graphs!$B$32:$S$32</c:f>
              <c:numCache>
                <c:formatCode>General</c:formatCode>
                <c:ptCount val="18"/>
                <c:pt idx="0">
                  <c:v>1</c:v>
                </c:pt>
                <c:pt idx="1">
                  <c:v>1.1666666666666667</c:v>
                </c:pt>
                <c:pt idx="2">
                  <c:v>1</c:v>
                </c:pt>
                <c:pt idx="3">
                  <c:v>0.66666666666666663</c:v>
                </c:pt>
                <c:pt idx="4">
                  <c:v>1.1000000000000001</c:v>
                </c:pt>
                <c:pt idx="5">
                  <c:v>1.5</c:v>
                </c:pt>
                <c:pt idx="6">
                  <c:v>1.3636363636363635</c:v>
                </c:pt>
                <c:pt idx="7">
                  <c:v>1.5</c:v>
                </c:pt>
                <c:pt idx="8">
                  <c:v>1.2222222222222219</c:v>
                </c:pt>
                <c:pt idx="9">
                  <c:v>1</c:v>
                </c:pt>
                <c:pt idx="10">
                  <c:v>1.928571428571429</c:v>
                </c:pt>
                <c:pt idx="12">
                  <c:v>1.3333333333333333</c:v>
                </c:pt>
                <c:pt idx="13">
                  <c:v>1</c:v>
                </c:pt>
                <c:pt idx="14">
                  <c:v>1.9166666666666667</c:v>
                </c:pt>
                <c:pt idx="15">
                  <c:v>1.8181818181818181</c:v>
                </c:pt>
                <c:pt idx="16">
                  <c:v>1.7777777777777777</c:v>
                </c:pt>
                <c:pt idx="17">
                  <c:v>2.0909090909090908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77-1749-B9A2-D0397D0B63CE}"/>
            </c:ext>
          </c:extLst>
        </c:ser>
        <c:marker val="1"/>
        <c:axId val="135960064"/>
        <c:axId val="135961600"/>
      </c:lineChart>
      <c:catAx>
        <c:axId val="135960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961600"/>
        <c:crosses val="autoZero"/>
        <c:auto val="1"/>
        <c:lblAlgn val="ctr"/>
        <c:lblOffset val="100"/>
      </c:catAx>
      <c:valAx>
        <c:axId val="135961600"/>
        <c:scaling>
          <c:orientation val="minMax"/>
          <c:max val="3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96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autoTitleDeleted val="1"/>
    <c:plotArea>
      <c:layout/>
      <c:lineChart>
        <c:grouping val="standard"/>
        <c:ser>
          <c:idx val="0"/>
          <c:order val="0"/>
          <c:tx>
            <c:strRef>
              <c:f>Graphs!$A$51</c:f>
              <c:strCache>
                <c:ptCount val="1"/>
                <c:pt idx="0">
                  <c:v>RO Total average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Graphs!$B$50:$S$50</c:f>
              <c:numCache>
                <c:formatCode>General</c:formatCode>
                <c:ptCount val="18"/>
                <c:pt idx="0">
                  <c:v>2007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2009</c:v>
                </c:pt>
                <c:pt idx="5">
                  <c:v>2010</c:v>
                </c:pt>
                <c:pt idx="6">
                  <c:v>2010</c:v>
                </c:pt>
                <c:pt idx="7">
                  <c:v>2011</c:v>
                </c:pt>
                <c:pt idx="8">
                  <c:v>2011</c:v>
                </c:pt>
                <c:pt idx="9">
                  <c:v>2012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Graphs!$B$51:$S$51</c:f>
              <c:numCache>
                <c:formatCode>General</c:formatCode>
                <c:ptCount val="18"/>
                <c:pt idx="0">
                  <c:v>1.5642857142857147</c:v>
                </c:pt>
                <c:pt idx="1">
                  <c:v>1.5</c:v>
                </c:pt>
                <c:pt idx="2">
                  <c:v>1.6388888888888891</c:v>
                </c:pt>
                <c:pt idx="3">
                  <c:v>1.8485449735449737</c:v>
                </c:pt>
                <c:pt idx="4">
                  <c:v>2.4134615384615392</c:v>
                </c:pt>
                <c:pt idx="5">
                  <c:v>2.5714285714285707</c:v>
                </c:pt>
                <c:pt idx="6">
                  <c:v>2.0492919389978215</c:v>
                </c:pt>
                <c:pt idx="7">
                  <c:v>2.0555555555555554</c:v>
                </c:pt>
                <c:pt idx="8">
                  <c:v>2.0777116402116413</c:v>
                </c:pt>
                <c:pt idx="9">
                  <c:v>2.2037037037037042</c:v>
                </c:pt>
                <c:pt idx="10">
                  <c:v>2.4222222222222221</c:v>
                </c:pt>
                <c:pt idx="11">
                  <c:v>2.388888888888888</c:v>
                </c:pt>
                <c:pt idx="12">
                  <c:v>2.770899470899471</c:v>
                </c:pt>
                <c:pt idx="13">
                  <c:v>2.8249999999999997</c:v>
                </c:pt>
                <c:pt idx="14">
                  <c:v>2.5083333333333342</c:v>
                </c:pt>
                <c:pt idx="15">
                  <c:v>2.4884135472370783</c:v>
                </c:pt>
                <c:pt idx="16">
                  <c:v>2.2534391534391531</c:v>
                </c:pt>
                <c:pt idx="17">
                  <c:v>2.2592592592592582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66-4548-A060-0DCCD0BC44A9}"/>
            </c:ext>
          </c:extLst>
        </c:ser>
        <c:ser>
          <c:idx val="1"/>
          <c:order val="1"/>
          <c:tx>
            <c:strRef>
              <c:f>Graphs!$A$52</c:f>
              <c:strCache>
                <c:ptCount val="1"/>
                <c:pt idx="0">
                  <c:v>BG Total average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Graphs!$B$50:$S$50</c:f>
              <c:numCache>
                <c:formatCode>General</c:formatCode>
                <c:ptCount val="18"/>
                <c:pt idx="0">
                  <c:v>2007</c:v>
                </c:pt>
                <c:pt idx="1">
                  <c:v>2008</c:v>
                </c:pt>
                <c:pt idx="2">
                  <c:v>2008</c:v>
                </c:pt>
                <c:pt idx="3">
                  <c:v>2009</c:v>
                </c:pt>
                <c:pt idx="4">
                  <c:v>2009</c:v>
                </c:pt>
                <c:pt idx="5">
                  <c:v>2010</c:v>
                </c:pt>
                <c:pt idx="6">
                  <c:v>2010</c:v>
                </c:pt>
                <c:pt idx="7">
                  <c:v>2011</c:v>
                </c:pt>
                <c:pt idx="8">
                  <c:v>2011</c:v>
                </c:pt>
                <c:pt idx="9">
                  <c:v>2012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Graphs!$B$52:$S$52</c:f>
              <c:numCache>
                <c:formatCode>General</c:formatCode>
                <c:ptCount val="18"/>
                <c:pt idx="0">
                  <c:v>1</c:v>
                </c:pt>
                <c:pt idx="1">
                  <c:v>0.58333333333333337</c:v>
                </c:pt>
                <c:pt idx="2">
                  <c:v>0.8125</c:v>
                </c:pt>
                <c:pt idx="3">
                  <c:v>0.66666666666666663</c:v>
                </c:pt>
                <c:pt idx="4">
                  <c:v>0.90714285714285725</c:v>
                </c:pt>
                <c:pt idx="5">
                  <c:v>1.1071428571428572</c:v>
                </c:pt>
                <c:pt idx="6">
                  <c:v>1.3246753246753251</c:v>
                </c:pt>
                <c:pt idx="7">
                  <c:v>1.5</c:v>
                </c:pt>
                <c:pt idx="8">
                  <c:v>1.1405228758169939</c:v>
                </c:pt>
                <c:pt idx="9">
                  <c:v>1.125</c:v>
                </c:pt>
                <c:pt idx="10">
                  <c:v>1.8327067669172936</c:v>
                </c:pt>
                <c:pt idx="12">
                  <c:v>1.1666666666666665</c:v>
                </c:pt>
                <c:pt idx="13">
                  <c:v>1.2647058823529407</c:v>
                </c:pt>
                <c:pt idx="14">
                  <c:v>1.5372807017543859</c:v>
                </c:pt>
                <c:pt idx="15">
                  <c:v>1.5909090909090904</c:v>
                </c:pt>
                <c:pt idx="16">
                  <c:v>1.8594771241830075</c:v>
                </c:pt>
                <c:pt idx="17">
                  <c:v>2.0204545454545455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66-4548-A060-0DCCD0BC44A9}"/>
            </c:ext>
          </c:extLst>
        </c:ser>
        <c:marker val="1"/>
        <c:axId val="136185344"/>
        <c:axId val="136186880"/>
      </c:lineChart>
      <c:catAx>
        <c:axId val="136185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86880"/>
        <c:crosses val="autoZero"/>
        <c:auto val="1"/>
        <c:lblAlgn val="ctr"/>
        <c:lblOffset val="100"/>
      </c:catAx>
      <c:valAx>
        <c:axId val="13618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853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Jeremy Richardson</cp:lastModifiedBy>
  <cp:revision>2</cp:revision>
  <cp:lastPrinted>2020-05-13T07:43:00Z</cp:lastPrinted>
  <dcterms:created xsi:type="dcterms:W3CDTF">2020-05-14T03:57:00Z</dcterms:created>
  <dcterms:modified xsi:type="dcterms:W3CDTF">2020-05-14T03:57:00Z</dcterms:modified>
</cp:coreProperties>
</file>