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20"/>
        <w:gridCol w:w="4385"/>
        <w:gridCol w:w="4479"/>
      </w:tblGrid>
      <w:tr w:rsidR="00FB2F91" w:rsidRPr="00DB7721" w14:paraId="30B95CF0" w14:textId="77777777" w:rsidTr="00FB2F91">
        <w:trPr>
          <w:cantSplit/>
          <w:trHeight w:val="240"/>
          <w:tblHeader/>
        </w:trPr>
        <w:tc>
          <w:tcPr>
            <w:tcW w:w="620" w:type="dxa"/>
            <w:textDirection w:val="btLr"/>
          </w:tcPr>
          <w:p w14:paraId="28310D63" w14:textId="77777777" w:rsidR="00FB2F91" w:rsidRPr="00DB7721" w:rsidRDefault="00FB2F91" w:rsidP="00FB2F91">
            <w:pPr>
              <w:pStyle w:val="Normal1"/>
              <w:widowControl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A2C7" w14:textId="4D8BE40E" w:rsidR="00FB2F91" w:rsidRPr="00DB7721" w:rsidRDefault="006240C2" w:rsidP="00F94173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Challenges Experienced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8348" w14:textId="2C228CF1" w:rsidR="00FB2F91" w:rsidRPr="00DB7721" w:rsidRDefault="00FB2F91" w:rsidP="00F94173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Suggested management techniques</w:t>
            </w:r>
          </w:p>
        </w:tc>
      </w:tr>
      <w:tr w:rsidR="00FB2F91" w:rsidRPr="00DB7721" w14:paraId="6A19866E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302D264E" w14:textId="77ECEBCD" w:rsidR="00FB2F91" w:rsidRDefault="00FB2F91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Sun Protection</w:t>
            </w:r>
          </w:p>
          <w:p w14:paraId="05623A44" w14:textId="77777777" w:rsidR="00FB2F91" w:rsidRPr="00DB7721" w:rsidRDefault="00FB2F91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3A0E" w14:textId="77777777" w:rsidR="00FB2F91" w:rsidRDefault="00FB2F91" w:rsidP="008015A5">
            <w:pPr>
              <w:pStyle w:val="Normal1"/>
              <w:widowControl w:val="0"/>
              <w:numPr>
                <w:ilvl w:val="0"/>
                <w:numId w:val="1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Sunscreen is famous for its “slimy” feeling</w:t>
            </w:r>
          </w:p>
          <w:p w14:paraId="0B684EA4" w14:textId="412C1D44" w:rsidR="00FB2F91" w:rsidRDefault="00FB2F91" w:rsidP="008015A5">
            <w:pPr>
              <w:pStyle w:val="Normal1"/>
              <w:widowControl w:val="0"/>
              <w:numPr>
                <w:ilvl w:val="0"/>
                <w:numId w:val="1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lasses change visual input</w:t>
            </w:r>
          </w:p>
          <w:p w14:paraId="522F3FB9" w14:textId="3E6E15CB" w:rsidR="00FB2F91" w:rsidRPr="00DB7721" w:rsidRDefault="00FB2F91" w:rsidP="008015A5">
            <w:pPr>
              <w:pStyle w:val="Normal1"/>
              <w:widowControl w:val="0"/>
              <w:numPr>
                <w:ilvl w:val="0"/>
                <w:numId w:val="1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ats and bandanas are a potentially novel article of clothing that takes acclimation.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828E" w14:textId="77777777" w:rsidR="00FB2F91" w:rsidRPr="00DB7721" w:rsidRDefault="00FB2F91" w:rsidP="008015A5">
            <w:pPr>
              <w:pStyle w:val="Normal1"/>
              <w:widowControl w:val="0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Pre-trip, provide information about different forms of sun protection, show pictures, and if possible, have different options available for students to try. </w:t>
            </w:r>
          </w:p>
        </w:tc>
      </w:tr>
      <w:tr w:rsidR="00FB2F91" w:rsidRPr="00DB7721" w14:paraId="02526B03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5D565292" w14:textId="3D412C30" w:rsidR="00FB2F91" w:rsidRPr="00DB7721" w:rsidRDefault="00FB2F91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Field Clothing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S</w:t>
            </w: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hoes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2EE6" w14:textId="77777777" w:rsidR="00FB2F9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extures and sounds of “quick-dry” field/outdoor clothes can be extremely uncomfortable</w:t>
            </w:r>
          </w:p>
          <w:p w14:paraId="6E42F8B4" w14:textId="77777777" w:rsidR="00FB2F9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field clothes have a different “fit” from everyday clothes worn in a classroom</w:t>
            </w:r>
          </w:p>
          <w:p w14:paraId="785FF337" w14:textId="524A5701" w:rsidR="00FB2F9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Boots are heavier/more restricting than shoes</w:t>
            </w:r>
          </w:p>
          <w:p w14:paraId="70472C1C" w14:textId="5C851413" w:rsidR="00FB2F91" w:rsidRPr="00DB772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Finding clothing that is both tolerable for the student and provide appropriate levels of protection and functionality for field conditions is something best handled by the individual student.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B200" w14:textId="24A323BC" w:rsidR="00FB2F9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Let students know what the parameters for “appropriate field clothing” are for your trip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o they need long pants? Why/Are jeans inappropriate in this setting? What types of cloth/materials make the best layers? Will they be getting wet, and if so, what are the options for drying off or changing clothes?). </w:t>
            </w:r>
          </w:p>
          <w:p w14:paraId="75741B90" w14:textId="10D11097" w:rsidR="00FB2F91" w:rsidRPr="00DB7721" w:rsidRDefault="00FB2F91" w:rsidP="008015A5">
            <w:pPr>
              <w:pStyle w:val="Normal1"/>
              <w:widowControl w:val="0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Provide or suggest short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opportunities to practice field activities while wearing field clothes prior to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bigger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trip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, to experiment and learn what works best. </w:t>
            </w:r>
          </w:p>
        </w:tc>
      </w:tr>
      <w:tr w:rsidR="00FB2F91" w:rsidRPr="00DB7721" w14:paraId="2D6A225A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52815D56" w14:textId="6C3410E8" w:rsidR="00FB2F91" w:rsidRPr="00DB7721" w:rsidRDefault="00FB2F91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Bathroom Needs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9558" w14:textId="145CAC40" w:rsidR="00FB2F91" w:rsidRDefault="00FB2F91" w:rsidP="008015A5">
            <w:pPr>
              <w:pStyle w:val="Normal1"/>
              <w:widowControl w:val="0"/>
              <w:numPr>
                <w:ilvl w:val="0"/>
                <w:numId w:val="4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tudents may have to use the bathroom in situations that they have not encountered before. This is not specific </w:t>
            </w:r>
            <w:r w:rsidR="00610AA6">
              <w:rPr>
                <w:rFonts w:ascii="Times New Roman" w:hAnsi="Times New Roman" w:cs="Times New Roman"/>
                <w:sz w:val="20"/>
                <w:szCs w:val="20"/>
              </w:rPr>
              <w:t>to autistic students, although a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utistic students specifically may not have the social scripts to know how to ask. </w:t>
            </w:r>
          </w:p>
          <w:p w14:paraId="2EE003C5" w14:textId="72552860" w:rsidR="008015A5" w:rsidRPr="00DB7721" w:rsidRDefault="008015A5" w:rsidP="008015A5">
            <w:pPr>
              <w:pStyle w:val="Normal1"/>
              <w:widowControl w:val="0"/>
              <w:numPr>
                <w:ilvl w:val="0"/>
                <w:numId w:val="4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A5">
              <w:rPr>
                <w:rFonts w:ascii="Times New Roman" w:hAnsi="Times New Roman" w:cs="Times New Roman"/>
                <w:sz w:val="20"/>
                <w:szCs w:val="20"/>
              </w:rPr>
              <w:t>For in-depth discussion, see Greene et al. (2019)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AE33" w14:textId="5371BD0B" w:rsidR="008015A5" w:rsidRDefault="008015A5" w:rsidP="008015A5">
            <w:pPr>
              <w:pStyle w:val="Normal1"/>
              <w:widowControl w:val="0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to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the trip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lecture, course website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 xml:space="preserve">/syllabus) discuss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resources available for taking care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bathroom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needs within the parameters of your trip. </w:t>
            </w:r>
          </w:p>
          <w:p w14:paraId="19131E19" w14:textId="22746950" w:rsidR="008015A5" w:rsidRDefault="00FB2F91" w:rsidP="008015A5">
            <w:pPr>
              <w:pStyle w:val="Normal1"/>
              <w:widowControl w:val="0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Share bathroom availability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 xml:space="preserve"> information </w:t>
            </w:r>
          </w:p>
          <w:p w14:paraId="62FD6074" w14:textId="4FFB2F5F" w:rsidR="00FB2F91" w:rsidRPr="008015A5" w:rsidRDefault="00FB2F91" w:rsidP="008015A5">
            <w:pPr>
              <w:pStyle w:val="Normal1"/>
              <w:widowControl w:val="0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15A5">
              <w:rPr>
                <w:rFonts w:ascii="Times New Roman" w:hAnsi="Times New Roman" w:cs="Times New Roman"/>
                <w:sz w:val="20"/>
                <w:szCs w:val="20"/>
              </w:rPr>
              <w:t xml:space="preserve">nclude relevant supplies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015A5">
              <w:rPr>
                <w:rFonts w:ascii="Times New Roman" w:hAnsi="Times New Roman" w:cs="Times New Roman"/>
                <w:sz w:val="20"/>
                <w:szCs w:val="20"/>
              </w:rPr>
              <w:t xml:space="preserve"> the packing list.</w:t>
            </w:r>
          </w:p>
        </w:tc>
      </w:tr>
      <w:tr w:rsidR="00FB2F91" w:rsidRPr="00DB7721" w14:paraId="3B7D7219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73B24E47" w14:textId="73A2CB40" w:rsidR="00FB2F91" w:rsidRPr="00DB7721" w:rsidRDefault="00FB2F91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Foo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d, Mealtimes, and Meal Prep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2EB9" w14:textId="61A8EA1F" w:rsidR="00FB2F91" w:rsidRP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Many autistic people are very sensitive to the textures and tastes of food, making it difficult or impossible to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simply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eat whatever food is provided.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Autistic people in particular, may find that it is easier to tolerate ‘hunger’ than to tolerate the sensory input of certain foods. This can lead to restricting intake. </w:t>
            </w:r>
          </w:p>
          <w:p w14:paraId="0C1DEF47" w14:textId="339E7DFB" w:rsid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Preparing Meals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: On trips where the students are responsible for their own food, autistic students may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 xml:space="preserve">struggle to share kitchen facilities with many others, or 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>not have a group of peers they feel comfortable joining to make meals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may struggle to buy and organize their food needs for the duration of the trip. </w:t>
            </w:r>
          </w:p>
          <w:p w14:paraId="0B5380BE" w14:textId="58B18304" w:rsidR="00FB2F91" w:rsidRP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Scheduling: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 Without a designated period in which to eat lunch, autistic students may struggle to know when to eat or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chose not to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 eat for fear of falling behind with work.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D98B" w14:textId="4F5245A5" w:rsidR="00FB2F91" w:rsidRPr="008015A5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8015A5">
              <w:rPr>
                <w:rFonts w:ascii="Times New Roman" w:hAnsi="Times New Roman" w:cs="Times New Roman"/>
                <w:sz w:val="20"/>
                <w:szCs w:val="20"/>
              </w:rPr>
              <w:t>Share the specific contents/plans for each meal with the class prior to the trip</w:t>
            </w:r>
            <w:r w:rsidR="008015A5" w:rsidRPr="008015A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015A5">
              <w:rPr>
                <w:rFonts w:ascii="Times New Roman" w:hAnsi="Times New Roman" w:cs="Times New Roman"/>
                <w:sz w:val="20"/>
                <w:szCs w:val="20"/>
              </w:rPr>
              <w:t>olicit suggestions for food</w:t>
            </w:r>
          </w:p>
          <w:p w14:paraId="6093FCB4" w14:textId="77777777" w:rsid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Plan for flexible meals that let each student ‘construct’ their own final dish. </w:t>
            </w:r>
          </w:p>
          <w:p w14:paraId="521A5EEA" w14:textId="78ED5DF1" w:rsid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Encourage students to bring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 xml:space="preserve">their own 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snacks; give examples of good and bad field snacks. This also gives the permission for students to determine whether/how they will need to supplement whatever food is being provided. </w:t>
            </w:r>
          </w:p>
          <w:p w14:paraId="6BEE5C23" w14:textId="583F1F95" w:rsidR="00FB2F9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On trips where students are responsible for their own food,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ensure meal plans and shopping lists are made before the trip</w:t>
            </w: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Provide examples</w:t>
            </w:r>
          </w:p>
          <w:p w14:paraId="6EE604AE" w14:textId="77777777" w:rsidR="008015A5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1">
              <w:rPr>
                <w:rFonts w:ascii="Times New Roman" w:hAnsi="Times New Roman" w:cs="Times New Roman"/>
                <w:sz w:val="20"/>
                <w:szCs w:val="20"/>
              </w:rPr>
              <w:t>Where feasible</w:t>
            </w:r>
            <w:r w:rsidR="008015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distribute students between multiple kitchen spaces </w:t>
            </w:r>
          </w:p>
          <w:p w14:paraId="6EFB5875" w14:textId="5BEB59EF" w:rsidR="00FB2F91" w:rsidRPr="00DB7721" w:rsidRDefault="00FB2F91" w:rsidP="008015A5">
            <w:pPr>
              <w:pStyle w:val="Normal1"/>
              <w:widowControl w:val="0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Designate a time in the day where the expectation is that everyone will stop working to eat lunch, drink water, etc. </w:t>
            </w:r>
          </w:p>
        </w:tc>
      </w:tr>
      <w:tr w:rsidR="00FB2F91" w:rsidRPr="00DB7721" w14:paraId="1A3C0F99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20CD062E" w14:textId="1896361A" w:rsidR="00FB2F91" w:rsidRPr="00DB7721" w:rsidRDefault="008015A5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Weather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D1B8" w14:textId="522034DB" w:rsidR="00DC3A2A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utistic students may be particularly sensitive to being wet or muddy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B66C11" w14:textId="38988894" w:rsidR="00DC3A2A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eing caught in unexpected or severe weather can be scary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9ACF23" w14:textId="4EBC797F" w:rsidR="00DC3A2A" w:rsidRDefault="00FB2F91" w:rsidP="00DC3A2A">
            <w:pPr>
              <w:pStyle w:val="Normal1"/>
              <w:widowControl w:val="0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It is common for autistic individuals to have impaired body temperature regulation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struggle to recognize when 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>to add or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 xml:space="preserve">remove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layers of clothing in the field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8EEAA5" w14:textId="2F8DCDE9" w:rsidR="00FB2F91" w:rsidRPr="00DB7721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may be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too anxious to ask everyone to wait for them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adjust layers or drink water.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6BA2" w14:textId="77777777" w:rsidR="00DC3A2A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 weather forecast ahead of time</w:t>
            </w:r>
          </w:p>
          <w:p w14:paraId="69C15B8B" w14:textId="77777777" w:rsidR="00DC3A2A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uggest appropriate gear and clothing</w:t>
            </w:r>
          </w:p>
          <w:p w14:paraId="0EDB36D5" w14:textId="4A7113B6" w:rsidR="00DC3A2A" w:rsidRDefault="00FB2F91" w:rsidP="00DC3A2A">
            <w:pPr>
              <w:pStyle w:val="Normal1"/>
              <w:widowControl w:val="0"/>
              <w:numPr>
                <w:ilvl w:val="0"/>
                <w:numId w:val="5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Provide specific information about accommodations and schedule: knowing when they will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 able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to get clean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dry can help an uncomfortable student stay focused on the task at hand, rather than on the fact that they are cold, wet, </w:t>
            </w:r>
            <w:r w:rsidR="00DC3A2A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muddy. </w:t>
            </w:r>
          </w:p>
          <w:p w14:paraId="43CC934F" w14:textId="52CC18E3" w:rsidR="00FB2F91" w:rsidRPr="00DB7721" w:rsidRDefault="00DC3A2A" w:rsidP="00DC3A2A">
            <w:pPr>
              <w:pStyle w:val="Normal1"/>
              <w:widowControl w:val="0"/>
              <w:numPr>
                <w:ilvl w:val="0"/>
                <w:numId w:val="5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ave regular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announced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-minute breaks 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everyone 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adjust layers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>have a drink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snack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without concern</w:t>
            </w:r>
            <w:r w:rsidR="00193D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of being left behind.</w:t>
            </w:r>
          </w:p>
        </w:tc>
      </w:tr>
      <w:tr w:rsidR="00FB2F91" w:rsidRPr="00DB7721" w14:paraId="4CE24BCD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74E471AE" w14:textId="6FE65019" w:rsidR="00FB2F91" w:rsidRPr="00DB7721" w:rsidRDefault="00193DE4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Visual processing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E1F1" w14:textId="68AEE41C" w:rsidR="00763491" w:rsidRDefault="00FB2F91" w:rsidP="00763491">
            <w:pPr>
              <w:pStyle w:val="Normal1"/>
              <w:widowControl w:val="0"/>
              <w:numPr>
                <w:ilvl w:val="0"/>
                <w:numId w:val="6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Some autistic individuals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see the world in “higher definition”, </w:t>
            </w:r>
            <w:r w:rsidR="006240C2">
              <w:rPr>
                <w:rFonts w:ascii="Times New Roman" w:hAnsi="Times New Roman" w:cs="Times New Roman"/>
                <w:sz w:val="20"/>
                <w:szCs w:val="20"/>
              </w:rPr>
              <w:t xml:space="preserve">observing and recording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extreme detail in outcrops whether or not those details are pertinent to the main problem they are at the outcrop to solve. </w:t>
            </w:r>
          </w:p>
          <w:p w14:paraId="0D2F2884" w14:textId="51E9173D" w:rsidR="00FB2F91" w:rsidRPr="00DB7721" w:rsidRDefault="00763491" w:rsidP="00763491">
            <w:pPr>
              <w:pStyle w:val="Normal1"/>
              <w:widowControl w:val="0"/>
              <w:numPr>
                <w:ilvl w:val="0"/>
                <w:numId w:val="6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 xml:space="preserve">ntense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visual information can 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overloaded and tire the autistic student more quickly.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5C08" w14:textId="04FD3E3F" w:rsidR="00193DE4" w:rsidRPr="00193DE4" w:rsidRDefault="00193DE4" w:rsidP="00193DE4">
            <w:pPr>
              <w:pStyle w:val="Normal1"/>
              <w:numPr>
                <w:ilvl w:val="0"/>
                <w:numId w:val="6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to arrival on the outcrop, p</w:t>
            </w:r>
            <w:r w:rsidRPr="00193DE4">
              <w:rPr>
                <w:rFonts w:ascii="Times New Roman" w:hAnsi="Times New Roman" w:cs="Times New Roman"/>
                <w:sz w:val="20"/>
                <w:szCs w:val="20"/>
              </w:rPr>
              <w:t>rime students about</w:t>
            </w:r>
            <w:r w:rsidR="00FB2F91" w:rsidRPr="00193DE4">
              <w:rPr>
                <w:rFonts w:ascii="Times New Roman" w:hAnsi="Times New Roman" w:cs="Times New Roman"/>
                <w:sz w:val="20"/>
                <w:szCs w:val="20"/>
              </w:rPr>
              <w:t xml:space="preserve"> potential observations to prepare for, what specifically to focus on, and what details can be ignored, </w:t>
            </w:r>
          </w:p>
          <w:p w14:paraId="653211D0" w14:textId="3DFDE5E5" w:rsidR="00FB2F91" w:rsidRPr="00DB7721" w:rsidRDefault="00FB2F91" w:rsidP="00193DE4">
            <w:pPr>
              <w:pStyle w:val="Normal1"/>
              <w:numPr>
                <w:ilvl w:val="0"/>
                <w:numId w:val="6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Include these focus questions/concepts in the field guide where possible. </w:t>
            </w:r>
          </w:p>
        </w:tc>
      </w:tr>
      <w:tr w:rsidR="00FB2F91" w:rsidRPr="00DB7721" w14:paraId="7034DBA4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02439BC2" w14:textId="14AC2419" w:rsidR="00FB2F91" w:rsidRPr="00DB7721" w:rsidRDefault="006240C2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Noise sensitivity/ Auditory processing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A3D" w14:textId="77777777" w:rsidR="006240C2" w:rsidRDefault="00FB2F91" w:rsidP="006240C2">
            <w:pPr>
              <w:pStyle w:val="Normal1"/>
              <w:widowControl w:val="0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Many autistics are hypersensitive to noises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particularly unfamiliar noises (e.g.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the sound of boots scuffing over dry rocks, rushing wind,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road noise,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or the sound of unfamiliar fabrics rubbing on each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, which can cause significant distress, pain, and contribute to overloading and shut-down. </w:t>
            </w:r>
          </w:p>
          <w:p w14:paraId="2082DF40" w14:textId="2F3D94FB" w:rsidR="00FB2F91" w:rsidRPr="00DB7721" w:rsidRDefault="00FB2F91" w:rsidP="006240C2">
            <w:pPr>
              <w:pStyle w:val="Normal1"/>
              <w:widowControl w:val="0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ifficulty filtering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input may make 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challenging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to hear, understand or process what is being said in the 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7728" w14:textId="77777777" w:rsidR="006240C2" w:rsidRDefault="00FB2F91" w:rsidP="006240C2">
            <w:pPr>
              <w:pStyle w:val="Normal1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6240C2">
              <w:rPr>
                <w:rFonts w:ascii="Times New Roman" w:hAnsi="Times New Roman" w:cs="Times New Roman"/>
                <w:sz w:val="20"/>
                <w:szCs w:val="20"/>
              </w:rPr>
              <w:t xml:space="preserve">Many noises in the field are unavoidable, but an awareness of their impact will go a long way to reducing an autistic person's anxiety. </w:t>
            </w:r>
          </w:p>
          <w:p w14:paraId="70C792BF" w14:textId="3355974F" w:rsidR="006240C2" w:rsidRDefault="00FB2F91" w:rsidP="006240C2">
            <w:pPr>
              <w:pStyle w:val="Normal1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6240C2">
              <w:rPr>
                <w:rFonts w:ascii="Times New Roman" w:hAnsi="Times New Roman" w:cs="Times New Roman"/>
                <w:sz w:val="20"/>
                <w:szCs w:val="20"/>
              </w:rPr>
              <w:t>When giving introductions, summaries, or having group discussions, ensure that only one person is talking at once, and pick a location that minimizes other distractions.</w:t>
            </w:r>
          </w:p>
          <w:p w14:paraId="56A417E0" w14:textId="7BAB2C18" w:rsidR="00FB2F91" w:rsidRPr="00DB7721" w:rsidRDefault="00FB2F91" w:rsidP="006240C2">
            <w:pPr>
              <w:pStyle w:val="Normal1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plugs or ear defenders may be beneficial (though not for everyone), and short breaks to recover from overstimulation should be allowed for.</w:t>
            </w:r>
          </w:p>
        </w:tc>
      </w:tr>
      <w:tr w:rsidR="00FB2F91" w:rsidRPr="00DB7721" w14:paraId="693ADE21" w14:textId="77777777" w:rsidTr="00FB2F91">
        <w:trPr>
          <w:cantSplit/>
          <w:trHeight w:val="1134"/>
        </w:trPr>
        <w:tc>
          <w:tcPr>
            <w:tcW w:w="620" w:type="dxa"/>
            <w:textDirection w:val="btLr"/>
          </w:tcPr>
          <w:p w14:paraId="046FCBAD" w14:textId="58E44DE2" w:rsidR="00FB2F91" w:rsidRPr="00DB7721" w:rsidRDefault="006240C2" w:rsidP="00FB2F91">
            <w:pPr>
              <w:pStyle w:val="Normal1"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b/>
                <w:sz w:val="20"/>
                <w:szCs w:val="20"/>
              </w:rPr>
              <w:t>Asking for help</w:t>
            </w:r>
          </w:p>
        </w:tc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F1D4" w14:textId="77777777" w:rsidR="00701EDC" w:rsidRPr="00701EDC" w:rsidRDefault="00FB2F91" w:rsidP="006240C2">
            <w:pPr>
              <w:pStyle w:val="Normal1"/>
              <w:widowControl w:val="0"/>
              <w:numPr>
                <w:ilvl w:val="0"/>
                <w:numId w:val="8"/>
              </w:numPr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Anxiety or the challenges involved with starting or maintaining a conversation means that some autistic individuals hugely struggle to self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advocate, particularly in real-time: </w:t>
            </w:r>
          </w:p>
          <w:p w14:paraId="36DB18AA" w14:textId="28DB7525" w:rsidR="00FB2F91" w:rsidRPr="00DB7721" w:rsidRDefault="00701EDC" w:rsidP="006240C2">
            <w:pPr>
              <w:pStyle w:val="Normal1"/>
              <w:widowControl w:val="0"/>
              <w:numPr>
                <w:ilvl w:val="0"/>
                <w:numId w:val="8"/>
              </w:numPr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 xml:space="preserve"> student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may not know </w:t>
            </w:r>
            <w:r w:rsidR="00FB2F91" w:rsidRPr="00DB7721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FB2F91" w:rsidRPr="00DB7721">
              <w:rPr>
                <w:rFonts w:ascii="Times New Roman" w:hAnsi="Times New Roman" w:cs="Times New Roman"/>
                <w:i/>
                <w:sz w:val="20"/>
                <w:szCs w:val="20"/>
              </w:rPr>
              <w:t>when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to ask for help, who 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to talk to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, or even </w:t>
            </w:r>
            <w:r w:rsidR="00FB2F91">
              <w:rPr>
                <w:rFonts w:ascii="Times New Roman" w:hAnsi="Times New Roman" w:cs="Times New Roman"/>
                <w:sz w:val="20"/>
                <w:szCs w:val="20"/>
              </w:rPr>
              <w:t>what to bring up to an instructor if it hasn’t been asked about specifically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EE55" w14:textId="33BE3AFE" w:rsidR="00701EDC" w:rsidRDefault="00FB2F91" w:rsidP="00701EDC">
            <w:pPr>
              <w:pStyle w:val="Normal1"/>
              <w:widowControl w:val="0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Assign a point of contact </w:t>
            </w:r>
            <w:r w:rsidR="00E64D90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the autistic student is familiar with (friend, teaching assistant, professor, support person)</w:t>
            </w:r>
            <w:r w:rsidR="00E64D90">
              <w:rPr>
                <w:rFonts w:ascii="Times New Roman" w:hAnsi="Times New Roman" w:cs="Times New Roman"/>
                <w:sz w:val="20"/>
                <w:szCs w:val="20"/>
              </w:rPr>
              <w:t>, who they can e</w:t>
            </w:r>
            <w:r w:rsidRPr="00701EDC">
              <w:rPr>
                <w:rFonts w:ascii="Times New Roman" w:hAnsi="Times New Roman" w:cs="Times New Roman"/>
                <w:sz w:val="20"/>
                <w:szCs w:val="20"/>
              </w:rPr>
              <w:t xml:space="preserve">xplicitly </w:t>
            </w:r>
            <w:r w:rsidR="00E64D90"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r w:rsidRPr="00701EDC">
              <w:rPr>
                <w:rFonts w:ascii="Times New Roman" w:hAnsi="Times New Roman" w:cs="Times New Roman"/>
                <w:sz w:val="20"/>
                <w:szCs w:val="20"/>
              </w:rPr>
              <w:t xml:space="preserve"> any concerns, questions, or comments </w:t>
            </w:r>
            <w:r w:rsidR="00E64D90">
              <w:rPr>
                <w:rFonts w:ascii="Times New Roman" w:hAnsi="Times New Roman" w:cs="Times New Roman"/>
                <w:sz w:val="20"/>
                <w:szCs w:val="20"/>
              </w:rPr>
              <w:t>with,</w:t>
            </w:r>
            <w:r w:rsidRPr="00701EDC">
              <w:rPr>
                <w:rFonts w:ascii="Times New Roman" w:hAnsi="Times New Roman" w:cs="Times New Roman"/>
                <w:sz w:val="20"/>
                <w:szCs w:val="20"/>
              </w:rPr>
              <w:t xml:space="preserve"> no matter how small or irrelevant they might seem.</w:t>
            </w:r>
          </w:p>
          <w:p w14:paraId="2592BFC6" w14:textId="0333F85D" w:rsidR="00E64D90" w:rsidRDefault="00FB2F91" w:rsidP="00701EDC">
            <w:pPr>
              <w:pStyle w:val="Normal1"/>
              <w:widowControl w:val="0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 w:rsidR="00E64D90">
              <w:rPr>
                <w:rFonts w:ascii="Times New Roman" w:hAnsi="Times New Roman" w:cs="Times New Roman"/>
                <w:sz w:val="20"/>
                <w:szCs w:val="20"/>
              </w:rPr>
              <w:t xml:space="preserve"> ample</w:t>
            </w:r>
            <w:r w:rsidR="00701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opportunities for students to ask questions both in a group setting and individually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</w:t>
            </w:r>
            <w:r w:rsidRPr="00DB7721">
              <w:rPr>
                <w:rFonts w:ascii="Times New Roman" w:hAnsi="Times New Roman" w:cs="Times New Roman"/>
                <w:sz w:val="20"/>
                <w:szCs w:val="20"/>
              </w:rPr>
              <w:t>ake it clear that this is an acceptable and expected thing to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4A6ACAA" w14:textId="19D430D8" w:rsidR="00FB2F91" w:rsidRPr="00DB7721" w:rsidRDefault="00E64D90" w:rsidP="00701EDC">
            <w:pPr>
              <w:pStyle w:val="Normal1"/>
              <w:widowControl w:val="0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Ex: </w:t>
            </w:r>
            <w:r w:rsidR="00FB2F91" w:rsidRPr="00DB7721">
              <w:rPr>
                <w:rFonts w:ascii="Times New Roman" w:hAnsi="Times New Roman" w:cs="Times New Roman"/>
                <w:sz w:val="20"/>
                <w:szCs w:val="20"/>
              </w:rPr>
              <w:t xml:space="preserve"> have each student write down a question, and then discuss their question with their neighbor or the professor or teaching assistant.</w:t>
            </w:r>
          </w:p>
        </w:tc>
      </w:tr>
    </w:tbl>
    <w:p w14:paraId="75DA461D" w14:textId="77777777" w:rsidR="0072125C" w:rsidRDefault="0072125C" w:rsidP="008C4F37"/>
    <w:sectPr w:rsidR="0072125C" w:rsidSect="00F11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14B9" w14:textId="77777777" w:rsidR="00F13717" w:rsidRDefault="00F13717" w:rsidP="00701EDC">
      <w:pPr>
        <w:spacing w:line="240" w:lineRule="auto"/>
      </w:pPr>
      <w:r>
        <w:separator/>
      </w:r>
    </w:p>
  </w:endnote>
  <w:endnote w:type="continuationSeparator" w:id="0">
    <w:p w14:paraId="227BAFB9" w14:textId="77777777" w:rsidR="00F13717" w:rsidRDefault="00F13717" w:rsidP="00701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A3A" w14:textId="77777777" w:rsidR="00516308" w:rsidRDefault="00516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3E5F" w14:textId="743C8A0A" w:rsidR="00516308" w:rsidRDefault="00BB19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88A309" wp14:editId="7AECBE7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e874b5dbdaff6d26e8bcdd0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76582" w14:textId="76C6A87D" w:rsidR="00BB19DB" w:rsidRPr="00BB19DB" w:rsidRDefault="00BB19DB" w:rsidP="00BB19D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B19D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8A309" id="_x0000_t202" coordsize="21600,21600" o:spt="202" path="m,l,21600r21600,l21600,xe">
              <v:stroke joinstyle="miter"/>
              <v:path gradientshapeok="t" o:connecttype="rect"/>
            </v:shapetype>
            <v:shape id="MSIPCM0e874b5dbdaff6d26e8bcdd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gk0sD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D176582" w14:textId="76C6A87D" w:rsidR="00BB19DB" w:rsidRPr="00BB19DB" w:rsidRDefault="00BB19DB" w:rsidP="00BB19D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B19D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BF79" w14:textId="05BFCAC1" w:rsidR="00516308" w:rsidRDefault="00BB19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D202B7" wp14:editId="69D10B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c4a347328db236731d4682d2" descr="{&quot;HashCode&quot;:1561593418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2EE97" w14:textId="4638BEB0" w:rsidR="00BB19DB" w:rsidRPr="00BB19DB" w:rsidRDefault="00BB19DB" w:rsidP="00BB19D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B19D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202B7" id="_x0000_t202" coordsize="21600,21600" o:spt="202" path="m,l,21600r21600,l21600,xe">
              <v:stroke joinstyle="miter"/>
              <v:path gradientshapeok="t" o:connecttype="rect"/>
            </v:shapetype>
            <v:shape id="MSIPCMc4a347328db236731d4682d2" o:spid="_x0000_s1027" type="#_x0000_t202" alt="{&quot;HashCode&quot;:1561593418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Wr2CiGgMAAEA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D72EE97" w14:textId="4638BEB0" w:rsidR="00BB19DB" w:rsidRPr="00BB19DB" w:rsidRDefault="00BB19DB" w:rsidP="00BB19D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B19D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F767" w14:textId="77777777" w:rsidR="00F13717" w:rsidRDefault="00F13717" w:rsidP="00701EDC">
      <w:pPr>
        <w:spacing w:line="240" w:lineRule="auto"/>
      </w:pPr>
      <w:r>
        <w:separator/>
      </w:r>
    </w:p>
  </w:footnote>
  <w:footnote w:type="continuationSeparator" w:id="0">
    <w:p w14:paraId="096AB169" w14:textId="77777777" w:rsidR="00F13717" w:rsidRDefault="00F13717" w:rsidP="00701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F312" w14:textId="77777777" w:rsidR="00516308" w:rsidRDefault="00516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4D48" w14:textId="77777777" w:rsidR="00516308" w:rsidRDefault="00516308" w:rsidP="0051630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ESM to Kingsbury et al (2020): </w:t>
    </w:r>
    <w:r w:rsidRPr="00516308">
      <w:rPr>
        <w:rFonts w:ascii="Times New Roman" w:hAnsi="Times New Roman" w:cs="Times New Roman"/>
        <w:i/>
        <w:iCs/>
      </w:rPr>
      <w:t>“Nothing about us without us:” The perspectives of Autistic geoscientists on inclusive instructional practices in geoscience education</w:t>
    </w:r>
    <w:r>
      <w:rPr>
        <w:rFonts w:ascii="Times New Roman" w:hAnsi="Times New Roman" w:cs="Times New Roman"/>
      </w:rPr>
      <w:t>. Journal of Geoscience Education</w:t>
    </w:r>
  </w:p>
  <w:p w14:paraId="57F0FE31" w14:textId="77777777" w:rsidR="008C4F37" w:rsidRDefault="008C4F37">
    <w:pPr>
      <w:pStyle w:val="Header"/>
      <w:rPr>
        <w:rFonts w:ascii="Times New Roman" w:hAnsi="Times New Roman" w:cs="Times New Roman"/>
      </w:rPr>
    </w:pPr>
  </w:p>
  <w:p w14:paraId="03B169F4" w14:textId="389FC510" w:rsidR="00E64D90" w:rsidRPr="002A5A38" w:rsidRDefault="00587E10">
    <w:pPr>
      <w:pStyle w:val="Header"/>
      <w:rPr>
        <w:i/>
        <w:iCs/>
      </w:rPr>
    </w:pPr>
    <w:r w:rsidRPr="002A5A38">
      <w:rPr>
        <w:rFonts w:ascii="Times New Roman" w:hAnsi="Times New Roman" w:cs="Times New Roman"/>
        <w:i/>
        <w:iCs/>
      </w:rPr>
      <w:t xml:space="preserve">Challenges Autistic individuals may experience in the field, and potential solutions to these issues </w:t>
    </w:r>
    <w:r w:rsidR="00E64D90" w:rsidRPr="002A5A38">
      <w:rPr>
        <w:rFonts w:ascii="Times New Roman" w:hAnsi="Times New Roman" w:cs="Times New Roman"/>
        <w:i/>
        <w:iCs/>
      </w:rPr>
      <w:t>(cont)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4C2A" w14:textId="2BD60D62" w:rsidR="00F11152" w:rsidRDefault="00E64D9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ESM to Kingsbury et al (2020): </w:t>
    </w:r>
    <w:r w:rsidRPr="00516308">
      <w:rPr>
        <w:rFonts w:ascii="Times New Roman" w:hAnsi="Times New Roman" w:cs="Times New Roman"/>
        <w:i/>
        <w:iCs/>
      </w:rPr>
      <w:t>“Nothing about us without us:” The perspectives of Autistic geoscientists on inclusive instructional practices in geoscience education</w:t>
    </w:r>
    <w:r w:rsidR="00516308">
      <w:rPr>
        <w:rFonts w:ascii="Times New Roman" w:hAnsi="Times New Roman" w:cs="Times New Roman"/>
      </w:rPr>
      <w:t>. Journal of Geoscience Education</w:t>
    </w:r>
  </w:p>
  <w:p w14:paraId="0631DD24" w14:textId="41FD6F91" w:rsidR="00F11152" w:rsidRDefault="00F11152">
    <w:pPr>
      <w:pStyle w:val="Header"/>
      <w:rPr>
        <w:rFonts w:ascii="Times New Roman" w:hAnsi="Times New Roman" w:cs="Times New Roman"/>
      </w:rPr>
    </w:pPr>
  </w:p>
  <w:p w14:paraId="32ADDE13" w14:textId="532D54EB" w:rsidR="00F11152" w:rsidRPr="002A5A38" w:rsidRDefault="00F11152">
    <w:pPr>
      <w:pStyle w:val="Header"/>
      <w:rPr>
        <w:i/>
        <w:iCs/>
      </w:rPr>
    </w:pPr>
    <w:r w:rsidRPr="002A5A38">
      <w:rPr>
        <w:rFonts w:ascii="Times New Roman" w:hAnsi="Times New Roman" w:cs="Times New Roman"/>
        <w:i/>
        <w:iCs/>
      </w:rPr>
      <w:t>Challenges Autistic individuals may experience in the field, and potential solutions to these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674"/>
    <w:multiLevelType w:val="hybridMultilevel"/>
    <w:tmpl w:val="16F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B61"/>
    <w:multiLevelType w:val="hybridMultilevel"/>
    <w:tmpl w:val="ACA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B3D"/>
    <w:multiLevelType w:val="hybridMultilevel"/>
    <w:tmpl w:val="919A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C09"/>
    <w:multiLevelType w:val="hybridMultilevel"/>
    <w:tmpl w:val="9BBA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F38"/>
    <w:multiLevelType w:val="hybridMultilevel"/>
    <w:tmpl w:val="7EE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DE1"/>
    <w:multiLevelType w:val="hybridMultilevel"/>
    <w:tmpl w:val="3AA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2626"/>
    <w:multiLevelType w:val="hybridMultilevel"/>
    <w:tmpl w:val="B55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15FD1"/>
    <w:multiLevelType w:val="hybridMultilevel"/>
    <w:tmpl w:val="92B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E7"/>
    <w:rsid w:val="00026DB8"/>
    <w:rsid w:val="0015399B"/>
    <w:rsid w:val="00193DE4"/>
    <w:rsid w:val="002A5A38"/>
    <w:rsid w:val="00516308"/>
    <w:rsid w:val="00587E10"/>
    <w:rsid w:val="00610AA6"/>
    <w:rsid w:val="00612FE7"/>
    <w:rsid w:val="006240C2"/>
    <w:rsid w:val="00701EDC"/>
    <w:rsid w:val="0072125C"/>
    <w:rsid w:val="00763491"/>
    <w:rsid w:val="008015A5"/>
    <w:rsid w:val="008C4F37"/>
    <w:rsid w:val="00B05929"/>
    <w:rsid w:val="00BB19DB"/>
    <w:rsid w:val="00C348FC"/>
    <w:rsid w:val="00CB2032"/>
    <w:rsid w:val="00DC3A2A"/>
    <w:rsid w:val="00E64D90"/>
    <w:rsid w:val="00F11152"/>
    <w:rsid w:val="00F13717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775D2"/>
  <w15:docId w15:val="{5AB0A4EB-E5DC-4AC7-B55C-BC2951B4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F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FE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A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701E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D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01E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D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Sibert, Elizabeth</dc:creator>
  <cp:keywords/>
  <dc:description/>
  <cp:lastModifiedBy>Cutler, Lea</cp:lastModifiedBy>
  <cp:revision>2</cp:revision>
  <cp:lastPrinted>2020-03-03T13:40:00Z</cp:lastPrinted>
  <dcterms:created xsi:type="dcterms:W3CDTF">2020-05-21T15:18:00Z</dcterms:created>
  <dcterms:modified xsi:type="dcterms:W3CDTF">2020-05-21T15:18:00Z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Lea.cutler@informa.com</vt:lpwstr>
  </property>
  <property fmtid="{D5CDD505-2E9C-101B-9397-08002B2CF9AE}" pid="5" name="MSIP_Label_181c070e-054b-4d1c-ba4c-fc70b099192e_SetDate">
    <vt:lpwstr>2020-05-21T15:18:02.2558237Z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8e628643-d3c3-439b-8f78-a926252598b8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Lea.cutler@informa.com</vt:lpwstr>
  </property>
  <property fmtid="{D5CDD505-2E9C-101B-9397-08002B2CF9AE}" pid="13" name="MSIP_Label_2bbab825-a111-45e4-86a1-18cee0005896_SetDate">
    <vt:lpwstr>2020-05-21T15:18:02.2558237Z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8e628643-d3c3-439b-8f78-a926252598b8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