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B6EBB" w14:textId="77777777" w:rsidR="000D73C3" w:rsidRPr="00B605EF" w:rsidRDefault="000D73C3" w:rsidP="000D73C3">
      <w:pPr>
        <w:spacing w:after="0" w:line="360" w:lineRule="auto"/>
        <w:jc w:val="center"/>
        <w:rPr>
          <w:rFonts w:ascii="Times New Roman" w:hAnsi="Times New Roman"/>
          <w:b/>
          <w:sz w:val="28"/>
          <w:szCs w:val="28"/>
          <w:lang w:val="en-GB"/>
        </w:rPr>
      </w:pPr>
      <w:r w:rsidRPr="00B605EF">
        <w:rPr>
          <w:rFonts w:ascii="Times New Roman" w:hAnsi="Times New Roman"/>
          <w:b/>
          <w:sz w:val="28"/>
          <w:szCs w:val="28"/>
          <w:lang w:val="en-US"/>
        </w:rPr>
        <w:t xml:space="preserve">Biological and molecular modeling studies on some transition </w:t>
      </w:r>
      <w:proofErr w:type="gramStart"/>
      <w:r w:rsidRPr="00B605EF">
        <w:rPr>
          <w:rFonts w:ascii="Times New Roman" w:hAnsi="Times New Roman"/>
          <w:b/>
          <w:sz w:val="28"/>
          <w:szCs w:val="28"/>
          <w:lang w:val="en-US"/>
        </w:rPr>
        <w:t>metal(</w:t>
      </w:r>
      <w:proofErr w:type="gramEnd"/>
      <w:r w:rsidRPr="00B605EF">
        <w:rPr>
          <w:rFonts w:ascii="Times New Roman" w:hAnsi="Times New Roman"/>
          <w:b/>
          <w:sz w:val="28"/>
          <w:szCs w:val="28"/>
          <w:lang w:val="en-US"/>
        </w:rPr>
        <w:t>II) complexes of a Quinoxaline based ONO donor bishydrazone ligand</w:t>
      </w:r>
    </w:p>
    <w:p w14:paraId="31F3D1CD" w14:textId="77777777" w:rsidR="000D73C3" w:rsidRPr="00B605EF" w:rsidRDefault="000D73C3" w:rsidP="000D73C3">
      <w:pPr>
        <w:pStyle w:val="AuthorsStyle"/>
        <w:spacing w:line="360" w:lineRule="auto"/>
        <w:rPr>
          <w:bCs/>
          <w:caps w:val="0"/>
          <w:sz w:val="12"/>
          <w:szCs w:val="8"/>
          <w:lang w:val="en-US"/>
        </w:rPr>
      </w:pPr>
    </w:p>
    <w:p w14:paraId="71C48574" w14:textId="77777777" w:rsidR="000D73C3" w:rsidRPr="00567123" w:rsidRDefault="000D73C3" w:rsidP="000D73C3">
      <w:pPr>
        <w:pStyle w:val="AuthorsStyle"/>
        <w:spacing w:line="360" w:lineRule="auto"/>
        <w:rPr>
          <w:caps w:val="0"/>
          <w:sz w:val="28"/>
          <w:szCs w:val="28"/>
        </w:rPr>
      </w:pPr>
      <w:proofErr w:type="spellStart"/>
      <w:r w:rsidRPr="00567123">
        <w:rPr>
          <w:bCs/>
          <w:caps w:val="0"/>
          <w:sz w:val="28"/>
          <w:szCs w:val="22"/>
          <w:lang w:val="en-US"/>
        </w:rPr>
        <w:t>Jijo</w:t>
      </w:r>
      <w:proofErr w:type="spellEnd"/>
      <w:r w:rsidRPr="00567123">
        <w:rPr>
          <w:bCs/>
          <w:caps w:val="0"/>
          <w:sz w:val="28"/>
          <w:szCs w:val="22"/>
          <w:lang w:val="en-US"/>
        </w:rPr>
        <w:t xml:space="preserve"> Johnson </w:t>
      </w:r>
      <w:r w:rsidRPr="00567123">
        <w:rPr>
          <w:bCs/>
          <w:caps w:val="0"/>
          <w:sz w:val="28"/>
          <w:szCs w:val="22"/>
          <w:vertAlign w:val="superscript"/>
          <w:lang w:val="en-US"/>
        </w:rPr>
        <w:t>a*</w:t>
      </w:r>
      <w:r w:rsidRPr="00567123">
        <w:rPr>
          <w:bCs/>
          <w:caps w:val="0"/>
          <w:sz w:val="28"/>
          <w:szCs w:val="22"/>
          <w:lang w:val="en-US"/>
        </w:rPr>
        <w:t xml:space="preserve">, </w:t>
      </w:r>
      <w:proofErr w:type="spellStart"/>
      <w:r w:rsidRPr="00567123">
        <w:rPr>
          <w:bCs/>
          <w:caps w:val="0"/>
          <w:sz w:val="28"/>
          <w:szCs w:val="22"/>
          <w:lang w:val="en-US"/>
        </w:rPr>
        <w:t>Chellaian</w:t>
      </w:r>
      <w:proofErr w:type="spellEnd"/>
      <w:r w:rsidRPr="00567123">
        <w:rPr>
          <w:bCs/>
          <w:caps w:val="0"/>
          <w:sz w:val="28"/>
          <w:szCs w:val="22"/>
          <w:lang w:val="en-US"/>
        </w:rPr>
        <w:t xml:space="preserve"> Justin </w:t>
      </w:r>
      <w:proofErr w:type="spellStart"/>
      <w:r w:rsidRPr="00567123">
        <w:rPr>
          <w:bCs/>
          <w:caps w:val="0"/>
          <w:sz w:val="28"/>
          <w:szCs w:val="22"/>
          <w:lang w:val="en-US"/>
        </w:rPr>
        <w:t>Dhanaraj</w:t>
      </w:r>
      <w:proofErr w:type="spellEnd"/>
      <w:r w:rsidRPr="00567123">
        <w:rPr>
          <w:bCs/>
          <w:caps w:val="0"/>
          <w:sz w:val="28"/>
          <w:szCs w:val="22"/>
          <w:lang w:val="en-US"/>
        </w:rPr>
        <w:t xml:space="preserve"> </w:t>
      </w:r>
      <w:r w:rsidRPr="00567123">
        <w:rPr>
          <w:bCs/>
          <w:caps w:val="0"/>
          <w:sz w:val="28"/>
          <w:szCs w:val="22"/>
          <w:vertAlign w:val="superscript"/>
          <w:lang w:val="en-US"/>
        </w:rPr>
        <w:t>b*</w:t>
      </w:r>
      <w:r w:rsidRPr="00567123">
        <w:rPr>
          <w:caps w:val="0"/>
          <w:sz w:val="28"/>
          <w:szCs w:val="28"/>
        </w:rPr>
        <w:t xml:space="preserve"> </w:t>
      </w:r>
    </w:p>
    <w:p w14:paraId="1B40A722" w14:textId="77777777" w:rsidR="000D73C3" w:rsidRPr="00567123" w:rsidRDefault="000D73C3" w:rsidP="000D73C3">
      <w:pPr>
        <w:pStyle w:val="AuthorsStyle"/>
        <w:spacing w:line="360" w:lineRule="auto"/>
        <w:rPr>
          <w:bCs/>
          <w:caps w:val="0"/>
          <w:sz w:val="12"/>
          <w:szCs w:val="8"/>
          <w:lang w:val="en-US"/>
        </w:rPr>
      </w:pPr>
    </w:p>
    <w:p w14:paraId="1A587DB9" w14:textId="77777777" w:rsidR="000D73C3" w:rsidRPr="00567123" w:rsidRDefault="000D73C3" w:rsidP="000D73C3">
      <w:pPr>
        <w:pStyle w:val="AffiliationStyle"/>
        <w:spacing w:line="360" w:lineRule="auto"/>
        <w:jc w:val="left"/>
        <w:rPr>
          <w:i w:val="0"/>
          <w:lang w:val="en-US"/>
        </w:rPr>
      </w:pPr>
      <w:r w:rsidRPr="00567123">
        <w:rPr>
          <w:i w:val="0"/>
          <w:lang w:val="en-US"/>
        </w:rPr>
        <w:t xml:space="preserve"> </w:t>
      </w:r>
      <w:r w:rsidRPr="00567123">
        <w:rPr>
          <w:i w:val="0"/>
          <w:vertAlign w:val="superscript"/>
          <w:lang w:val="en-US"/>
        </w:rPr>
        <w:t>a</w:t>
      </w:r>
      <w:r w:rsidRPr="00567123">
        <w:rPr>
          <w:iCs/>
          <w:lang w:val="en-US"/>
        </w:rPr>
        <w:t xml:space="preserve"> </w:t>
      </w:r>
      <w:r w:rsidRPr="00567123">
        <w:rPr>
          <w:i w:val="0"/>
          <w:lang w:val="en-US"/>
        </w:rPr>
        <w:t xml:space="preserve">Department of Chemistry, </w:t>
      </w:r>
      <w:proofErr w:type="spellStart"/>
      <w:r w:rsidRPr="00567123">
        <w:rPr>
          <w:i w:val="0"/>
          <w:lang w:val="en-US"/>
        </w:rPr>
        <w:t>Santhom</w:t>
      </w:r>
      <w:proofErr w:type="spellEnd"/>
      <w:r w:rsidRPr="00567123">
        <w:rPr>
          <w:i w:val="0"/>
          <w:lang w:val="en-US"/>
        </w:rPr>
        <w:t xml:space="preserve"> Malankara Arts &amp; Science College, </w:t>
      </w:r>
      <w:proofErr w:type="spellStart"/>
      <w:r w:rsidRPr="00567123">
        <w:rPr>
          <w:i w:val="0"/>
          <w:lang w:val="en-US"/>
        </w:rPr>
        <w:t>Edanji</w:t>
      </w:r>
      <w:proofErr w:type="spellEnd"/>
      <w:r w:rsidRPr="00567123">
        <w:rPr>
          <w:i w:val="0"/>
          <w:lang w:val="en-US"/>
        </w:rPr>
        <w:t>, Thiruvananthapuram -695 503, Kerala, India</w:t>
      </w:r>
    </w:p>
    <w:p w14:paraId="423C1B9A" w14:textId="77777777" w:rsidR="000D73C3" w:rsidRDefault="000D73C3" w:rsidP="000D73C3">
      <w:pPr>
        <w:pStyle w:val="AffiliationStyle"/>
        <w:spacing w:line="360" w:lineRule="auto"/>
        <w:jc w:val="left"/>
        <w:rPr>
          <w:i w:val="0"/>
          <w:lang w:val="en-US"/>
        </w:rPr>
      </w:pPr>
      <w:r w:rsidRPr="00567123">
        <w:rPr>
          <w:i w:val="0"/>
          <w:vertAlign w:val="superscript"/>
          <w:lang w:val="en-US"/>
        </w:rPr>
        <w:t xml:space="preserve"> b</w:t>
      </w:r>
      <w:r w:rsidRPr="00567123">
        <w:rPr>
          <w:i w:val="0"/>
          <w:lang w:val="en-US"/>
        </w:rPr>
        <w:t xml:space="preserve"> Department of Chemistry, University College of Engineering, Nagercoil, </w:t>
      </w:r>
      <w:proofErr w:type="spellStart"/>
      <w:r w:rsidRPr="00567123">
        <w:rPr>
          <w:i w:val="0"/>
          <w:lang w:val="en-US"/>
        </w:rPr>
        <w:t>Konam</w:t>
      </w:r>
      <w:proofErr w:type="spellEnd"/>
      <w:r w:rsidRPr="00567123">
        <w:rPr>
          <w:i w:val="0"/>
          <w:lang w:val="en-US"/>
        </w:rPr>
        <w:t xml:space="preserve">, </w:t>
      </w:r>
    </w:p>
    <w:p w14:paraId="4FDBE8CA" w14:textId="7BB0A1CC" w:rsidR="000D73C3" w:rsidRPr="00567123" w:rsidRDefault="000D73C3" w:rsidP="000D73C3">
      <w:pPr>
        <w:pStyle w:val="AffiliationStyle"/>
        <w:spacing w:line="360" w:lineRule="auto"/>
        <w:jc w:val="left"/>
        <w:rPr>
          <w:i w:val="0"/>
          <w:lang w:val="en-US"/>
        </w:rPr>
      </w:pPr>
      <w:r w:rsidRPr="00567123">
        <w:rPr>
          <w:i w:val="0"/>
          <w:lang w:val="en-US"/>
        </w:rPr>
        <w:t>Nagercoil</w:t>
      </w:r>
      <w:r>
        <w:rPr>
          <w:i w:val="0"/>
          <w:lang w:val="en-US"/>
        </w:rPr>
        <w:t xml:space="preserve"> -</w:t>
      </w:r>
      <w:r w:rsidRPr="00567123">
        <w:rPr>
          <w:i w:val="0"/>
          <w:lang w:val="en-US"/>
        </w:rPr>
        <w:t xml:space="preserve"> 629 004, Tamil Nadu, India</w:t>
      </w:r>
    </w:p>
    <w:p w14:paraId="427E6B45" w14:textId="77777777" w:rsidR="000D73C3" w:rsidRPr="00567123" w:rsidRDefault="000D73C3" w:rsidP="000D73C3">
      <w:pPr>
        <w:spacing w:after="0" w:line="360" w:lineRule="auto"/>
        <w:rPr>
          <w:rFonts w:ascii="Times New Roman" w:hAnsi="Times New Roman"/>
        </w:rPr>
      </w:pPr>
    </w:p>
    <w:p w14:paraId="06E60066" w14:textId="77777777" w:rsidR="000D73C3" w:rsidRPr="00B605EF" w:rsidRDefault="000D73C3" w:rsidP="000D73C3">
      <w:pPr>
        <w:spacing w:after="0" w:line="360" w:lineRule="auto"/>
        <w:rPr>
          <w:rFonts w:ascii="Times New Roman" w:hAnsi="Times New Roman"/>
          <w:lang w:val="en-US"/>
        </w:rPr>
      </w:pPr>
      <w:r w:rsidRPr="00567123">
        <w:rPr>
          <w:rFonts w:ascii="Times New Roman" w:hAnsi="Times New Roman"/>
        </w:rPr>
        <w:t xml:space="preserve">*Corresponding author. E-mail: </w:t>
      </w:r>
      <w:r w:rsidRPr="00567123">
        <w:rPr>
          <w:rFonts w:ascii="Times New Roman" w:hAnsi="Times New Roman"/>
          <w:lang w:val="en-US"/>
        </w:rPr>
        <w:t>jijo.n.johnson@gmail.com</w:t>
      </w:r>
    </w:p>
    <w:p w14:paraId="274FAB17" w14:textId="77777777" w:rsidR="00422E30" w:rsidRPr="002224C4" w:rsidRDefault="00422E30" w:rsidP="002224C4">
      <w:pPr>
        <w:spacing w:line="360" w:lineRule="auto"/>
        <w:rPr>
          <w:rFonts w:ascii="Times New Roman" w:hAnsi="Times New Roman"/>
        </w:rPr>
      </w:pPr>
    </w:p>
    <w:p w14:paraId="36634CED" w14:textId="510C1B5F" w:rsidR="002224C4" w:rsidRPr="00C63222" w:rsidRDefault="002224C4" w:rsidP="002224C4">
      <w:pPr>
        <w:spacing w:line="360" w:lineRule="auto"/>
        <w:jc w:val="center"/>
        <w:rPr>
          <w:rFonts w:ascii="Times New Roman" w:hAnsi="Times New Roman"/>
          <w:sz w:val="24"/>
          <w:u w:val="single"/>
        </w:rPr>
      </w:pPr>
      <w:r w:rsidRPr="00C63222">
        <w:rPr>
          <w:rFonts w:ascii="Times New Roman" w:hAnsi="Times New Roman"/>
          <w:sz w:val="24"/>
          <w:u w:val="single"/>
        </w:rPr>
        <w:t xml:space="preserve">SUPPLEMENTARY </w:t>
      </w:r>
      <w:r w:rsidR="00C63222" w:rsidRPr="00C63222">
        <w:rPr>
          <w:rFonts w:ascii="Times New Roman" w:hAnsi="Times New Roman"/>
          <w:sz w:val="24"/>
          <w:u w:val="single"/>
        </w:rPr>
        <w:t>INFORMATION FILE</w:t>
      </w:r>
    </w:p>
    <w:p w14:paraId="1A8AE316" w14:textId="77777777" w:rsidR="002224C4" w:rsidRPr="009A75EA" w:rsidRDefault="002224C4" w:rsidP="002224C4">
      <w:pPr>
        <w:pStyle w:val="TextStyle"/>
        <w:spacing w:line="360" w:lineRule="auto"/>
        <w:ind w:firstLine="0"/>
        <w:rPr>
          <w:b/>
          <w:bCs/>
          <w:i/>
          <w:lang w:val="en-US"/>
        </w:rPr>
      </w:pPr>
      <w:r w:rsidRPr="009A75EA">
        <w:rPr>
          <w:b/>
          <w:bCs/>
          <w:i/>
          <w:lang w:val="en-US"/>
        </w:rPr>
        <w:t>Biological studies</w:t>
      </w:r>
    </w:p>
    <w:p w14:paraId="5D36854D" w14:textId="77777777" w:rsidR="002224C4" w:rsidRPr="009A75EA" w:rsidRDefault="002224C4" w:rsidP="002224C4">
      <w:pPr>
        <w:pStyle w:val="TextStyle"/>
        <w:spacing w:line="360" w:lineRule="auto"/>
        <w:ind w:firstLine="0"/>
        <w:rPr>
          <w:b/>
          <w:bCs/>
          <w:i/>
          <w:lang w:val="en-US"/>
        </w:rPr>
      </w:pPr>
      <w:r w:rsidRPr="009A75EA">
        <w:rPr>
          <w:b/>
          <w:bCs/>
          <w:i/>
          <w:lang w:val="en-US"/>
        </w:rPr>
        <w:t>In vitro antimicrobial activity screening</w:t>
      </w:r>
    </w:p>
    <w:p w14:paraId="0FA4D1AA" w14:textId="77777777" w:rsidR="002224C4" w:rsidRPr="002224C4" w:rsidRDefault="002224C4" w:rsidP="009A75EA">
      <w:pPr>
        <w:pStyle w:val="TextStyle"/>
        <w:spacing w:line="360" w:lineRule="auto"/>
        <w:ind w:firstLine="720"/>
        <w:rPr>
          <w:lang w:val="en-US"/>
        </w:rPr>
      </w:pPr>
      <w:r w:rsidRPr="002224C4">
        <w:rPr>
          <w:i/>
          <w:lang w:val="en-US"/>
        </w:rPr>
        <w:t>In vitro</w:t>
      </w:r>
      <w:r w:rsidRPr="002224C4">
        <w:rPr>
          <w:lang w:val="en-US"/>
        </w:rPr>
        <w:t xml:space="preserve"> antibacterial and antifungal activities of the ligand and its complexes were tested against the bacterial species </w:t>
      </w:r>
      <w:r w:rsidRPr="002224C4">
        <w:rPr>
          <w:i/>
          <w:lang w:val="en-US"/>
        </w:rPr>
        <w:t xml:space="preserve">S. aureus, E. coli </w:t>
      </w:r>
      <w:r w:rsidRPr="002224C4">
        <w:rPr>
          <w:lang w:val="en-US"/>
        </w:rPr>
        <w:t xml:space="preserve">and </w:t>
      </w:r>
      <w:r w:rsidRPr="002224C4">
        <w:rPr>
          <w:i/>
          <w:lang w:val="en-US"/>
        </w:rPr>
        <w:t>P. aeruginosa;</w:t>
      </w:r>
      <w:r w:rsidRPr="002224C4">
        <w:rPr>
          <w:lang w:val="en-US"/>
        </w:rPr>
        <w:t xml:space="preserve"> </w:t>
      </w:r>
      <w:proofErr w:type="gramStart"/>
      <w:r w:rsidRPr="002224C4">
        <w:rPr>
          <w:lang w:val="en-US"/>
        </w:rPr>
        <w:t>also</w:t>
      </w:r>
      <w:proofErr w:type="gramEnd"/>
      <w:r w:rsidRPr="002224C4">
        <w:rPr>
          <w:lang w:val="en-US"/>
        </w:rPr>
        <w:t xml:space="preserve"> the</w:t>
      </w:r>
      <w:r w:rsidRPr="002224C4">
        <w:rPr>
          <w:i/>
          <w:lang w:val="en-US"/>
        </w:rPr>
        <w:t xml:space="preserve"> </w:t>
      </w:r>
      <w:r w:rsidRPr="002224C4">
        <w:rPr>
          <w:lang w:val="en-US"/>
        </w:rPr>
        <w:t>fungal species,</w:t>
      </w:r>
      <w:r w:rsidRPr="002224C4">
        <w:rPr>
          <w:i/>
          <w:lang w:val="en-US"/>
        </w:rPr>
        <w:t xml:space="preserve"> A. flavus, A. </w:t>
      </w:r>
      <w:proofErr w:type="spellStart"/>
      <w:r w:rsidRPr="002224C4">
        <w:rPr>
          <w:i/>
          <w:lang w:val="en-US"/>
        </w:rPr>
        <w:t>niger</w:t>
      </w:r>
      <w:proofErr w:type="spellEnd"/>
      <w:r w:rsidRPr="002224C4">
        <w:rPr>
          <w:lang w:val="en-US"/>
        </w:rPr>
        <w:t xml:space="preserve"> and</w:t>
      </w:r>
      <w:r w:rsidRPr="002224C4">
        <w:rPr>
          <w:i/>
          <w:lang w:val="en-US"/>
        </w:rPr>
        <w:t xml:space="preserve"> C. albicans, </w:t>
      </w:r>
      <w:r w:rsidRPr="002224C4">
        <w:rPr>
          <w:lang w:val="en-US"/>
        </w:rPr>
        <w:t>by disc diffu</w:t>
      </w:r>
      <w:r>
        <w:rPr>
          <w:lang w:val="en-US"/>
        </w:rPr>
        <w:t>sion method</w:t>
      </w:r>
      <w:r w:rsidRPr="002224C4">
        <w:rPr>
          <w:lang w:val="en-US"/>
        </w:rPr>
        <w:t xml:space="preserve">. Chloramphenicol and Nystatin were used as standard antibacterial and antifungal agents. The test organisms were grown on nutrient agar (Muller Hinton agar for bacteria and </w:t>
      </w:r>
      <w:proofErr w:type="spellStart"/>
      <w:r w:rsidRPr="002224C4">
        <w:rPr>
          <w:lang w:val="en-US"/>
        </w:rPr>
        <w:t>antimytotic</w:t>
      </w:r>
      <w:proofErr w:type="spellEnd"/>
      <w:r w:rsidRPr="002224C4">
        <w:rPr>
          <w:lang w:val="en-US"/>
        </w:rPr>
        <w:t xml:space="preserve"> agar for fungi) medium in petri plates. The compounds were prepared in DMF and soaked in filter paper disc of 5 mm diameter and 1 mm thickness. The discs were placed on the previously seeded plates and incubated at 37 </w:t>
      </w:r>
      <w:proofErr w:type="spellStart"/>
      <w:r w:rsidRPr="002224C4">
        <w:rPr>
          <w:vertAlign w:val="superscript"/>
          <w:lang w:val="en-US"/>
        </w:rPr>
        <w:t>o</w:t>
      </w:r>
      <w:r w:rsidRPr="002224C4">
        <w:rPr>
          <w:lang w:val="en-US"/>
        </w:rPr>
        <w:t>C.</w:t>
      </w:r>
      <w:proofErr w:type="spellEnd"/>
      <w:r w:rsidRPr="002224C4">
        <w:rPr>
          <w:lang w:val="en-US"/>
        </w:rPr>
        <w:t xml:space="preserve"> The diameter of inhibition zone around each disc was measured after 24 h for bacterial and 72 h for fungal species.</w:t>
      </w:r>
    </w:p>
    <w:p w14:paraId="410C0F72" w14:textId="77777777" w:rsidR="002224C4" w:rsidRPr="002224C4" w:rsidRDefault="002224C4" w:rsidP="002224C4">
      <w:pPr>
        <w:pStyle w:val="TextStyle"/>
        <w:spacing w:line="360" w:lineRule="auto"/>
        <w:rPr>
          <w:lang w:val="en-US"/>
        </w:rPr>
      </w:pPr>
    </w:p>
    <w:p w14:paraId="06B95418" w14:textId="77777777" w:rsidR="002224C4" w:rsidRPr="009A75EA" w:rsidRDefault="002224C4" w:rsidP="002224C4">
      <w:pPr>
        <w:pStyle w:val="TextStyle"/>
        <w:spacing w:line="360" w:lineRule="auto"/>
        <w:ind w:firstLine="0"/>
        <w:rPr>
          <w:b/>
          <w:bCs/>
          <w:i/>
          <w:lang w:val="en-US"/>
        </w:rPr>
      </w:pPr>
      <w:r w:rsidRPr="009A75EA">
        <w:rPr>
          <w:b/>
          <w:bCs/>
          <w:i/>
          <w:lang w:val="en-US"/>
        </w:rPr>
        <w:t>Electronic absorption titrations</w:t>
      </w:r>
    </w:p>
    <w:p w14:paraId="0EDBE1BB" w14:textId="77777777" w:rsidR="002224C4" w:rsidRPr="002224C4" w:rsidRDefault="002224C4" w:rsidP="009A75EA">
      <w:pPr>
        <w:pStyle w:val="TextStyle"/>
        <w:spacing w:line="360" w:lineRule="auto"/>
        <w:rPr>
          <w:lang w:val="en-US"/>
        </w:rPr>
      </w:pPr>
      <w:r w:rsidRPr="002224C4">
        <w:rPr>
          <w:lang w:val="en-US"/>
        </w:rPr>
        <w:t>A solution of CT DNA in the buffer (5 mmolL</w:t>
      </w:r>
      <w:r w:rsidRPr="002224C4">
        <w:rPr>
          <w:vertAlign w:val="superscript"/>
          <w:lang w:val="en-US"/>
        </w:rPr>
        <w:t>-1</w:t>
      </w:r>
      <w:r w:rsidRPr="002224C4">
        <w:rPr>
          <w:lang w:val="en-US"/>
        </w:rPr>
        <w:t xml:space="preserve"> Tris-HCl/50 mmolL</w:t>
      </w:r>
      <w:r w:rsidRPr="002224C4">
        <w:rPr>
          <w:vertAlign w:val="superscript"/>
          <w:lang w:val="en-US"/>
        </w:rPr>
        <w:t>-1</w:t>
      </w:r>
      <w:r w:rsidRPr="002224C4">
        <w:rPr>
          <w:lang w:val="en-US"/>
        </w:rPr>
        <w:t xml:space="preserve"> NaCl buffer (pH 7.2)) gave a UV absorbance ratio at 260 and 280 nm of about 1.89:1, indicating the CT DNA is free from protein contamination. The CT DNA concentration was determined by the UV absorption spectroscopy using the molar absorption coefficient of 6600 M</w:t>
      </w:r>
      <w:r w:rsidRPr="002224C4">
        <w:rPr>
          <w:vertAlign w:val="superscript"/>
          <w:lang w:val="en-US"/>
        </w:rPr>
        <w:t>-1</w:t>
      </w:r>
      <w:r w:rsidRPr="002224C4">
        <w:rPr>
          <w:lang w:val="en-US"/>
        </w:rPr>
        <w:t xml:space="preserve"> cm</w:t>
      </w:r>
      <w:r w:rsidRPr="002224C4">
        <w:rPr>
          <w:vertAlign w:val="superscript"/>
          <w:lang w:val="en-US"/>
        </w:rPr>
        <w:t>-1</w:t>
      </w:r>
      <w:r w:rsidRPr="002224C4">
        <w:rPr>
          <w:lang w:val="en-US"/>
        </w:rPr>
        <w:t xml:space="preserve"> at 260 nm. Stock solutions were kept at 4 </w:t>
      </w:r>
      <w:r w:rsidRPr="002224C4">
        <w:rPr>
          <w:lang w:val="en-US"/>
        </w:rPr>
        <w:sym w:font="Symbol" w:char="F0B0"/>
      </w:r>
      <w:r w:rsidRPr="002224C4">
        <w:rPr>
          <w:lang w:val="en-US"/>
        </w:rPr>
        <w:t xml:space="preserve">C and used within four days of preparation. </w:t>
      </w:r>
    </w:p>
    <w:p w14:paraId="246F8193" w14:textId="77777777" w:rsidR="002224C4" w:rsidRPr="002224C4" w:rsidRDefault="002224C4" w:rsidP="002224C4">
      <w:pPr>
        <w:pStyle w:val="TextStyle"/>
        <w:spacing w:line="360" w:lineRule="auto"/>
        <w:rPr>
          <w:lang w:val="en-US"/>
        </w:rPr>
      </w:pPr>
      <w:r w:rsidRPr="002224C4">
        <w:rPr>
          <w:lang w:val="en-US"/>
        </w:rPr>
        <w:t>Electronic absorption titrations were performed in Tris-HCl/NaCl buffer (5 mmolL</w:t>
      </w:r>
      <w:r w:rsidRPr="002224C4">
        <w:rPr>
          <w:vertAlign w:val="superscript"/>
          <w:lang w:val="en-US"/>
        </w:rPr>
        <w:t>-1</w:t>
      </w:r>
      <w:r w:rsidRPr="002224C4">
        <w:rPr>
          <w:lang w:val="en-US"/>
        </w:rPr>
        <w:t xml:space="preserve"> Tris-HCl/50 mmolL</w:t>
      </w:r>
      <w:r w:rsidRPr="002224C4">
        <w:rPr>
          <w:vertAlign w:val="superscript"/>
          <w:lang w:val="en-US"/>
        </w:rPr>
        <w:t>-1</w:t>
      </w:r>
      <w:r w:rsidRPr="002224C4">
        <w:rPr>
          <w:lang w:val="en-US"/>
        </w:rPr>
        <w:t xml:space="preserve"> NaCl buffer pH 7.2) using DMF (10%) solution of metal complexes at </w:t>
      </w:r>
      <w:r w:rsidRPr="002224C4">
        <w:rPr>
          <w:lang w:val="en-US"/>
        </w:rPr>
        <w:lastRenderedPageBreak/>
        <w:t xml:space="preserve">room temperature. Absorption titration experiments were made using different concentrations of CT-DNA, without changing the concentration of complexes. Correction was made for absorbance of the CT-DNA itself. Metal complex-DNA solutions were allowed to incubate for 5 minutes before recording the spectra. For </w:t>
      </w:r>
      <w:proofErr w:type="gramStart"/>
      <w:r w:rsidRPr="002224C4">
        <w:rPr>
          <w:lang w:val="en-US"/>
        </w:rPr>
        <w:t>metal(</w:t>
      </w:r>
      <w:proofErr w:type="gramEnd"/>
      <w:r w:rsidRPr="002224C4">
        <w:rPr>
          <w:lang w:val="en-US"/>
        </w:rPr>
        <w:t>II) complexes, the intrinsic binding constant (</w:t>
      </w:r>
      <w:proofErr w:type="spellStart"/>
      <w:r w:rsidRPr="002224C4">
        <w:rPr>
          <w:lang w:val="en-US"/>
        </w:rPr>
        <w:t>K</w:t>
      </w:r>
      <w:r w:rsidRPr="002224C4">
        <w:rPr>
          <w:vertAlign w:val="subscript"/>
          <w:lang w:val="en-US"/>
        </w:rPr>
        <w:t>b</w:t>
      </w:r>
      <w:proofErr w:type="spellEnd"/>
      <w:r w:rsidRPr="002224C4">
        <w:rPr>
          <w:lang w:val="en-US"/>
        </w:rPr>
        <w:t>) was determined by monitoring the changes of absorption in the MLCT band with increasing concentration of DNA using the following eq</w:t>
      </w:r>
      <w:r>
        <w:rPr>
          <w:lang w:val="en-US"/>
        </w:rPr>
        <w:t>uation</w:t>
      </w:r>
      <w:r w:rsidRPr="002224C4">
        <w:rPr>
          <w:lang w:val="en-US"/>
        </w:rPr>
        <w:t>.</w:t>
      </w:r>
    </w:p>
    <w:p w14:paraId="64CAB88B" w14:textId="77777777" w:rsidR="002224C4" w:rsidRPr="002224C4" w:rsidRDefault="002224C4" w:rsidP="002224C4">
      <w:pPr>
        <w:pStyle w:val="TextStyle"/>
        <w:spacing w:line="360" w:lineRule="auto"/>
        <w:ind w:firstLine="0"/>
        <w:jc w:val="center"/>
        <w:rPr>
          <w:szCs w:val="24"/>
        </w:rPr>
      </w:pPr>
      <m:oMath>
        <m:r>
          <m:rPr>
            <m:sty m:val="p"/>
          </m:rPr>
          <w:rPr>
            <w:rFonts w:ascii="Cambria Math" w:hAnsi="Cambria Math"/>
            <w:szCs w:val="24"/>
          </w:rPr>
          <m:t>[DNA]/(</m:t>
        </m:r>
        <m:sSub>
          <m:sSubPr>
            <m:ctrlPr>
              <w:rPr>
                <w:rFonts w:ascii="Cambria Math" w:eastAsia="Calibri" w:hAnsi="Cambria Math"/>
                <w:szCs w:val="24"/>
              </w:rPr>
            </m:ctrlPr>
          </m:sSubPr>
          <m:e>
            <m:r>
              <w:rPr>
                <w:rFonts w:ascii="Cambria Math" w:hAnsi="Cambria Math"/>
                <w:szCs w:val="24"/>
              </w:rPr>
              <m:t>ε</m:t>
            </m:r>
          </m:e>
          <m:sub>
            <m:r>
              <w:rPr>
                <w:rFonts w:ascii="Cambria Math" w:hAnsi="Cambria Math"/>
                <w:szCs w:val="24"/>
              </w:rPr>
              <m:t>a</m:t>
            </m:r>
          </m:sub>
        </m:sSub>
        <m:r>
          <w:rPr>
            <w:rFonts w:ascii="Cambria Math" w:hAnsi="Cambria Math"/>
            <w:szCs w:val="24"/>
          </w:rPr>
          <m:t>-</m:t>
        </m:r>
        <m:sSub>
          <m:sSubPr>
            <m:ctrlPr>
              <w:rPr>
                <w:rFonts w:ascii="Cambria Math" w:eastAsia="Calibri" w:hAnsi="Cambria Math"/>
                <w:i/>
                <w:szCs w:val="24"/>
              </w:rPr>
            </m:ctrlPr>
          </m:sSubPr>
          <m:e>
            <m:r>
              <w:rPr>
                <w:rFonts w:ascii="Cambria Math" w:hAnsi="Cambria Math"/>
                <w:szCs w:val="24"/>
              </w:rPr>
              <m:t>ε</m:t>
            </m:r>
          </m:e>
          <m:sub>
            <m:r>
              <w:rPr>
                <w:rFonts w:ascii="Cambria Math" w:hAnsi="Cambria Math"/>
                <w:szCs w:val="24"/>
              </w:rPr>
              <m:t>f</m:t>
            </m:r>
          </m:sub>
        </m:sSub>
      </m:oMath>
      <w:r w:rsidRPr="002224C4">
        <w:rPr>
          <w:szCs w:val="24"/>
        </w:rPr>
        <w:t xml:space="preserve">) </w:t>
      </w:r>
      <m:oMath>
        <m:r>
          <m:rPr>
            <m:sty m:val="p"/>
          </m:rPr>
          <w:rPr>
            <w:rFonts w:ascii="Cambria Math" w:hAnsi="Cambria Math"/>
            <w:szCs w:val="24"/>
          </w:rPr>
          <m:t>= [DNA]/(</m:t>
        </m:r>
        <m:sSub>
          <m:sSubPr>
            <m:ctrlPr>
              <w:rPr>
                <w:rFonts w:ascii="Cambria Math" w:eastAsia="Calibri" w:hAnsi="Cambria Math"/>
                <w:szCs w:val="24"/>
              </w:rPr>
            </m:ctrlPr>
          </m:sSubPr>
          <m:e>
            <m:r>
              <w:rPr>
                <w:rFonts w:ascii="Cambria Math" w:hAnsi="Cambria Math"/>
                <w:szCs w:val="24"/>
              </w:rPr>
              <m:t>ε</m:t>
            </m:r>
          </m:e>
          <m:sub>
            <m:r>
              <w:rPr>
                <w:rFonts w:ascii="Cambria Math" w:hAnsi="Cambria Math"/>
                <w:szCs w:val="24"/>
              </w:rPr>
              <m:t>b</m:t>
            </m:r>
          </m:sub>
        </m:sSub>
        <m:r>
          <w:rPr>
            <w:rFonts w:ascii="Cambria Math" w:hAnsi="Cambria Math"/>
            <w:szCs w:val="24"/>
          </w:rPr>
          <m:t>-</m:t>
        </m:r>
        <m:sSub>
          <m:sSubPr>
            <m:ctrlPr>
              <w:rPr>
                <w:rFonts w:ascii="Cambria Math" w:eastAsia="Calibri" w:hAnsi="Cambria Math"/>
                <w:i/>
                <w:szCs w:val="24"/>
              </w:rPr>
            </m:ctrlPr>
          </m:sSubPr>
          <m:e>
            <m:r>
              <w:rPr>
                <w:rFonts w:ascii="Cambria Math" w:hAnsi="Cambria Math"/>
                <w:szCs w:val="24"/>
              </w:rPr>
              <m:t>ε</m:t>
            </m:r>
          </m:e>
          <m:sub>
            <m:r>
              <w:rPr>
                <w:rFonts w:ascii="Cambria Math" w:hAnsi="Cambria Math"/>
                <w:szCs w:val="24"/>
              </w:rPr>
              <m:t>f</m:t>
            </m:r>
          </m:sub>
        </m:sSub>
      </m:oMath>
      <w:r w:rsidRPr="002224C4">
        <w:rPr>
          <w:szCs w:val="24"/>
        </w:rPr>
        <w:t>) +</w:t>
      </w:r>
      <m:oMath>
        <m:r>
          <m:rPr>
            <m:sty m:val="p"/>
          </m:rPr>
          <w:rPr>
            <w:rFonts w:ascii="Cambria Math" w:hAnsi="Cambria Math"/>
            <w:szCs w:val="24"/>
          </w:rPr>
          <m:t>1/</m:t>
        </m:r>
        <m:sSub>
          <m:sSubPr>
            <m:ctrlPr>
              <w:rPr>
                <w:rFonts w:ascii="Cambria Math" w:eastAsia="Calibri" w:hAnsi="Cambria Math"/>
                <w:szCs w:val="24"/>
              </w:rPr>
            </m:ctrlPr>
          </m:sSubPr>
          <m:e>
            <m:r>
              <w:rPr>
                <w:rFonts w:ascii="Cambria Math" w:hAnsi="Cambria Math"/>
                <w:szCs w:val="24"/>
              </w:rPr>
              <m:t>K</m:t>
            </m:r>
          </m:e>
          <m:sub>
            <m:r>
              <w:rPr>
                <w:rFonts w:ascii="Cambria Math" w:hAnsi="Cambria Math"/>
                <w:szCs w:val="24"/>
              </w:rPr>
              <m:t>b</m:t>
            </m:r>
          </m:sub>
        </m:sSub>
        <m:r>
          <m:rPr>
            <m:sty m:val="p"/>
          </m:rPr>
          <w:rPr>
            <w:rFonts w:ascii="Cambria Math" w:hAnsi="Cambria Math"/>
            <w:szCs w:val="24"/>
          </w:rPr>
          <m:t>(</m:t>
        </m:r>
        <m:sSub>
          <m:sSubPr>
            <m:ctrlPr>
              <w:rPr>
                <w:rFonts w:ascii="Cambria Math" w:eastAsia="Calibri" w:hAnsi="Cambria Math"/>
                <w:szCs w:val="24"/>
              </w:rPr>
            </m:ctrlPr>
          </m:sSubPr>
          <m:e>
            <m:r>
              <w:rPr>
                <w:rFonts w:ascii="Cambria Math" w:hAnsi="Cambria Math"/>
                <w:szCs w:val="24"/>
              </w:rPr>
              <m:t>ε</m:t>
            </m:r>
          </m:e>
          <m:sub>
            <m:r>
              <w:rPr>
                <w:rFonts w:ascii="Cambria Math" w:hAnsi="Cambria Math"/>
                <w:szCs w:val="24"/>
              </w:rPr>
              <m:t>b</m:t>
            </m:r>
          </m:sub>
        </m:sSub>
        <m:r>
          <w:rPr>
            <w:rFonts w:ascii="Cambria Math" w:hAnsi="Cambria Math"/>
            <w:szCs w:val="24"/>
          </w:rPr>
          <m:t>-</m:t>
        </m:r>
        <m:sSub>
          <m:sSubPr>
            <m:ctrlPr>
              <w:rPr>
                <w:rFonts w:ascii="Cambria Math" w:eastAsia="Calibri" w:hAnsi="Cambria Math"/>
                <w:i/>
                <w:szCs w:val="24"/>
              </w:rPr>
            </m:ctrlPr>
          </m:sSubPr>
          <m:e>
            <m:r>
              <w:rPr>
                <w:rFonts w:ascii="Cambria Math" w:hAnsi="Cambria Math"/>
                <w:szCs w:val="24"/>
              </w:rPr>
              <m:t>ε</m:t>
            </m:r>
          </m:e>
          <m:sub>
            <m:r>
              <w:rPr>
                <w:rFonts w:ascii="Cambria Math" w:hAnsi="Cambria Math"/>
                <w:szCs w:val="24"/>
              </w:rPr>
              <m:t>f</m:t>
            </m:r>
          </m:sub>
        </m:sSub>
      </m:oMath>
      <w:r w:rsidRPr="002224C4">
        <w:rPr>
          <w:szCs w:val="24"/>
        </w:rPr>
        <w:t>)</w:t>
      </w:r>
    </w:p>
    <w:p w14:paraId="5016AC06" w14:textId="77777777" w:rsidR="002224C4" w:rsidRPr="002224C4" w:rsidRDefault="002224C4" w:rsidP="002224C4">
      <w:pPr>
        <w:pStyle w:val="TextStyle"/>
        <w:spacing w:line="360" w:lineRule="auto"/>
        <w:ind w:firstLine="709"/>
        <w:rPr>
          <w:lang w:val="en-US"/>
        </w:rPr>
      </w:pPr>
      <w:r w:rsidRPr="002224C4">
        <w:rPr>
          <w:lang w:val="en-US"/>
        </w:rPr>
        <w:t xml:space="preserve">Where, [DNA] is the concentration of DNA in base pairs. </w:t>
      </w:r>
      <w:proofErr w:type="spellStart"/>
      <w:r w:rsidRPr="002224C4">
        <w:rPr>
          <w:lang w:val="en-US"/>
        </w:rPr>
        <w:t>ε</w:t>
      </w:r>
      <w:r w:rsidRPr="002224C4">
        <w:rPr>
          <w:vertAlign w:val="subscript"/>
          <w:lang w:val="en-US"/>
        </w:rPr>
        <w:t>a</w:t>
      </w:r>
      <w:proofErr w:type="spellEnd"/>
      <w:r w:rsidRPr="002224C4">
        <w:rPr>
          <w:lang w:val="en-US"/>
        </w:rPr>
        <w:t xml:space="preserve">, </w:t>
      </w:r>
      <w:proofErr w:type="spellStart"/>
      <w:r w:rsidRPr="002224C4">
        <w:rPr>
          <w:lang w:val="en-US"/>
        </w:rPr>
        <w:t>ε</w:t>
      </w:r>
      <w:r w:rsidRPr="002224C4">
        <w:rPr>
          <w:vertAlign w:val="subscript"/>
          <w:lang w:val="en-US"/>
        </w:rPr>
        <w:t>f</w:t>
      </w:r>
      <w:proofErr w:type="spellEnd"/>
      <w:r w:rsidRPr="002224C4">
        <w:rPr>
          <w:vertAlign w:val="subscript"/>
          <w:lang w:val="en-US"/>
        </w:rPr>
        <w:t xml:space="preserve"> </w:t>
      </w:r>
      <w:r w:rsidRPr="002224C4">
        <w:rPr>
          <w:lang w:val="en-US"/>
        </w:rPr>
        <w:t xml:space="preserve">and </w:t>
      </w:r>
      <w:proofErr w:type="spellStart"/>
      <w:r w:rsidRPr="002224C4">
        <w:rPr>
          <w:lang w:val="en-US"/>
        </w:rPr>
        <w:t>ε</w:t>
      </w:r>
      <w:r w:rsidRPr="002224C4">
        <w:rPr>
          <w:vertAlign w:val="subscript"/>
          <w:lang w:val="en-US"/>
        </w:rPr>
        <w:t>b</w:t>
      </w:r>
      <w:proofErr w:type="spellEnd"/>
      <w:r w:rsidRPr="002224C4">
        <w:rPr>
          <w:lang w:val="en-US"/>
        </w:rPr>
        <w:t xml:space="preserve"> are the apparent, free and bound metal complex molar extinction coefficients respectively. A plot of [DNA]/(</w:t>
      </w:r>
      <w:proofErr w:type="spellStart"/>
      <w:r w:rsidRPr="002224C4">
        <w:rPr>
          <w:lang w:val="en-US"/>
        </w:rPr>
        <w:t>ε</w:t>
      </w:r>
      <w:r w:rsidRPr="002224C4">
        <w:rPr>
          <w:vertAlign w:val="subscript"/>
          <w:lang w:val="en-US"/>
        </w:rPr>
        <w:t>b</w:t>
      </w:r>
      <w:r w:rsidRPr="002224C4">
        <w:rPr>
          <w:lang w:val="en-US"/>
        </w:rPr>
        <w:t>-ε</w:t>
      </w:r>
      <w:r w:rsidRPr="002224C4">
        <w:rPr>
          <w:vertAlign w:val="subscript"/>
          <w:lang w:val="en-US"/>
        </w:rPr>
        <w:t>f</w:t>
      </w:r>
      <w:proofErr w:type="spellEnd"/>
      <w:r w:rsidRPr="002224C4">
        <w:rPr>
          <w:lang w:val="en-US"/>
        </w:rPr>
        <w:t>) versus [DNA], gave a slope of 1/(</w:t>
      </w:r>
      <w:proofErr w:type="spellStart"/>
      <w:r w:rsidRPr="002224C4">
        <w:rPr>
          <w:lang w:val="en-US"/>
        </w:rPr>
        <w:t>ε</w:t>
      </w:r>
      <w:r w:rsidRPr="002224C4">
        <w:rPr>
          <w:vertAlign w:val="subscript"/>
          <w:lang w:val="en-US"/>
        </w:rPr>
        <w:t>b</w:t>
      </w:r>
      <w:r w:rsidRPr="002224C4">
        <w:rPr>
          <w:lang w:val="en-US"/>
        </w:rPr>
        <w:t>-ε</w:t>
      </w:r>
      <w:r w:rsidRPr="002224C4">
        <w:rPr>
          <w:vertAlign w:val="subscript"/>
          <w:lang w:val="en-US"/>
        </w:rPr>
        <w:t>f</w:t>
      </w:r>
      <w:proofErr w:type="spellEnd"/>
      <w:r w:rsidRPr="002224C4">
        <w:rPr>
          <w:lang w:val="en-US"/>
        </w:rPr>
        <w:t xml:space="preserve">) and a y-intercept equal to </w:t>
      </w:r>
      <w:proofErr w:type="spellStart"/>
      <w:r w:rsidRPr="002224C4">
        <w:rPr>
          <w:lang w:val="en-US"/>
        </w:rPr>
        <w:t>K</w:t>
      </w:r>
      <w:r w:rsidRPr="002224C4">
        <w:rPr>
          <w:vertAlign w:val="subscript"/>
          <w:lang w:val="en-US"/>
        </w:rPr>
        <w:t>b</w:t>
      </w:r>
      <w:proofErr w:type="spellEnd"/>
      <w:r w:rsidRPr="002224C4">
        <w:rPr>
          <w:lang w:val="en-US"/>
        </w:rPr>
        <w:t>/(</w:t>
      </w:r>
      <w:proofErr w:type="spellStart"/>
      <w:r w:rsidRPr="002224C4">
        <w:rPr>
          <w:lang w:val="en-US"/>
        </w:rPr>
        <w:t>ε</w:t>
      </w:r>
      <w:r w:rsidRPr="002224C4">
        <w:rPr>
          <w:vertAlign w:val="subscript"/>
          <w:lang w:val="en-US"/>
        </w:rPr>
        <w:t>b</w:t>
      </w:r>
      <w:r w:rsidRPr="002224C4">
        <w:rPr>
          <w:lang w:val="en-US"/>
        </w:rPr>
        <w:t>-ε</w:t>
      </w:r>
      <w:r w:rsidRPr="002224C4">
        <w:rPr>
          <w:vertAlign w:val="subscript"/>
          <w:lang w:val="en-US"/>
        </w:rPr>
        <w:t>f</w:t>
      </w:r>
      <w:proofErr w:type="spellEnd"/>
      <w:r w:rsidRPr="002224C4">
        <w:rPr>
          <w:lang w:val="en-US"/>
        </w:rPr>
        <w:t xml:space="preserve">), </w:t>
      </w:r>
      <w:proofErr w:type="spellStart"/>
      <w:r w:rsidRPr="002224C4">
        <w:rPr>
          <w:lang w:val="en-US"/>
        </w:rPr>
        <w:t>K</w:t>
      </w:r>
      <w:r w:rsidRPr="002224C4">
        <w:rPr>
          <w:vertAlign w:val="subscript"/>
          <w:lang w:val="en-US"/>
        </w:rPr>
        <w:t>b</w:t>
      </w:r>
      <w:proofErr w:type="spellEnd"/>
      <w:r w:rsidRPr="002224C4">
        <w:rPr>
          <w:lang w:val="en-US"/>
        </w:rPr>
        <w:t xml:space="preserve"> is the ratio of the slope to the y-intercept. </w:t>
      </w:r>
    </w:p>
    <w:p w14:paraId="10D241DE" w14:textId="77777777" w:rsidR="002224C4" w:rsidRPr="002224C4" w:rsidRDefault="002224C4" w:rsidP="002224C4">
      <w:pPr>
        <w:pStyle w:val="TextStyle"/>
        <w:spacing w:line="360" w:lineRule="auto"/>
        <w:ind w:firstLine="709"/>
        <w:rPr>
          <w:lang w:val="en-US"/>
        </w:rPr>
      </w:pPr>
    </w:p>
    <w:p w14:paraId="6D359366" w14:textId="77777777" w:rsidR="002224C4" w:rsidRPr="009A75EA" w:rsidRDefault="002224C4" w:rsidP="002224C4">
      <w:pPr>
        <w:pStyle w:val="TextStyle"/>
        <w:spacing w:line="360" w:lineRule="auto"/>
        <w:ind w:firstLine="0"/>
        <w:rPr>
          <w:b/>
          <w:bCs/>
          <w:i/>
          <w:lang w:val="en-US"/>
        </w:rPr>
      </w:pPr>
      <w:r w:rsidRPr="009A75EA">
        <w:rPr>
          <w:b/>
          <w:bCs/>
          <w:i/>
          <w:lang w:val="en-US"/>
        </w:rPr>
        <w:t>Hydrodynamic method</w:t>
      </w:r>
    </w:p>
    <w:p w14:paraId="3B64A146" w14:textId="77777777" w:rsidR="002224C4" w:rsidRPr="002224C4" w:rsidRDefault="002224C4" w:rsidP="009A75EA">
      <w:pPr>
        <w:pStyle w:val="TextStyle"/>
        <w:spacing w:line="360" w:lineRule="auto"/>
        <w:rPr>
          <w:lang w:val="en-US"/>
        </w:rPr>
      </w:pPr>
      <w:r w:rsidRPr="002224C4">
        <w:rPr>
          <w:lang w:val="en-US"/>
        </w:rPr>
        <w:t>In order to confirm the binding modes of the compounds with CT DNA, viscosity measurements were carried out using an Ostwald viscometer maintained at room temperature (27 ± 1 °C). Flow time was measured three times with a digital stopwatch for each sample measured three times and the average flow time was calculated. Data were presented as (η/</w:t>
      </w:r>
      <w:proofErr w:type="spellStart"/>
      <w:r w:rsidRPr="002224C4">
        <w:rPr>
          <w:lang w:val="en-US"/>
        </w:rPr>
        <w:t>η</w:t>
      </w:r>
      <w:r w:rsidRPr="002224C4">
        <w:rPr>
          <w:vertAlign w:val="subscript"/>
          <w:lang w:val="en-US"/>
        </w:rPr>
        <w:t>o</w:t>
      </w:r>
      <w:proofErr w:type="spellEnd"/>
      <w:r w:rsidRPr="002224C4">
        <w:rPr>
          <w:lang w:val="en-US"/>
        </w:rPr>
        <w:t>)</w:t>
      </w:r>
      <w:r w:rsidRPr="002224C4">
        <w:rPr>
          <w:vertAlign w:val="superscript"/>
          <w:lang w:val="en-US"/>
        </w:rPr>
        <w:t xml:space="preserve">1/3 </w:t>
      </w:r>
      <w:r w:rsidRPr="002224C4">
        <w:rPr>
          <w:lang w:val="en-US"/>
        </w:rPr>
        <w:t>versus binding ratio. Relative viscosities of DNA were calculated using the relation,</w:t>
      </w:r>
    </w:p>
    <w:p w14:paraId="1E8BBF97" w14:textId="77777777" w:rsidR="002224C4" w:rsidRPr="002224C4" w:rsidRDefault="002224C4" w:rsidP="002224C4">
      <w:pPr>
        <w:pStyle w:val="TextStyle"/>
        <w:spacing w:line="360" w:lineRule="auto"/>
        <w:jc w:val="center"/>
        <w:rPr>
          <w:lang w:val="en-US"/>
        </w:rPr>
      </w:pPr>
      <w:r w:rsidRPr="002224C4">
        <w:rPr>
          <w:lang w:val="en-US"/>
        </w:rPr>
        <w:t>η/</w:t>
      </w:r>
      <w:proofErr w:type="spellStart"/>
      <w:r w:rsidRPr="002224C4">
        <w:rPr>
          <w:lang w:val="en-US"/>
        </w:rPr>
        <w:t>η</w:t>
      </w:r>
      <w:r w:rsidRPr="002224C4">
        <w:rPr>
          <w:vertAlign w:val="subscript"/>
          <w:lang w:val="en-US"/>
        </w:rPr>
        <w:t>o</w:t>
      </w:r>
      <w:proofErr w:type="spellEnd"/>
    </w:p>
    <w:p w14:paraId="7241D06E" w14:textId="77777777" w:rsidR="002224C4" w:rsidRPr="002224C4" w:rsidRDefault="002224C4" w:rsidP="002224C4">
      <w:pPr>
        <w:pStyle w:val="TextStyle"/>
        <w:spacing w:line="360" w:lineRule="auto"/>
        <w:ind w:firstLine="0"/>
        <w:rPr>
          <w:lang w:val="en-US"/>
        </w:rPr>
      </w:pPr>
      <w:r w:rsidRPr="002224C4">
        <w:rPr>
          <w:lang w:val="en-US"/>
        </w:rPr>
        <w:t>Where,</w:t>
      </w:r>
    </w:p>
    <w:p w14:paraId="61E5FE3A" w14:textId="77777777" w:rsidR="002224C4" w:rsidRPr="002224C4" w:rsidRDefault="002224C4" w:rsidP="002224C4">
      <w:pPr>
        <w:pStyle w:val="TextStyle"/>
        <w:spacing w:line="360" w:lineRule="auto"/>
        <w:rPr>
          <w:lang w:val="en-US"/>
        </w:rPr>
      </w:pPr>
      <w:r w:rsidRPr="002224C4">
        <w:rPr>
          <w:lang w:val="en-US"/>
        </w:rPr>
        <w:t>η - Viscosity of CT DNA in the presence of complex</w:t>
      </w:r>
    </w:p>
    <w:p w14:paraId="4F56D10F" w14:textId="77777777" w:rsidR="002224C4" w:rsidRPr="002224C4" w:rsidRDefault="002224C4" w:rsidP="002224C4">
      <w:pPr>
        <w:pStyle w:val="TextStyle"/>
        <w:spacing w:line="360" w:lineRule="auto"/>
        <w:rPr>
          <w:lang w:val="en-US"/>
        </w:rPr>
      </w:pPr>
      <w:proofErr w:type="spellStart"/>
      <w:r w:rsidRPr="002224C4">
        <w:rPr>
          <w:lang w:val="en-US"/>
        </w:rPr>
        <w:t>η</w:t>
      </w:r>
      <w:r w:rsidRPr="002224C4">
        <w:rPr>
          <w:vertAlign w:val="subscript"/>
          <w:lang w:val="en-US"/>
        </w:rPr>
        <w:t>o</w:t>
      </w:r>
      <w:proofErr w:type="spellEnd"/>
      <w:r w:rsidRPr="002224C4">
        <w:rPr>
          <w:lang w:val="en-US"/>
        </w:rPr>
        <w:t xml:space="preserve"> - Viscosity of CT DNA alone</w:t>
      </w:r>
    </w:p>
    <w:p w14:paraId="509F0C0F" w14:textId="77777777" w:rsidR="002224C4" w:rsidRPr="002224C4" w:rsidRDefault="002224C4" w:rsidP="002224C4">
      <w:pPr>
        <w:pStyle w:val="TextStyle"/>
        <w:spacing w:line="360" w:lineRule="auto"/>
        <w:rPr>
          <w:lang w:val="en-US"/>
        </w:rPr>
      </w:pPr>
    </w:p>
    <w:p w14:paraId="009E6C9A" w14:textId="77777777" w:rsidR="002224C4" w:rsidRPr="009A75EA" w:rsidRDefault="002224C4" w:rsidP="002224C4">
      <w:pPr>
        <w:pStyle w:val="TextStyle"/>
        <w:spacing w:line="360" w:lineRule="auto"/>
        <w:ind w:firstLine="0"/>
        <w:rPr>
          <w:b/>
          <w:bCs/>
          <w:i/>
          <w:lang w:val="en-US"/>
        </w:rPr>
      </w:pPr>
      <w:r w:rsidRPr="009A75EA">
        <w:rPr>
          <w:b/>
          <w:bCs/>
          <w:i/>
          <w:lang w:val="en-US"/>
        </w:rPr>
        <w:t>Cleavage of pUC18 DNA</w:t>
      </w:r>
    </w:p>
    <w:p w14:paraId="58B8F88E" w14:textId="77777777" w:rsidR="002224C4" w:rsidRPr="002224C4" w:rsidRDefault="002224C4" w:rsidP="009A75EA">
      <w:pPr>
        <w:pStyle w:val="TextStyle"/>
        <w:spacing w:line="360" w:lineRule="auto"/>
        <w:ind w:firstLine="720"/>
        <w:rPr>
          <w:lang w:val="en-US"/>
        </w:rPr>
      </w:pPr>
      <w:r w:rsidRPr="002224C4">
        <w:rPr>
          <w:lang w:val="en-US"/>
        </w:rPr>
        <w:t>The cleavage of supercoiled pUC18 DNA to its nicked circular form was studied by using agarose gel electrophoresis. pUC18 DNA (0.3 µg) dissolved in 5 mmolL</w:t>
      </w:r>
      <w:r w:rsidRPr="002224C4">
        <w:rPr>
          <w:vertAlign w:val="superscript"/>
          <w:lang w:val="en-US"/>
        </w:rPr>
        <w:t>-1</w:t>
      </w:r>
      <w:r w:rsidRPr="002224C4">
        <w:rPr>
          <w:lang w:val="en-US"/>
        </w:rPr>
        <w:t xml:space="preserve"> Tris-HCl/50 mmolL</w:t>
      </w:r>
      <w:r w:rsidRPr="002224C4">
        <w:rPr>
          <w:vertAlign w:val="superscript"/>
          <w:lang w:val="en-US"/>
        </w:rPr>
        <w:t xml:space="preserve">-1 </w:t>
      </w:r>
      <w:r w:rsidRPr="002224C4">
        <w:rPr>
          <w:lang w:val="en-US"/>
        </w:rPr>
        <w:t xml:space="preserve">NaCl buffer (pH 7.2), was treated with the complexes. The mixture was incubated at    37 </w:t>
      </w:r>
      <w:r w:rsidRPr="002224C4">
        <w:rPr>
          <w:lang w:val="en-US"/>
        </w:rPr>
        <w:sym w:font="Symbol" w:char="F0B0"/>
      </w:r>
      <w:r w:rsidRPr="002224C4">
        <w:rPr>
          <w:lang w:val="en-US"/>
        </w:rPr>
        <w:t xml:space="preserve">C for 1 h and then mixed with the loading buffer containing 25% bromophenol blue, 0.25% xylene </w:t>
      </w:r>
      <w:proofErr w:type="spellStart"/>
      <w:r w:rsidRPr="002224C4">
        <w:rPr>
          <w:lang w:val="en-US"/>
        </w:rPr>
        <w:t>cyanol</w:t>
      </w:r>
      <w:proofErr w:type="spellEnd"/>
      <w:r w:rsidRPr="002224C4">
        <w:rPr>
          <w:lang w:val="en-US"/>
        </w:rPr>
        <w:t xml:space="preserve"> and 30 % glycerol. Each sample (10</w:t>
      </w:r>
      <w:r w:rsidRPr="002224C4">
        <w:rPr>
          <w:vertAlign w:val="superscript"/>
          <w:lang w:val="en-US"/>
        </w:rPr>
        <w:t>-3</w:t>
      </w:r>
      <w:r w:rsidRPr="002224C4">
        <w:rPr>
          <w:lang w:val="en-US"/>
        </w:rPr>
        <w:t xml:space="preserve"> M, 0.5 µL) was loaded into 1% (w/v) agarose gel. Electrophoresis was undertaken for 2 h at 100 V in Tris-acetate-EDTA (TAE) buffer (pH 8.0). The gel was stained with ethidium bromide for 5 minutes after electrophoresis and then photographed under a UV transilluminator. To improve the DNA cleaving activity of the complexes, hydrogen peroxide (100 µmolL</w:t>
      </w:r>
      <w:r w:rsidRPr="002224C4">
        <w:rPr>
          <w:vertAlign w:val="superscript"/>
          <w:lang w:val="en-US"/>
        </w:rPr>
        <w:t>-1</w:t>
      </w:r>
      <w:r w:rsidRPr="002224C4">
        <w:rPr>
          <w:lang w:val="en-US"/>
        </w:rPr>
        <w:t xml:space="preserve">) was added to each </w:t>
      </w:r>
      <w:r w:rsidRPr="002224C4">
        <w:rPr>
          <w:lang w:val="en-US"/>
        </w:rPr>
        <w:lastRenderedPageBreak/>
        <w:t>sample. The DNA cleavage efficiency of the complexes measured by determining the ability of the complexes to convert the super coiled DNA to nicked circular form and linear forms.</w:t>
      </w:r>
    </w:p>
    <w:p w14:paraId="4B244AA9" w14:textId="77777777" w:rsidR="002224C4" w:rsidRPr="002224C4" w:rsidRDefault="002224C4" w:rsidP="002224C4">
      <w:pPr>
        <w:pStyle w:val="TextStyle"/>
        <w:spacing w:line="360" w:lineRule="auto"/>
        <w:rPr>
          <w:lang w:val="en-US"/>
        </w:rPr>
      </w:pPr>
    </w:p>
    <w:p w14:paraId="4A5109FD" w14:textId="77777777" w:rsidR="002224C4" w:rsidRPr="009A75EA" w:rsidRDefault="002224C4" w:rsidP="002224C4">
      <w:pPr>
        <w:pStyle w:val="TextStyle"/>
        <w:spacing w:line="360" w:lineRule="auto"/>
        <w:ind w:firstLine="0"/>
        <w:rPr>
          <w:b/>
          <w:bCs/>
          <w:i/>
          <w:lang w:val="en-US"/>
        </w:rPr>
      </w:pPr>
      <w:r w:rsidRPr="009A75EA">
        <w:rPr>
          <w:b/>
          <w:bCs/>
          <w:i/>
          <w:lang w:val="en-US"/>
        </w:rPr>
        <w:t>In vitro</w:t>
      </w:r>
      <w:r w:rsidRPr="009A75EA">
        <w:rPr>
          <w:b/>
          <w:bCs/>
          <w:lang w:val="en-US"/>
        </w:rPr>
        <w:t xml:space="preserve"> </w:t>
      </w:r>
      <w:r w:rsidRPr="009A75EA">
        <w:rPr>
          <w:b/>
          <w:bCs/>
          <w:i/>
          <w:lang w:val="en-US"/>
        </w:rPr>
        <w:t>SOD activity</w:t>
      </w:r>
    </w:p>
    <w:p w14:paraId="21F90B86" w14:textId="77777777" w:rsidR="002224C4" w:rsidRPr="002224C4" w:rsidRDefault="002224C4" w:rsidP="009A75EA">
      <w:pPr>
        <w:pStyle w:val="TextStyle"/>
        <w:spacing w:line="360" w:lineRule="auto"/>
        <w:ind w:firstLine="720"/>
        <w:rPr>
          <w:lang w:val="en-US"/>
        </w:rPr>
      </w:pPr>
      <w:r w:rsidRPr="002224C4">
        <w:rPr>
          <w:i/>
          <w:lang w:val="en-US"/>
        </w:rPr>
        <w:t>In vitro</w:t>
      </w:r>
      <w:r w:rsidRPr="002224C4">
        <w:rPr>
          <w:lang w:val="en-US"/>
        </w:rPr>
        <w:t xml:space="preserve"> SOD activity was measured using alkaline DMSO as a source of superoxide radical (O</w:t>
      </w:r>
      <w:r w:rsidRPr="002224C4">
        <w:rPr>
          <w:vertAlign w:val="subscript"/>
          <w:lang w:val="en-US"/>
        </w:rPr>
        <w:t>2</w:t>
      </w:r>
      <w:r w:rsidRPr="002224C4">
        <w:rPr>
          <w:vertAlign w:val="superscript"/>
          <w:lang w:val="en-US"/>
        </w:rPr>
        <w:t>.−</w:t>
      </w:r>
      <w:r w:rsidRPr="002224C4">
        <w:rPr>
          <w:lang w:val="en-US"/>
        </w:rPr>
        <w:t xml:space="preserve">) and </w:t>
      </w:r>
      <w:proofErr w:type="spellStart"/>
      <w:r w:rsidRPr="002224C4">
        <w:rPr>
          <w:lang w:val="en-US"/>
        </w:rPr>
        <w:t>nitrobluetetrazolium</w:t>
      </w:r>
      <w:proofErr w:type="spellEnd"/>
      <w:r w:rsidRPr="002224C4">
        <w:rPr>
          <w:lang w:val="en-US"/>
        </w:rPr>
        <w:t xml:space="preserve"> (NBT) as O</w:t>
      </w:r>
      <w:r w:rsidRPr="002224C4">
        <w:rPr>
          <w:vertAlign w:val="subscript"/>
          <w:lang w:val="en-US"/>
        </w:rPr>
        <w:t>2</w:t>
      </w:r>
      <w:r w:rsidRPr="002224C4">
        <w:rPr>
          <w:vertAlign w:val="superscript"/>
          <w:lang w:val="en-US"/>
        </w:rPr>
        <w:t>.−</w:t>
      </w:r>
      <w:r w:rsidRPr="002224C4">
        <w:rPr>
          <w:lang w:val="en-US"/>
        </w:rPr>
        <w:t xml:space="preserve"> scavenger. 400 </w:t>
      </w:r>
      <w:r w:rsidRPr="002224C4">
        <w:rPr>
          <w:lang w:val="en-US"/>
        </w:rPr>
        <w:sym w:font="Symbol" w:char="006D"/>
      </w:r>
      <w:r w:rsidRPr="002224C4">
        <w:rPr>
          <w:lang w:val="en-US"/>
        </w:rPr>
        <w:t xml:space="preserve">L sample added to a solution containing 2.1 mL of 0.2 M potassium phosphate buffer (pH 8.6) and 1mL of 56 </w:t>
      </w:r>
      <w:r w:rsidRPr="002224C4">
        <w:rPr>
          <w:lang w:val="en-US"/>
        </w:rPr>
        <w:sym w:font="Symbol" w:char="006D"/>
      </w:r>
      <w:r w:rsidRPr="002224C4">
        <w:rPr>
          <w:lang w:val="en-US"/>
        </w:rPr>
        <w:t xml:space="preserve">M NBT. The tubes kept on ice for 15 minutes and then 1.5 ml of alkaline DMSO solution added with stirring. The absorbance was recorded at 540 nm against a sample prepared under similar condition in DMSO. A unit of superoxide dismutase [SOD] activity is the concentration of complex or enzyme, which causes 50% inhibition of alkaline </w:t>
      </w:r>
      <w:proofErr w:type="spellStart"/>
      <w:r w:rsidRPr="002224C4">
        <w:rPr>
          <w:lang w:val="en-US"/>
        </w:rPr>
        <w:t>dimethylsulphoxide</w:t>
      </w:r>
      <w:proofErr w:type="spellEnd"/>
      <w:r w:rsidRPr="002224C4">
        <w:rPr>
          <w:lang w:val="en-US"/>
        </w:rPr>
        <w:t xml:space="preserve"> (DMSO) mediated reduction of </w:t>
      </w:r>
      <w:proofErr w:type="spellStart"/>
      <w:r w:rsidRPr="002224C4">
        <w:rPr>
          <w:lang w:val="en-US"/>
        </w:rPr>
        <w:t>nitroblue</w:t>
      </w:r>
      <w:proofErr w:type="spellEnd"/>
      <w:r w:rsidRPr="002224C4">
        <w:rPr>
          <w:lang w:val="en-US"/>
        </w:rPr>
        <w:t xml:space="preserve"> tetrazolium chloride (NBT).</w:t>
      </w:r>
    </w:p>
    <w:p w14:paraId="6A3BDAA2" w14:textId="77777777" w:rsidR="002224C4" w:rsidRDefault="002224C4" w:rsidP="002224C4">
      <w:pPr>
        <w:pStyle w:val="MiscellaneousStyle"/>
        <w:spacing w:line="360" w:lineRule="auto"/>
        <w:rPr>
          <w:b/>
          <w:i/>
          <w:lang w:val="en-US"/>
        </w:rPr>
      </w:pPr>
    </w:p>
    <w:p w14:paraId="153F7995" w14:textId="77777777" w:rsidR="002224C4" w:rsidRPr="009A75EA" w:rsidRDefault="002224C4" w:rsidP="002224C4">
      <w:pPr>
        <w:pStyle w:val="MiscellaneousStyle"/>
        <w:spacing w:line="360" w:lineRule="auto"/>
        <w:rPr>
          <w:b/>
          <w:bCs/>
          <w:i/>
          <w:lang w:val="en-US"/>
        </w:rPr>
      </w:pPr>
      <w:r w:rsidRPr="009A75EA">
        <w:rPr>
          <w:b/>
          <w:bCs/>
          <w:i/>
          <w:lang w:val="en-US"/>
        </w:rPr>
        <w:t>Molecular docking</w:t>
      </w:r>
    </w:p>
    <w:p w14:paraId="3F27FEDA" w14:textId="6CF5D69C" w:rsidR="002224C4" w:rsidRPr="002224C4" w:rsidRDefault="002224C4" w:rsidP="009A75EA">
      <w:pPr>
        <w:pStyle w:val="TextStyle"/>
        <w:spacing w:line="360" w:lineRule="auto"/>
        <w:ind w:firstLine="709"/>
        <w:rPr>
          <w:lang w:val="en-US"/>
        </w:rPr>
      </w:pPr>
      <w:r w:rsidRPr="002224C4">
        <w:rPr>
          <w:lang w:val="en-US"/>
        </w:rPr>
        <w:t xml:space="preserve">To find out the interaction between the synthesized metal complexes with DNA and </w:t>
      </w:r>
      <w:r w:rsidR="00571275">
        <w:rPr>
          <w:i/>
          <w:lang w:val="en-US"/>
        </w:rPr>
        <w:t>SOD</w:t>
      </w:r>
      <w:r w:rsidRPr="002224C4">
        <w:rPr>
          <w:lang w:val="en-US"/>
        </w:rPr>
        <w:t>, rigid molecular docking studies were performed by using HEX 6.0 software, which is an interactive molecular graphics program for calculating and displaying feasible docking modes of a receptor and ligand molecule. HEX 6.0 performs docking using Spherical Polar Fourier Correlations. It necessitates the ligand and the receptor as input in PDB format.</w:t>
      </w:r>
    </w:p>
    <w:p w14:paraId="737AB79B" w14:textId="42FC2F3E" w:rsidR="009A75EA" w:rsidRDefault="002224C4" w:rsidP="00C63222">
      <w:pPr>
        <w:pStyle w:val="TextStyle"/>
        <w:spacing w:line="360" w:lineRule="auto"/>
        <w:ind w:firstLine="709"/>
        <w:rPr>
          <w:lang w:val="en-US"/>
        </w:rPr>
      </w:pPr>
      <w:r w:rsidRPr="002224C4">
        <w:rPr>
          <w:lang w:val="en-US"/>
        </w:rPr>
        <w:t>The crystal structures of the B-DNA dodecamer d(CGCGAATTCGCG)</w:t>
      </w:r>
      <w:r w:rsidRPr="002224C4">
        <w:rPr>
          <w:vertAlign w:val="subscript"/>
          <w:lang w:val="en-US"/>
        </w:rPr>
        <w:t>2</w:t>
      </w:r>
      <w:r w:rsidRPr="002224C4">
        <w:rPr>
          <w:lang w:val="en-US"/>
        </w:rPr>
        <w:t xml:space="preserve"> (PDB ID: 1BNA) and </w:t>
      </w:r>
      <w:r w:rsidR="00C63222" w:rsidRPr="00B605EF">
        <w:rPr>
          <w:lang w:val="en-US"/>
        </w:rPr>
        <w:t>SOD (</w:t>
      </w:r>
      <w:proofErr w:type="spellStart"/>
      <w:r w:rsidR="00C63222" w:rsidRPr="00B605EF">
        <w:rPr>
          <w:lang w:val="en-US"/>
        </w:rPr>
        <w:t>pdb</w:t>
      </w:r>
      <w:proofErr w:type="spellEnd"/>
      <w:r w:rsidR="00C63222" w:rsidRPr="00B605EF">
        <w:rPr>
          <w:lang w:val="en-US"/>
        </w:rPr>
        <w:t xml:space="preserve"> ID: 1SXA)</w:t>
      </w:r>
      <w:r w:rsidR="00C63222">
        <w:rPr>
          <w:lang w:val="en-US"/>
        </w:rPr>
        <w:t xml:space="preserve"> </w:t>
      </w:r>
      <w:r w:rsidRPr="002224C4">
        <w:rPr>
          <w:lang w:val="en-US"/>
        </w:rPr>
        <w:t xml:space="preserve">were downloaded from the protein data bank (http://www.rcsb.org./pdb). The amino acid chain was kept and the water molecules and co-crystallized ligand were removed. The structures of ligands in PDB file format were created by Avogadro software. The structures were optimized and used for molecular docking. The parameters used for docking include: correlation type – shape only, FFT mode – 3D, grid dimension – 0.6, receptor range – 180, ligand range – 180, twist range – 360, distance range – 40. </w:t>
      </w:r>
      <w:proofErr w:type="spellStart"/>
      <w:r w:rsidRPr="002224C4">
        <w:rPr>
          <w:lang w:val="en-US"/>
        </w:rPr>
        <w:t>PyMol</w:t>
      </w:r>
      <w:proofErr w:type="spellEnd"/>
      <w:r w:rsidRPr="002224C4">
        <w:rPr>
          <w:lang w:val="en-US"/>
        </w:rPr>
        <w:t xml:space="preserve"> software (http://pymol.sourceforge.net/) and Discovery Studio molecular graphics program were used for visualization of the </w:t>
      </w:r>
      <w:r>
        <w:rPr>
          <w:lang w:val="en-US"/>
        </w:rPr>
        <w:t>docked pose</w:t>
      </w:r>
      <w:r w:rsidRPr="002224C4">
        <w:rPr>
          <w:lang w:val="en-US"/>
        </w:rPr>
        <w:t>.</w:t>
      </w:r>
    </w:p>
    <w:p w14:paraId="5FAD3770" w14:textId="77777777" w:rsidR="00C63222" w:rsidRPr="00C63222" w:rsidRDefault="00C63222" w:rsidP="00C63222">
      <w:pPr>
        <w:pStyle w:val="TextStyle"/>
        <w:spacing w:line="360" w:lineRule="auto"/>
        <w:ind w:firstLine="709"/>
        <w:rPr>
          <w:lang w:val="en-US"/>
        </w:rPr>
      </w:pPr>
    </w:p>
    <w:p w14:paraId="2A00A8C9" w14:textId="19C9F2F7" w:rsidR="002224C4" w:rsidRPr="009A75EA" w:rsidRDefault="002224C4" w:rsidP="002224C4">
      <w:pPr>
        <w:spacing w:line="360" w:lineRule="auto"/>
        <w:rPr>
          <w:rFonts w:ascii="Times New Roman" w:hAnsi="Times New Roman"/>
          <w:b/>
          <w:bCs/>
          <w:i/>
          <w:szCs w:val="24"/>
        </w:rPr>
      </w:pPr>
      <w:r w:rsidRPr="009A75EA">
        <w:rPr>
          <w:rFonts w:ascii="Times New Roman" w:hAnsi="Times New Roman"/>
          <w:b/>
          <w:bCs/>
          <w:i/>
          <w:szCs w:val="24"/>
        </w:rPr>
        <w:t>DFT studies</w:t>
      </w:r>
    </w:p>
    <w:p w14:paraId="7658032E" w14:textId="02325949" w:rsidR="002224C4" w:rsidRPr="002224C4" w:rsidRDefault="002224C4" w:rsidP="009A75EA">
      <w:pPr>
        <w:pStyle w:val="TextStyle"/>
        <w:spacing w:line="360" w:lineRule="auto"/>
        <w:ind w:firstLine="720"/>
        <w:rPr>
          <w:lang w:val="en-US"/>
        </w:rPr>
      </w:pPr>
      <w:r w:rsidRPr="002224C4">
        <w:rPr>
          <w:szCs w:val="24"/>
        </w:rPr>
        <w:t>The geometry optimization of the ligand and its metal complexes were carried out theoretically using Gaussian 09W program package</w:t>
      </w:r>
      <w:r w:rsidR="00571275">
        <w:rPr>
          <w:szCs w:val="24"/>
        </w:rPr>
        <w:t xml:space="preserve"> </w:t>
      </w:r>
      <w:r w:rsidR="00571275" w:rsidRPr="00571275">
        <w:rPr>
          <w:color w:val="00B0F0"/>
          <w:szCs w:val="24"/>
        </w:rPr>
        <w:t>(Frisch, et. al. 2013)</w:t>
      </w:r>
      <w:r>
        <w:rPr>
          <w:szCs w:val="24"/>
        </w:rPr>
        <w:t xml:space="preserve"> </w:t>
      </w:r>
      <w:r w:rsidRPr="002224C4">
        <w:rPr>
          <w:szCs w:val="24"/>
        </w:rPr>
        <w:t>by DFT/B3LYP method. 6-31G(</w:t>
      </w:r>
      <w:proofErr w:type="spellStart"/>
      <w:proofErr w:type="gramStart"/>
      <w:r w:rsidRPr="002224C4">
        <w:rPr>
          <w:szCs w:val="24"/>
        </w:rPr>
        <w:t>d,p</w:t>
      </w:r>
      <w:proofErr w:type="spellEnd"/>
      <w:proofErr w:type="gramEnd"/>
      <w:r w:rsidRPr="002224C4">
        <w:rPr>
          <w:szCs w:val="24"/>
        </w:rPr>
        <w:t xml:space="preserve">) and LANL2DZ are the basis sets chosen. All computational processes of </w:t>
      </w:r>
      <w:r w:rsidRPr="002224C4">
        <w:rPr>
          <w:szCs w:val="24"/>
        </w:rPr>
        <w:lastRenderedPageBreak/>
        <w:t xml:space="preserve">ligand and metal complexes were made by using </w:t>
      </w:r>
      <w:proofErr w:type="spellStart"/>
      <w:r w:rsidRPr="002224C4">
        <w:rPr>
          <w:szCs w:val="24"/>
        </w:rPr>
        <w:t>GaussView</w:t>
      </w:r>
      <w:proofErr w:type="spellEnd"/>
      <w:r w:rsidRPr="002224C4">
        <w:rPr>
          <w:szCs w:val="24"/>
        </w:rPr>
        <w:t xml:space="preserve"> 5.0.8 software</w:t>
      </w:r>
      <w:r w:rsidR="00571275">
        <w:rPr>
          <w:szCs w:val="24"/>
        </w:rPr>
        <w:t xml:space="preserve"> </w:t>
      </w:r>
      <w:r w:rsidR="00571275" w:rsidRPr="00571275">
        <w:rPr>
          <w:color w:val="00B0F0"/>
          <w:szCs w:val="24"/>
        </w:rPr>
        <w:t>(</w:t>
      </w:r>
      <w:proofErr w:type="spellStart"/>
      <w:r w:rsidR="00571275" w:rsidRPr="00571275">
        <w:rPr>
          <w:color w:val="00B0F0"/>
          <w:szCs w:val="24"/>
        </w:rPr>
        <w:t>Dennington</w:t>
      </w:r>
      <w:proofErr w:type="spellEnd"/>
      <w:r w:rsidR="00571275" w:rsidRPr="00571275">
        <w:rPr>
          <w:color w:val="00B0F0"/>
          <w:szCs w:val="24"/>
        </w:rPr>
        <w:t xml:space="preserve"> et. al. 2009)</w:t>
      </w:r>
      <w:r w:rsidRPr="002224C4">
        <w:rPr>
          <w:szCs w:val="24"/>
        </w:rPr>
        <w:t>.</w:t>
      </w:r>
      <w:r w:rsidRPr="002224C4">
        <w:rPr>
          <w:color w:val="FF0000"/>
          <w:szCs w:val="24"/>
          <w:vertAlign w:val="superscript"/>
        </w:rPr>
        <w:t xml:space="preserve"> </w:t>
      </w:r>
      <w:r w:rsidRPr="002224C4">
        <w:rPr>
          <w:szCs w:val="24"/>
        </w:rPr>
        <w:t xml:space="preserve">Here </w:t>
      </w:r>
      <w:proofErr w:type="gramStart"/>
      <w:r w:rsidRPr="002224C4">
        <w:rPr>
          <w:szCs w:val="24"/>
        </w:rPr>
        <w:t>The</w:t>
      </w:r>
      <w:proofErr w:type="gramEnd"/>
      <w:r w:rsidRPr="002224C4">
        <w:rPr>
          <w:szCs w:val="24"/>
        </w:rPr>
        <w:t xml:space="preserve"> B3LYP stands for Becker's three - parameters exchange functional (B3</w:t>
      </w:r>
      <w:r w:rsidR="00571275">
        <w:rPr>
          <w:szCs w:val="24"/>
        </w:rPr>
        <w:t>) (</w:t>
      </w:r>
      <w:proofErr w:type="spellStart"/>
      <w:r w:rsidR="00571275" w:rsidRPr="002224C4">
        <w:rPr>
          <w:szCs w:val="24"/>
        </w:rPr>
        <w:t>Becke</w:t>
      </w:r>
      <w:proofErr w:type="spellEnd"/>
      <w:r w:rsidR="00571275">
        <w:rPr>
          <w:szCs w:val="24"/>
        </w:rPr>
        <w:t>, 1988)</w:t>
      </w:r>
      <w:r>
        <w:rPr>
          <w:szCs w:val="24"/>
          <w:vertAlign w:val="superscript"/>
        </w:rPr>
        <w:t xml:space="preserve"> </w:t>
      </w:r>
      <w:r w:rsidRPr="002224C4">
        <w:rPr>
          <w:szCs w:val="24"/>
        </w:rPr>
        <w:t>in combination with the Lee-Yang-Parr correlation functional (LYP)</w:t>
      </w:r>
      <w:r w:rsidR="00571275">
        <w:rPr>
          <w:szCs w:val="24"/>
        </w:rPr>
        <w:t xml:space="preserve"> </w:t>
      </w:r>
      <w:r w:rsidR="00571275" w:rsidRPr="00571275">
        <w:rPr>
          <w:color w:val="00B0F0"/>
          <w:szCs w:val="24"/>
        </w:rPr>
        <w:t>(Lee et. al. 1988)</w:t>
      </w:r>
      <w:r w:rsidRPr="002224C4">
        <w:rPr>
          <w:szCs w:val="24"/>
        </w:rPr>
        <w:t>.</w:t>
      </w:r>
      <w:r w:rsidRPr="002224C4">
        <w:rPr>
          <w:szCs w:val="24"/>
          <w:vertAlign w:val="superscript"/>
        </w:rPr>
        <w:t xml:space="preserve"> </w:t>
      </w:r>
      <w:r w:rsidRPr="002224C4">
        <w:rPr>
          <w:color w:val="FF0000"/>
          <w:szCs w:val="24"/>
          <w:vertAlign w:val="superscript"/>
        </w:rPr>
        <w:t xml:space="preserve"> </w:t>
      </w:r>
      <w:r w:rsidRPr="002224C4">
        <w:rPr>
          <w:szCs w:val="24"/>
        </w:rPr>
        <w:t>6-31G(</w:t>
      </w:r>
      <w:proofErr w:type="spellStart"/>
      <w:r w:rsidRPr="002224C4">
        <w:rPr>
          <w:szCs w:val="24"/>
        </w:rPr>
        <w:t>d,p</w:t>
      </w:r>
      <w:proofErr w:type="spellEnd"/>
      <w:r w:rsidRPr="002224C4">
        <w:rPr>
          <w:szCs w:val="24"/>
        </w:rPr>
        <w:t>) is a popular polarized basis set which adds ‘p’ function to hydrogen atoms in addition to the ‘d’ functions on heavy atoms, while LANL2DZ is a basis set for post-third row atoms.</w:t>
      </w:r>
    </w:p>
    <w:p w14:paraId="297EE596" w14:textId="77777777" w:rsidR="002224C4" w:rsidRPr="002224C4" w:rsidRDefault="002224C4" w:rsidP="002224C4">
      <w:pPr>
        <w:pStyle w:val="TextStyle"/>
        <w:spacing w:line="360" w:lineRule="auto"/>
        <w:ind w:firstLine="0"/>
        <w:rPr>
          <w:lang w:val="en-US"/>
        </w:rPr>
      </w:pPr>
    </w:p>
    <w:p w14:paraId="043A784C" w14:textId="25E9EDDF" w:rsidR="002224C4" w:rsidRPr="009A75EA" w:rsidRDefault="009A75EA" w:rsidP="002224C4">
      <w:pPr>
        <w:pStyle w:val="TextStyle"/>
        <w:spacing w:line="360" w:lineRule="auto"/>
        <w:ind w:firstLine="0"/>
        <w:jc w:val="left"/>
        <w:rPr>
          <w:b/>
          <w:bCs/>
          <w:lang w:val="en-US"/>
        </w:rPr>
      </w:pPr>
      <w:r w:rsidRPr="009A75EA">
        <w:rPr>
          <w:b/>
          <w:bCs/>
          <w:lang w:val="en-US"/>
        </w:rPr>
        <w:t>References</w:t>
      </w:r>
    </w:p>
    <w:p w14:paraId="6E805C46" w14:textId="77777777" w:rsidR="00571275" w:rsidRPr="004B4EA1" w:rsidRDefault="00571275" w:rsidP="00571275">
      <w:pPr>
        <w:numPr>
          <w:ilvl w:val="0"/>
          <w:numId w:val="2"/>
        </w:numPr>
        <w:spacing w:after="0" w:line="360" w:lineRule="auto"/>
        <w:ind w:hanging="450"/>
        <w:jc w:val="both"/>
        <w:rPr>
          <w:rFonts w:ascii="Times" w:hAnsi="Times" w:cs="Times"/>
          <w:sz w:val="24"/>
          <w:szCs w:val="24"/>
        </w:rPr>
      </w:pPr>
      <w:r w:rsidRPr="004B4EA1">
        <w:rPr>
          <w:rFonts w:ascii="Times" w:hAnsi="Times" w:cs="Times"/>
          <w:sz w:val="24"/>
          <w:szCs w:val="24"/>
        </w:rPr>
        <w:t xml:space="preserve">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J.A. Montgomery, Jr., J. E. Peralta, F. Ogliaro, M. Bearpark, J. J. Heyd, E. Brothers, K. N. Kudin, V. N. 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D. J. Fox, Gaussian, Inc., Wallingford CT, </w:t>
      </w:r>
      <w:r w:rsidRPr="004B4EA1">
        <w:rPr>
          <w:rFonts w:ascii="Times" w:hAnsi="Times" w:cs="Times"/>
          <w:b/>
          <w:sz w:val="24"/>
          <w:szCs w:val="24"/>
        </w:rPr>
        <w:t>2013</w:t>
      </w:r>
      <w:r w:rsidRPr="004B4EA1">
        <w:rPr>
          <w:rFonts w:ascii="Times" w:hAnsi="Times" w:cs="Times"/>
          <w:sz w:val="24"/>
          <w:szCs w:val="24"/>
        </w:rPr>
        <w:t>.</w:t>
      </w:r>
    </w:p>
    <w:p w14:paraId="4D60E91B" w14:textId="77777777" w:rsidR="00571275" w:rsidRPr="004B4EA1" w:rsidRDefault="00571275" w:rsidP="00571275">
      <w:pPr>
        <w:numPr>
          <w:ilvl w:val="0"/>
          <w:numId w:val="2"/>
        </w:numPr>
        <w:spacing w:after="0" w:line="360" w:lineRule="auto"/>
        <w:ind w:hanging="450"/>
        <w:jc w:val="both"/>
        <w:rPr>
          <w:rFonts w:ascii="Times" w:hAnsi="Times" w:cs="Times"/>
          <w:sz w:val="24"/>
          <w:szCs w:val="24"/>
        </w:rPr>
      </w:pPr>
      <w:r w:rsidRPr="004B4EA1">
        <w:rPr>
          <w:rFonts w:ascii="Times" w:hAnsi="Times" w:cs="Times"/>
          <w:sz w:val="24"/>
          <w:szCs w:val="24"/>
        </w:rPr>
        <w:t xml:space="preserve">GaussView, Version 5, Roy Dennington, Todd Keith and John Millam, </w:t>
      </w:r>
      <w:r w:rsidRPr="004B4EA1">
        <w:rPr>
          <w:rFonts w:ascii="Times" w:hAnsi="Times" w:cs="Times"/>
          <w:iCs/>
          <w:sz w:val="24"/>
          <w:szCs w:val="24"/>
        </w:rPr>
        <w:t>Semichem Inc</w:t>
      </w:r>
      <w:r w:rsidRPr="004B4EA1">
        <w:rPr>
          <w:rFonts w:ascii="Times" w:hAnsi="Times" w:cs="Times"/>
          <w:sz w:val="24"/>
          <w:szCs w:val="24"/>
        </w:rPr>
        <w:t xml:space="preserve">. Shawnee Mission KS, </w:t>
      </w:r>
      <w:r w:rsidRPr="004B4EA1">
        <w:rPr>
          <w:rFonts w:ascii="Times" w:hAnsi="Times" w:cs="Times"/>
          <w:b/>
          <w:sz w:val="24"/>
          <w:szCs w:val="24"/>
        </w:rPr>
        <w:t>2009</w:t>
      </w:r>
      <w:r w:rsidRPr="004B4EA1">
        <w:rPr>
          <w:rFonts w:ascii="Times" w:hAnsi="Times" w:cs="Times"/>
          <w:sz w:val="24"/>
          <w:szCs w:val="24"/>
        </w:rPr>
        <w:t>.</w:t>
      </w:r>
    </w:p>
    <w:p w14:paraId="19DB9E6E" w14:textId="77777777" w:rsidR="00571275" w:rsidRPr="004B4EA1" w:rsidRDefault="00571275" w:rsidP="00571275">
      <w:pPr>
        <w:numPr>
          <w:ilvl w:val="0"/>
          <w:numId w:val="2"/>
        </w:numPr>
        <w:spacing w:after="0" w:line="360" w:lineRule="auto"/>
        <w:ind w:hanging="450"/>
        <w:jc w:val="both"/>
        <w:rPr>
          <w:rFonts w:ascii="Times" w:hAnsi="Times" w:cs="Times"/>
          <w:sz w:val="24"/>
          <w:szCs w:val="24"/>
        </w:rPr>
      </w:pPr>
      <w:r w:rsidRPr="004B4EA1">
        <w:rPr>
          <w:rFonts w:ascii="Times" w:hAnsi="Times" w:cs="Times"/>
          <w:sz w:val="24"/>
          <w:szCs w:val="24"/>
        </w:rPr>
        <w:t xml:space="preserve">M.A.D. Becke, </w:t>
      </w:r>
      <w:r w:rsidRPr="004B4EA1">
        <w:rPr>
          <w:rFonts w:ascii="Times" w:hAnsi="Times" w:cs="Times"/>
          <w:i/>
          <w:sz w:val="24"/>
          <w:szCs w:val="24"/>
        </w:rPr>
        <w:t>Phys. Rec. A</w:t>
      </w:r>
      <w:r w:rsidRPr="004B4EA1">
        <w:rPr>
          <w:rFonts w:ascii="Times" w:hAnsi="Times" w:cs="Times"/>
          <w:sz w:val="24"/>
          <w:szCs w:val="24"/>
        </w:rPr>
        <w:t xml:space="preserve">. </w:t>
      </w:r>
      <w:r w:rsidRPr="004B4EA1">
        <w:rPr>
          <w:rFonts w:ascii="Times" w:hAnsi="Times" w:cs="Times"/>
          <w:b/>
          <w:sz w:val="24"/>
          <w:szCs w:val="24"/>
        </w:rPr>
        <w:t>1988</w:t>
      </w:r>
      <w:r w:rsidRPr="004B4EA1">
        <w:rPr>
          <w:rFonts w:ascii="Times" w:hAnsi="Times" w:cs="Times"/>
          <w:sz w:val="24"/>
          <w:szCs w:val="24"/>
        </w:rPr>
        <w:t>; 38, 3098.</w:t>
      </w:r>
    </w:p>
    <w:p w14:paraId="513B32F7" w14:textId="1888C920" w:rsidR="005F12A1" w:rsidRPr="004B4EA1" w:rsidRDefault="00571275" w:rsidP="005F12A1">
      <w:pPr>
        <w:numPr>
          <w:ilvl w:val="0"/>
          <w:numId w:val="2"/>
        </w:numPr>
        <w:spacing w:after="0" w:line="360" w:lineRule="auto"/>
        <w:ind w:hanging="450"/>
        <w:jc w:val="both"/>
        <w:rPr>
          <w:rFonts w:ascii="Times" w:hAnsi="Times" w:cs="Times"/>
          <w:sz w:val="24"/>
          <w:szCs w:val="24"/>
        </w:rPr>
      </w:pPr>
      <w:r w:rsidRPr="004B4EA1">
        <w:rPr>
          <w:rFonts w:ascii="Times" w:hAnsi="Times" w:cs="Times"/>
          <w:sz w:val="24"/>
          <w:szCs w:val="24"/>
        </w:rPr>
        <w:t xml:space="preserve">C. Lee, W. Yang, R. G. Parr, </w:t>
      </w:r>
      <w:r w:rsidRPr="004B4EA1">
        <w:rPr>
          <w:rFonts w:ascii="Times" w:hAnsi="Times" w:cs="Times"/>
          <w:i/>
          <w:sz w:val="24"/>
          <w:szCs w:val="24"/>
        </w:rPr>
        <w:t>Phys. Rev. B</w:t>
      </w:r>
      <w:r w:rsidRPr="004B4EA1">
        <w:rPr>
          <w:rFonts w:ascii="Times" w:hAnsi="Times" w:cs="Times"/>
          <w:sz w:val="24"/>
          <w:szCs w:val="24"/>
        </w:rPr>
        <w:t xml:space="preserve">. </w:t>
      </w:r>
      <w:r w:rsidRPr="004B4EA1">
        <w:rPr>
          <w:rFonts w:ascii="Times" w:hAnsi="Times" w:cs="Times"/>
          <w:b/>
          <w:sz w:val="24"/>
          <w:szCs w:val="24"/>
        </w:rPr>
        <w:t>1988</w:t>
      </w:r>
      <w:r w:rsidRPr="004B4EA1">
        <w:rPr>
          <w:rFonts w:ascii="Times" w:hAnsi="Times" w:cs="Times"/>
          <w:sz w:val="24"/>
          <w:szCs w:val="24"/>
        </w:rPr>
        <w:t xml:space="preserve">; 37, 785. </w:t>
      </w:r>
    </w:p>
    <w:p w14:paraId="671F02C6" w14:textId="77777777" w:rsidR="005F12A1" w:rsidRPr="004B4EA1" w:rsidRDefault="005F12A1" w:rsidP="005F12A1">
      <w:pPr>
        <w:spacing w:line="360" w:lineRule="auto"/>
        <w:jc w:val="both"/>
      </w:pPr>
    </w:p>
    <w:p w14:paraId="2BBA45FD" w14:textId="77777777" w:rsidR="005F12A1" w:rsidRPr="004B4EA1" w:rsidRDefault="005F12A1" w:rsidP="005F12A1">
      <w:pPr>
        <w:spacing w:line="360" w:lineRule="auto"/>
        <w:jc w:val="both"/>
      </w:pPr>
    </w:p>
    <w:p w14:paraId="241BCF82" w14:textId="77777777" w:rsidR="005F12A1" w:rsidRPr="004B4EA1" w:rsidRDefault="005F12A1" w:rsidP="005F12A1">
      <w:pPr>
        <w:spacing w:line="360" w:lineRule="auto"/>
        <w:jc w:val="both"/>
      </w:pPr>
    </w:p>
    <w:p w14:paraId="59F46479" w14:textId="77777777" w:rsidR="005F12A1" w:rsidRPr="004B4EA1" w:rsidRDefault="005F12A1" w:rsidP="005F12A1">
      <w:pPr>
        <w:spacing w:line="360" w:lineRule="auto"/>
        <w:jc w:val="both"/>
      </w:pPr>
    </w:p>
    <w:p w14:paraId="7C2D4D25" w14:textId="77777777" w:rsidR="002224C4" w:rsidRPr="004B4EA1" w:rsidRDefault="002224C4" w:rsidP="002224C4">
      <w:pPr>
        <w:spacing w:line="360" w:lineRule="auto"/>
        <w:jc w:val="center"/>
        <w:rPr>
          <w:rFonts w:ascii="Times New Roman" w:hAnsi="Times New Roman"/>
          <w:szCs w:val="24"/>
        </w:rPr>
      </w:pPr>
    </w:p>
    <w:p w14:paraId="70F582A8" w14:textId="77777777" w:rsidR="002224C4" w:rsidRPr="004B4EA1" w:rsidRDefault="002224C4" w:rsidP="002224C4">
      <w:pPr>
        <w:spacing w:line="360" w:lineRule="auto"/>
        <w:jc w:val="center"/>
        <w:rPr>
          <w:rFonts w:ascii="Times New Roman" w:hAnsi="Times New Roman"/>
          <w:szCs w:val="24"/>
        </w:rPr>
      </w:pPr>
    </w:p>
    <w:p w14:paraId="15A25328" w14:textId="77777777" w:rsidR="002224C4" w:rsidRPr="004B4EA1" w:rsidRDefault="002224C4" w:rsidP="002224C4">
      <w:pPr>
        <w:spacing w:line="360" w:lineRule="auto"/>
        <w:jc w:val="center"/>
        <w:rPr>
          <w:rFonts w:ascii="Times New Roman" w:hAnsi="Times New Roman"/>
          <w:szCs w:val="24"/>
        </w:rPr>
      </w:pPr>
    </w:p>
    <w:p w14:paraId="0F5CDD35" w14:textId="77777777" w:rsidR="002224C4" w:rsidRPr="004B4EA1" w:rsidRDefault="002224C4" w:rsidP="002224C4">
      <w:pPr>
        <w:spacing w:line="360" w:lineRule="auto"/>
        <w:jc w:val="center"/>
        <w:rPr>
          <w:rFonts w:ascii="Times New Roman" w:hAnsi="Times New Roman"/>
          <w:szCs w:val="24"/>
        </w:rPr>
      </w:pPr>
    </w:p>
    <w:p w14:paraId="789EEC27" w14:textId="77777777" w:rsidR="002224C4" w:rsidRPr="002224C4" w:rsidRDefault="002224C4" w:rsidP="005F12A1">
      <w:pPr>
        <w:spacing w:line="360" w:lineRule="auto"/>
        <w:jc w:val="center"/>
        <w:rPr>
          <w:rFonts w:ascii="Times New Roman" w:hAnsi="Times New Roman"/>
          <w:szCs w:val="24"/>
        </w:rPr>
      </w:pPr>
      <w:r w:rsidRPr="002224C4">
        <w:rPr>
          <w:rFonts w:ascii="Times New Roman" w:hAnsi="Times New Roman"/>
          <w:noProof/>
          <w:szCs w:val="24"/>
          <w:lang w:val="en-IN" w:eastAsia="en-IN"/>
        </w:rPr>
        <w:drawing>
          <wp:inline distT="0" distB="0" distL="0" distR="0" wp14:anchorId="16CC8C20" wp14:editId="4028685D">
            <wp:extent cx="5343525" cy="25336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10000"/>
                      <a:extLst>
                        <a:ext uri="{BEBA8EAE-BF5A-486C-A8C5-ECC9F3942E4B}">
                          <a14:imgProps xmlns:a14="http://schemas.microsoft.com/office/drawing/2010/main">
                            <a14:imgLayer r:embed="rId6">
                              <a14:imgEffect>
                                <a14:sharpenSoften amount="50000"/>
                              </a14:imgEffect>
                            </a14:imgLayer>
                          </a14:imgProps>
                        </a:ext>
                      </a:extLst>
                    </a:blip>
                    <a:srcRect/>
                    <a:stretch>
                      <a:fillRect/>
                    </a:stretch>
                  </pic:blipFill>
                  <pic:spPr bwMode="auto">
                    <a:xfrm>
                      <a:off x="0" y="0"/>
                      <a:ext cx="5343525" cy="2533650"/>
                    </a:xfrm>
                    <a:prstGeom prst="rect">
                      <a:avLst/>
                    </a:prstGeom>
                    <a:noFill/>
                    <a:ln w="9525">
                      <a:noFill/>
                      <a:miter lim="800000"/>
                      <a:headEnd/>
                      <a:tailEnd/>
                    </a:ln>
                  </pic:spPr>
                </pic:pic>
              </a:graphicData>
            </a:graphic>
          </wp:inline>
        </w:drawing>
      </w:r>
    </w:p>
    <w:p w14:paraId="03D69353" w14:textId="41E815E8" w:rsidR="002224C4" w:rsidRPr="002224C4" w:rsidRDefault="002224C4" w:rsidP="009A75EA">
      <w:pPr>
        <w:spacing w:line="360" w:lineRule="auto"/>
        <w:jc w:val="center"/>
        <w:rPr>
          <w:rFonts w:ascii="Times New Roman" w:hAnsi="Times New Roman"/>
          <w:szCs w:val="24"/>
        </w:rPr>
      </w:pPr>
      <w:r w:rsidRPr="002224C4">
        <w:rPr>
          <w:rFonts w:ascii="Times New Roman" w:hAnsi="Times New Roman"/>
          <w:szCs w:val="24"/>
        </w:rPr>
        <w:t>Fig. S</w:t>
      </w:r>
      <w:r w:rsidR="001E5333">
        <w:rPr>
          <w:rFonts w:ascii="Times New Roman" w:hAnsi="Times New Roman"/>
          <w:szCs w:val="24"/>
        </w:rPr>
        <w:t>1</w:t>
      </w:r>
      <w:r w:rsidRPr="002224C4">
        <w:rPr>
          <w:rFonts w:ascii="Times New Roman" w:hAnsi="Times New Roman"/>
          <w:szCs w:val="24"/>
        </w:rPr>
        <w:t>.</w:t>
      </w:r>
      <w:r w:rsidRPr="002224C4">
        <w:rPr>
          <w:rFonts w:ascii="Times New Roman" w:hAnsi="Times New Roman"/>
          <w:b/>
          <w:szCs w:val="24"/>
        </w:rPr>
        <w:t xml:space="preserve"> </w:t>
      </w:r>
      <w:r w:rsidRPr="002224C4">
        <w:rPr>
          <w:rFonts w:ascii="Times New Roman" w:hAnsi="Times New Roman"/>
          <w:szCs w:val="24"/>
          <w:vertAlign w:val="superscript"/>
        </w:rPr>
        <w:t>1</w:t>
      </w:r>
      <w:r w:rsidRPr="002224C4">
        <w:rPr>
          <w:rFonts w:ascii="Times New Roman" w:hAnsi="Times New Roman"/>
          <w:szCs w:val="24"/>
        </w:rPr>
        <w:t xml:space="preserve">H NMR spectrum of </w:t>
      </w:r>
      <w:r w:rsidR="009A75EA" w:rsidRPr="009A75EA">
        <w:rPr>
          <w:rFonts w:ascii="Times New Roman" w:hAnsi="Times New Roman"/>
          <w:b/>
          <w:bCs/>
          <w:szCs w:val="24"/>
        </w:rPr>
        <w:t xml:space="preserve"> </w:t>
      </w:r>
      <w:r w:rsidR="009A75EA">
        <w:rPr>
          <w:rFonts w:ascii="Times New Roman" w:hAnsi="Times New Roman"/>
          <w:b/>
          <w:bCs/>
          <w:szCs w:val="24"/>
        </w:rPr>
        <w:t>HHQ</w:t>
      </w:r>
      <w:r w:rsidRPr="002224C4">
        <w:rPr>
          <w:rFonts w:ascii="Times New Roman" w:hAnsi="Times New Roman"/>
          <w:szCs w:val="24"/>
        </w:rPr>
        <w:t>.</w:t>
      </w:r>
    </w:p>
    <w:p w14:paraId="59DE9411" w14:textId="77777777" w:rsidR="002224C4" w:rsidRPr="002224C4" w:rsidRDefault="002224C4" w:rsidP="002224C4">
      <w:pPr>
        <w:spacing w:line="360" w:lineRule="auto"/>
        <w:rPr>
          <w:rFonts w:ascii="Times New Roman" w:hAnsi="Times New Roman"/>
          <w:szCs w:val="24"/>
        </w:rPr>
      </w:pPr>
    </w:p>
    <w:p w14:paraId="4AE343DD" w14:textId="77777777" w:rsidR="002224C4" w:rsidRPr="002224C4" w:rsidRDefault="002224C4" w:rsidP="002224C4">
      <w:pPr>
        <w:spacing w:line="360" w:lineRule="auto"/>
        <w:jc w:val="center"/>
        <w:rPr>
          <w:rFonts w:ascii="Times New Roman" w:hAnsi="Times New Roman"/>
          <w:szCs w:val="24"/>
        </w:rPr>
      </w:pPr>
      <w:r w:rsidRPr="002224C4">
        <w:rPr>
          <w:rFonts w:ascii="Times New Roman" w:hAnsi="Times New Roman"/>
          <w:noProof/>
          <w:szCs w:val="24"/>
          <w:lang w:val="en-IN" w:eastAsia="en-IN"/>
        </w:rPr>
        <w:drawing>
          <wp:inline distT="0" distB="0" distL="0" distR="0" wp14:anchorId="69388F39" wp14:editId="39DB7CF0">
            <wp:extent cx="5943600" cy="417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14:paraId="0BAF6083" w14:textId="50AD815C" w:rsidR="002224C4" w:rsidRPr="002224C4" w:rsidRDefault="002224C4" w:rsidP="009A75EA">
      <w:pPr>
        <w:spacing w:line="360" w:lineRule="auto"/>
        <w:jc w:val="center"/>
        <w:rPr>
          <w:rFonts w:ascii="Times New Roman" w:hAnsi="Times New Roman"/>
          <w:szCs w:val="24"/>
        </w:rPr>
      </w:pPr>
      <w:r w:rsidRPr="002224C4">
        <w:rPr>
          <w:rFonts w:ascii="Times New Roman" w:hAnsi="Times New Roman"/>
          <w:szCs w:val="24"/>
        </w:rPr>
        <w:t>Fig. S</w:t>
      </w:r>
      <w:r w:rsidR="001E5333">
        <w:rPr>
          <w:rFonts w:ascii="Times New Roman" w:hAnsi="Times New Roman"/>
          <w:szCs w:val="24"/>
        </w:rPr>
        <w:t>2</w:t>
      </w:r>
      <w:r w:rsidRPr="002224C4">
        <w:rPr>
          <w:rFonts w:ascii="Times New Roman" w:hAnsi="Times New Roman"/>
          <w:szCs w:val="24"/>
        </w:rPr>
        <w:t>.</w:t>
      </w:r>
      <w:r w:rsidRPr="002224C4">
        <w:rPr>
          <w:rFonts w:ascii="Times New Roman" w:hAnsi="Times New Roman"/>
          <w:b/>
          <w:szCs w:val="24"/>
        </w:rPr>
        <w:t xml:space="preserve"> </w:t>
      </w:r>
      <w:r w:rsidRPr="002224C4">
        <w:rPr>
          <w:rFonts w:ascii="Times New Roman" w:hAnsi="Times New Roman"/>
          <w:szCs w:val="24"/>
          <w:vertAlign w:val="superscript"/>
        </w:rPr>
        <w:t>13</w:t>
      </w:r>
      <w:r w:rsidRPr="002224C4">
        <w:rPr>
          <w:rFonts w:ascii="Times New Roman" w:hAnsi="Times New Roman"/>
          <w:szCs w:val="24"/>
        </w:rPr>
        <w:t xml:space="preserve">C NMR spectrum of </w:t>
      </w:r>
      <w:r w:rsidR="009A75EA">
        <w:rPr>
          <w:rFonts w:ascii="Times New Roman" w:hAnsi="Times New Roman"/>
          <w:b/>
          <w:bCs/>
          <w:szCs w:val="24"/>
        </w:rPr>
        <w:t>HHQ</w:t>
      </w:r>
      <w:r w:rsidRPr="002224C4">
        <w:rPr>
          <w:rFonts w:ascii="Times New Roman" w:hAnsi="Times New Roman"/>
          <w:szCs w:val="24"/>
        </w:rPr>
        <w:t>.</w:t>
      </w:r>
    </w:p>
    <w:p w14:paraId="6216324B" w14:textId="77777777" w:rsidR="002224C4" w:rsidRPr="002224C4" w:rsidRDefault="002224C4" w:rsidP="002224C4">
      <w:pPr>
        <w:spacing w:line="360" w:lineRule="auto"/>
        <w:jc w:val="center"/>
        <w:rPr>
          <w:rFonts w:ascii="Times New Roman" w:hAnsi="Times New Roman"/>
          <w:szCs w:val="24"/>
        </w:rPr>
      </w:pPr>
    </w:p>
    <w:p w14:paraId="089443A3" w14:textId="77777777" w:rsidR="002224C4" w:rsidRPr="002224C4" w:rsidRDefault="002224C4" w:rsidP="005F12A1">
      <w:pPr>
        <w:spacing w:line="360" w:lineRule="auto"/>
        <w:rPr>
          <w:rFonts w:ascii="Times New Roman" w:hAnsi="Times New Roman"/>
          <w:szCs w:val="24"/>
        </w:rPr>
      </w:pPr>
    </w:p>
    <w:p w14:paraId="3AF37645" w14:textId="77777777" w:rsidR="002224C4" w:rsidRPr="002224C4" w:rsidRDefault="002224C4" w:rsidP="002224C4">
      <w:pPr>
        <w:spacing w:line="360" w:lineRule="auto"/>
        <w:jc w:val="center"/>
        <w:rPr>
          <w:rFonts w:ascii="Times New Roman" w:hAnsi="Times New Roman"/>
          <w:szCs w:val="24"/>
        </w:rPr>
      </w:pPr>
      <w:r w:rsidRPr="002224C4">
        <w:rPr>
          <w:rFonts w:ascii="Times New Roman" w:hAnsi="Times New Roman"/>
          <w:noProof/>
          <w:szCs w:val="24"/>
          <w:lang w:val="en-IN" w:eastAsia="en-IN"/>
        </w:rPr>
        <w:drawing>
          <wp:inline distT="0" distB="0" distL="0" distR="0" wp14:anchorId="3454C700" wp14:editId="33630D3D">
            <wp:extent cx="5934075" cy="4057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14:paraId="290CF56E" w14:textId="154E1355" w:rsidR="002224C4" w:rsidRPr="002224C4" w:rsidRDefault="002224C4" w:rsidP="009A75EA">
      <w:pPr>
        <w:spacing w:line="360" w:lineRule="auto"/>
        <w:jc w:val="center"/>
        <w:rPr>
          <w:rFonts w:ascii="Times New Roman" w:hAnsi="Times New Roman"/>
          <w:szCs w:val="24"/>
        </w:rPr>
      </w:pPr>
      <w:r w:rsidRPr="002224C4">
        <w:rPr>
          <w:rFonts w:ascii="Times New Roman" w:hAnsi="Times New Roman"/>
          <w:szCs w:val="24"/>
        </w:rPr>
        <w:t>Fig. S</w:t>
      </w:r>
      <w:r w:rsidR="001E5333">
        <w:rPr>
          <w:rFonts w:ascii="Times New Roman" w:hAnsi="Times New Roman"/>
          <w:szCs w:val="24"/>
        </w:rPr>
        <w:t>3</w:t>
      </w:r>
      <w:r w:rsidRPr="002224C4">
        <w:rPr>
          <w:rFonts w:ascii="Times New Roman" w:hAnsi="Times New Roman"/>
          <w:szCs w:val="24"/>
        </w:rPr>
        <w:t>.</w:t>
      </w:r>
      <w:r w:rsidRPr="002224C4">
        <w:rPr>
          <w:rFonts w:ascii="Times New Roman" w:hAnsi="Times New Roman"/>
          <w:b/>
          <w:szCs w:val="24"/>
        </w:rPr>
        <w:t xml:space="preserve"> </w:t>
      </w:r>
      <w:r w:rsidRPr="002224C4">
        <w:rPr>
          <w:rFonts w:ascii="Times New Roman" w:hAnsi="Times New Roman"/>
          <w:szCs w:val="24"/>
          <w:vertAlign w:val="superscript"/>
        </w:rPr>
        <w:t>13</w:t>
      </w:r>
      <w:r w:rsidRPr="002224C4">
        <w:rPr>
          <w:rFonts w:ascii="Times New Roman" w:hAnsi="Times New Roman"/>
          <w:szCs w:val="24"/>
        </w:rPr>
        <w:t xml:space="preserve">C NMR spectrum of </w:t>
      </w:r>
      <w:r w:rsidR="001E5333">
        <w:rPr>
          <w:rFonts w:ascii="Times New Roman" w:hAnsi="Times New Roman"/>
          <w:szCs w:val="24"/>
        </w:rPr>
        <w:t xml:space="preserve"> HHQ-4</w:t>
      </w:r>
      <w:r w:rsidRPr="002224C4">
        <w:rPr>
          <w:rFonts w:ascii="Times New Roman" w:hAnsi="Times New Roman"/>
          <w:szCs w:val="24"/>
        </w:rPr>
        <w:t>.</w:t>
      </w:r>
    </w:p>
    <w:p w14:paraId="713057EC" w14:textId="77777777" w:rsidR="002224C4" w:rsidRPr="002224C4" w:rsidRDefault="002224C4" w:rsidP="002224C4">
      <w:pPr>
        <w:spacing w:line="360" w:lineRule="auto"/>
        <w:jc w:val="center"/>
        <w:rPr>
          <w:rFonts w:ascii="Times New Roman" w:hAnsi="Times New Roman"/>
          <w:szCs w:val="24"/>
        </w:rPr>
      </w:pPr>
    </w:p>
    <w:p w14:paraId="66A9E634" w14:textId="77777777" w:rsidR="002224C4" w:rsidRPr="002224C4" w:rsidRDefault="002224C4" w:rsidP="002224C4">
      <w:pPr>
        <w:spacing w:line="360" w:lineRule="auto"/>
        <w:jc w:val="center"/>
        <w:rPr>
          <w:rFonts w:ascii="Times New Roman" w:hAnsi="Times New Roman"/>
          <w:szCs w:val="24"/>
        </w:rPr>
      </w:pPr>
    </w:p>
    <w:p w14:paraId="1EF14145" w14:textId="77777777" w:rsidR="002224C4" w:rsidRPr="002224C4" w:rsidRDefault="002224C4" w:rsidP="002224C4">
      <w:pPr>
        <w:spacing w:line="360" w:lineRule="auto"/>
        <w:jc w:val="center"/>
        <w:rPr>
          <w:rFonts w:ascii="Times New Roman" w:hAnsi="Times New Roman"/>
          <w:szCs w:val="24"/>
        </w:rPr>
      </w:pPr>
    </w:p>
    <w:p w14:paraId="2861A885" w14:textId="77777777" w:rsidR="002224C4" w:rsidRPr="002224C4" w:rsidRDefault="002224C4" w:rsidP="002224C4">
      <w:pPr>
        <w:spacing w:line="360" w:lineRule="auto"/>
        <w:jc w:val="center"/>
        <w:rPr>
          <w:rFonts w:ascii="Times New Roman" w:hAnsi="Times New Roman"/>
          <w:szCs w:val="24"/>
        </w:rPr>
      </w:pPr>
    </w:p>
    <w:p w14:paraId="458AAF7D" w14:textId="77777777" w:rsidR="002224C4" w:rsidRPr="002224C4" w:rsidRDefault="002224C4" w:rsidP="002224C4">
      <w:pPr>
        <w:spacing w:line="360" w:lineRule="auto"/>
        <w:jc w:val="center"/>
        <w:rPr>
          <w:rFonts w:ascii="Times New Roman" w:hAnsi="Times New Roman"/>
          <w:szCs w:val="24"/>
        </w:rPr>
      </w:pPr>
    </w:p>
    <w:p w14:paraId="747B1896" w14:textId="77777777" w:rsidR="002224C4" w:rsidRPr="002224C4" w:rsidRDefault="002224C4" w:rsidP="002224C4">
      <w:pPr>
        <w:spacing w:line="360" w:lineRule="auto"/>
        <w:jc w:val="center"/>
        <w:rPr>
          <w:rFonts w:ascii="Times New Roman" w:hAnsi="Times New Roman"/>
          <w:szCs w:val="24"/>
        </w:rPr>
      </w:pPr>
    </w:p>
    <w:p w14:paraId="316B2BF4" w14:textId="77777777" w:rsidR="002224C4" w:rsidRPr="002224C4" w:rsidRDefault="002224C4" w:rsidP="002224C4">
      <w:pPr>
        <w:spacing w:line="360" w:lineRule="auto"/>
        <w:jc w:val="center"/>
        <w:rPr>
          <w:rFonts w:ascii="Times New Roman" w:hAnsi="Times New Roman"/>
          <w:szCs w:val="24"/>
        </w:rPr>
      </w:pPr>
    </w:p>
    <w:p w14:paraId="7781F40C" w14:textId="77777777" w:rsidR="002224C4" w:rsidRPr="002224C4" w:rsidRDefault="002224C4" w:rsidP="002224C4">
      <w:pPr>
        <w:spacing w:line="360" w:lineRule="auto"/>
        <w:jc w:val="center"/>
        <w:rPr>
          <w:rFonts w:ascii="Times New Roman" w:hAnsi="Times New Roman"/>
          <w:szCs w:val="24"/>
        </w:rPr>
      </w:pPr>
    </w:p>
    <w:p w14:paraId="4F7C6A58" w14:textId="77777777" w:rsidR="002224C4" w:rsidRPr="002224C4" w:rsidRDefault="002224C4" w:rsidP="002224C4">
      <w:pPr>
        <w:spacing w:line="360" w:lineRule="auto"/>
        <w:jc w:val="center"/>
        <w:rPr>
          <w:rFonts w:ascii="Times New Roman" w:hAnsi="Times New Roman"/>
          <w:szCs w:val="24"/>
        </w:rPr>
      </w:pPr>
    </w:p>
    <w:p w14:paraId="730880B7" w14:textId="77777777" w:rsidR="002224C4" w:rsidRPr="002224C4" w:rsidRDefault="002224C4" w:rsidP="002224C4">
      <w:pPr>
        <w:spacing w:line="360" w:lineRule="auto"/>
        <w:jc w:val="center"/>
        <w:rPr>
          <w:rFonts w:ascii="Times New Roman" w:hAnsi="Times New Roman"/>
          <w:szCs w:val="24"/>
        </w:rPr>
      </w:pPr>
      <w:r w:rsidRPr="002224C4">
        <w:rPr>
          <w:rFonts w:ascii="Times New Roman" w:hAnsi="Times New Roman"/>
          <w:noProof/>
          <w:szCs w:val="24"/>
          <w:lang w:val="en-IN" w:eastAsia="en-IN"/>
        </w:rPr>
        <w:lastRenderedPageBreak/>
        <w:drawing>
          <wp:inline distT="0" distB="0" distL="0" distR="0" wp14:anchorId="79FFA683" wp14:editId="5FA3E91F">
            <wp:extent cx="5790195" cy="4752975"/>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92688" cy="4755021"/>
                    </a:xfrm>
                    <a:prstGeom prst="rect">
                      <a:avLst/>
                    </a:prstGeom>
                    <a:noFill/>
                    <a:ln w="9525">
                      <a:noFill/>
                      <a:miter lim="800000"/>
                      <a:headEnd/>
                      <a:tailEnd/>
                    </a:ln>
                  </pic:spPr>
                </pic:pic>
              </a:graphicData>
            </a:graphic>
          </wp:inline>
        </w:drawing>
      </w:r>
    </w:p>
    <w:p w14:paraId="283EE903" w14:textId="653AA99F" w:rsidR="002224C4" w:rsidRPr="002224C4" w:rsidRDefault="002224C4" w:rsidP="009A75EA">
      <w:pPr>
        <w:spacing w:line="360" w:lineRule="auto"/>
        <w:jc w:val="center"/>
        <w:rPr>
          <w:rFonts w:ascii="Times New Roman" w:hAnsi="Times New Roman"/>
          <w:szCs w:val="24"/>
        </w:rPr>
      </w:pPr>
      <w:r w:rsidRPr="002224C4">
        <w:rPr>
          <w:rFonts w:ascii="Times New Roman" w:hAnsi="Times New Roman"/>
          <w:szCs w:val="24"/>
        </w:rPr>
        <w:t>Fig. S</w:t>
      </w:r>
      <w:r w:rsidR="001E5333">
        <w:rPr>
          <w:rFonts w:ascii="Times New Roman" w:hAnsi="Times New Roman"/>
          <w:szCs w:val="24"/>
        </w:rPr>
        <w:t>4</w:t>
      </w:r>
      <w:r w:rsidRPr="002224C4">
        <w:rPr>
          <w:rFonts w:ascii="Times New Roman" w:hAnsi="Times New Roman"/>
          <w:szCs w:val="24"/>
        </w:rPr>
        <w:t xml:space="preserve">(a-d). Cyclic voltammogram of a) </w:t>
      </w:r>
      <w:r w:rsidR="001E5333">
        <w:rPr>
          <w:rFonts w:ascii="Times New Roman" w:hAnsi="Times New Roman"/>
          <w:szCs w:val="24"/>
        </w:rPr>
        <w:t>HHQ-1, b) HHQ-2, c) HHQ-3 and d) HHQ-4</w:t>
      </w:r>
      <w:r w:rsidRPr="002224C4">
        <w:rPr>
          <w:rFonts w:ascii="Times New Roman" w:hAnsi="Times New Roman"/>
          <w:szCs w:val="24"/>
        </w:rPr>
        <w:t>.</w:t>
      </w:r>
    </w:p>
    <w:p w14:paraId="107DEDBC" w14:textId="77777777" w:rsidR="002224C4" w:rsidRPr="002224C4" w:rsidRDefault="002224C4" w:rsidP="002224C4">
      <w:pPr>
        <w:spacing w:line="360" w:lineRule="auto"/>
        <w:jc w:val="center"/>
        <w:rPr>
          <w:rFonts w:ascii="Times New Roman" w:hAnsi="Times New Roman"/>
          <w:szCs w:val="24"/>
        </w:rPr>
      </w:pPr>
    </w:p>
    <w:p w14:paraId="4A161060" w14:textId="77777777" w:rsidR="002224C4" w:rsidRPr="002224C4" w:rsidRDefault="002224C4" w:rsidP="002224C4">
      <w:pPr>
        <w:spacing w:line="360" w:lineRule="auto"/>
        <w:jc w:val="center"/>
        <w:rPr>
          <w:rFonts w:ascii="Times New Roman" w:hAnsi="Times New Roman"/>
          <w:szCs w:val="24"/>
        </w:rPr>
      </w:pPr>
    </w:p>
    <w:p w14:paraId="4B7F0CDD" w14:textId="77777777" w:rsidR="002224C4" w:rsidRPr="002224C4" w:rsidRDefault="002224C4" w:rsidP="002224C4">
      <w:pPr>
        <w:spacing w:line="360" w:lineRule="auto"/>
        <w:jc w:val="center"/>
        <w:rPr>
          <w:rFonts w:ascii="Times New Roman" w:hAnsi="Times New Roman"/>
          <w:szCs w:val="24"/>
        </w:rPr>
      </w:pPr>
    </w:p>
    <w:p w14:paraId="641D59E4" w14:textId="77777777" w:rsidR="002224C4" w:rsidRPr="002224C4" w:rsidRDefault="002224C4" w:rsidP="002224C4">
      <w:pPr>
        <w:spacing w:line="360" w:lineRule="auto"/>
        <w:jc w:val="center"/>
        <w:rPr>
          <w:rFonts w:ascii="Times New Roman" w:hAnsi="Times New Roman"/>
          <w:szCs w:val="24"/>
        </w:rPr>
      </w:pPr>
    </w:p>
    <w:p w14:paraId="550E7756" w14:textId="77777777" w:rsidR="002224C4" w:rsidRPr="002224C4" w:rsidRDefault="002224C4" w:rsidP="002224C4">
      <w:pPr>
        <w:spacing w:line="360" w:lineRule="auto"/>
        <w:jc w:val="center"/>
        <w:rPr>
          <w:rFonts w:ascii="Times New Roman" w:hAnsi="Times New Roman"/>
          <w:szCs w:val="24"/>
        </w:rPr>
      </w:pPr>
    </w:p>
    <w:p w14:paraId="27051395" w14:textId="77777777" w:rsidR="002224C4" w:rsidRPr="002224C4" w:rsidRDefault="002224C4" w:rsidP="002224C4">
      <w:pPr>
        <w:spacing w:line="360" w:lineRule="auto"/>
        <w:jc w:val="center"/>
        <w:rPr>
          <w:rFonts w:ascii="Times New Roman" w:hAnsi="Times New Roman"/>
          <w:szCs w:val="24"/>
        </w:rPr>
      </w:pPr>
    </w:p>
    <w:p w14:paraId="08CCFFD8" w14:textId="77777777" w:rsidR="002224C4" w:rsidRPr="002224C4" w:rsidRDefault="002224C4" w:rsidP="002224C4">
      <w:pPr>
        <w:spacing w:line="360" w:lineRule="auto"/>
        <w:jc w:val="center"/>
        <w:rPr>
          <w:rFonts w:ascii="Times New Roman" w:hAnsi="Times New Roman"/>
          <w:szCs w:val="24"/>
        </w:rPr>
      </w:pPr>
    </w:p>
    <w:p w14:paraId="3B7FA43C" w14:textId="77777777" w:rsidR="002224C4" w:rsidRPr="002224C4" w:rsidRDefault="002224C4" w:rsidP="002224C4">
      <w:pPr>
        <w:spacing w:line="360" w:lineRule="auto"/>
        <w:jc w:val="center"/>
        <w:rPr>
          <w:rFonts w:ascii="Times New Roman" w:hAnsi="Times New Roman"/>
          <w:szCs w:val="24"/>
        </w:rPr>
      </w:pPr>
    </w:p>
    <w:p w14:paraId="2ACC766D" w14:textId="77777777" w:rsidR="002224C4" w:rsidRPr="002224C4" w:rsidRDefault="002224C4" w:rsidP="002224C4">
      <w:pPr>
        <w:spacing w:line="360" w:lineRule="auto"/>
        <w:jc w:val="center"/>
        <w:rPr>
          <w:rFonts w:ascii="Times New Roman" w:hAnsi="Times New Roman"/>
          <w:szCs w:val="24"/>
        </w:rPr>
      </w:pPr>
    </w:p>
    <w:p w14:paraId="00E80B45" w14:textId="77777777" w:rsidR="002224C4" w:rsidRPr="002224C4" w:rsidRDefault="002224C4" w:rsidP="002224C4">
      <w:pPr>
        <w:spacing w:line="360" w:lineRule="auto"/>
        <w:jc w:val="center"/>
        <w:rPr>
          <w:rFonts w:ascii="Times New Roman" w:hAnsi="Times New Roman"/>
          <w:szCs w:val="24"/>
        </w:rPr>
      </w:pPr>
    </w:p>
    <w:p w14:paraId="6104F71C" w14:textId="77777777" w:rsidR="002224C4" w:rsidRPr="002224C4" w:rsidRDefault="002224C4" w:rsidP="002224C4">
      <w:pPr>
        <w:spacing w:line="360" w:lineRule="auto"/>
        <w:jc w:val="center"/>
        <w:rPr>
          <w:rFonts w:ascii="Times New Roman" w:hAnsi="Times New Roman"/>
          <w:szCs w:val="24"/>
        </w:rPr>
      </w:pPr>
      <w:r w:rsidRPr="002224C4">
        <w:rPr>
          <w:rFonts w:ascii="Times New Roman" w:hAnsi="Times New Roman"/>
          <w:b/>
          <w:bCs/>
          <w:noProof/>
          <w:szCs w:val="24"/>
          <w:lang w:val="en-IN" w:eastAsia="en-IN"/>
        </w:rPr>
        <w:lastRenderedPageBreak/>
        <w:drawing>
          <wp:inline distT="0" distB="0" distL="0" distR="0" wp14:anchorId="2E333C14" wp14:editId="7E94A1BB">
            <wp:extent cx="5695950" cy="547687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0"/>
                              </a14:imgEffect>
                            </a14:imgLayer>
                          </a14:imgProps>
                        </a:ext>
                      </a:extLst>
                    </a:blip>
                    <a:srcRect/>
                    <a:stretch>
                      <a:fillRect/>
                    </a:stretch>
                  </pic:blipFill>
                  <pic:spPr bwMode="auto">
                    <a:xfrm>
                      <a:off x="0" y="0"/>
                      <a:ext cx="5695950" cy="5476875"/>
                    </a:xfrm>
                    <a:prstGeom prst="rect">
                      <a:avLst/>
                    </a:prstGeom>
                    <a:noFill/>
                    <a:ln w="9525">
                      <a:noFill/>
                      <a:miter lim="800000"/>
                      <a:headEnd/>
                      <a:tailEnd/>
                    </a:ln>
                  </pic:spPr>
                </pic:pic>
              </a:graphicData>
            </a:graphic>
          </wp:inline>
        </w:drawing>
      </w:r>
    </w:p>
    <w:p w14:paraId="1688CAFC" w14:textId="035068ED" w:rsidR="002224C4" w:rsidRPr="002224C4" w:rsidRDefault="002224C4" w:rsidP="002224C4">
      <w:pPr>
        <w:spacing w:line="360" w:lineRule="auto"/>
        <w:rPr>
          <w:rFonts w:ascii="Times New Roman" w:hAnsi="Times New Roman"/>
          <w:szCs w:val="24"/>
        </w:rPr>
      </w:pPr>
      <w:r w:rsidRPr="002224C4">
        <w:rPr>
          <w:rFonts w:ascii="Times New Roman" w:hAnsi="Times New Roman"/>
          <w:szCs w:val="24"/>
        </w:rPr>
        <w:t>Fig. S</w:t>
      </w:r>
      <w:r w:rsidR="001E5333">
        <w:rPr>
          <w:rFonts w:ascii="Times New Roman" w:hAnsi="Times New Roman"/>
          <w:szCs w:val="24"/>
        </w:rPr>
        <w:t>5</w:t>
      </w:r>
      <w:r w:rsidRPr="002224C4">
        <w:rPr>
          <w:rFonts w:ascii="Times New Roman" w:hAnsi="Times New Roman"/>
          <w:szCs w:val="24"/>
        </w:rPr>
        <w:t xml:space="preserve">(a-e). Powder XRD pattern of a) </w:t>
      </w:r>
      <w:r w:rsidR="009A75EA">
        <w:rPr>
          <w:rFonts w:ascii="Times New Roman" w:hAnsi="Times New Roman"/>
          <w:b/>
          <w:bCs/>
          <w:szCs w:val="24"/>
        </w:rPr>
        <w:t>HHQ</w:t>
      </w:r>
      <w:r w:rsidRPr="002224C4">
        <w:rPr>
          <w:rFonts w:ascii="Times New Roman" w:hAnsi="Times New Roman"/>
          <w:szCs w:val="24"/>
        </w:rPr>
        <w:t>, b)</w:t>
      </w:r>
      <w:r w:rsidR="001E5333" w:rsidRPr="002224C4">
        <w:rPr>
          <w:rFonts w:ascii="Times New Roman" w:hAnsi="Times New Roman"/>
          <w:szCs w:val="24"/>
        </w:rPr>
        <w:t xml:space="preserve"> </w:t>
      </w:r>
      <w:r w:rsidR="001E5333">
        <w:rPr>
          <w:rFonts w:ascii="Times New Roman" w:hAnsi="Times New Roman"/>
          <w:szCs w:val="24"/>
        </w:rPr>
        <w:t>HHQ-1, c) HHQ-2, d) HHQ-3 and e) HHQ-4</w:t>
      </w:r>
      <w:r w:rsidRPr="002224C4">
        <w:rPr>
          <w:rFonts w:ascii="Times New Roman" w:hAnsi="Times New Roman"/>
          <w:szCs w:val="24"/>
        </w:rPr>
        <w:t>.</w:t>
      </w:r>
    </w:p>
    <w:p w14:paraId="18DFF460" w14:textId="77777777" w:rsidR="002224C4" w:rsidRPr="002224C4" w:rsidRDefault="002224C4" w:rsidP="002224C4">
      <w:pPr>
        <w:spacing w:line="360" w:lineRule="auto"/>
        <w:jc w:val="center"/>
        <w:rPr>
          <w:rFonts w:ascii="Times New Roman" w:hAnsi="Times New Roman"/>
          <w:szCs w:val="24"/>
        </w:rPr>
      </w:pPr>
    </w:p>
    <w:p w14:paraId="62AEBDA5" w14:textId="77777777" w:rsidR="002224C4" w:rsidRPr="002224C4" w:rsidRDefault="002224C4" w:rsidP="002224C4">
      <w:pPr>
        <w:spacing w:line="360" w:lineRule="auto"/>
        <w:jc w:val="center"/>
        <w:rPr>
          <w:rFonts w:ascii="Times New Roman" w:hAnsi="Times New Roman"/>
          <w:szCs w:val="24"/>
        </w:rPr>
      </w:pPr>
    </w:p>
    <w:p w14:paraId="64AE5AAD" w14:textId="77777777" w:rsidR="002224C4" w:rsidRPr="002224C4" w:rsidRDefault="002224C4" w:rsidP="002224C4">
      <w:pPr>
        <w:spacing w:line="360" w:lineRule="auto"/>
        <w:jc w:val="center"/>
        <w:rPr>
          <w:rFonts w:ascii="Times New Roman" w:hAnsi="Times New Roman"/>
          <w:szCs w:val="24"/>
        </w:rPr>
      </w:pPr>
    </w:p>
    <w:p w14:paraId="0FD982BB" w14:textId="77777777" w:rsidR="002224C4" w:rsidRPr="002224C4" w:rsidRDefault="002224C4" w:rsidP="002224C4">
      <w:pPr>
        <w:spacing w:line="360" w:lineRule="auto"/>
        <w:jc w:val="center"/>
        <w:rPr>
          <w:rFonts w:ascii="Times New Roman" w:hAnsi="Times New Roman"/>
          <w:szCs w:val="24"/>
        </w:rPr>
      </w:pPr>
    </w:p>
    <w:p w14:paraId="2678F848" w14:textId="77777777" w:rsidR="002224C4" w:rsidRPr="002224C4" w:rsidRDefault="002224C4" w:rsidP="002224C4">
      <w:pPr>
        <w:spacing w:line="360" w:lineRule="auto"/>
        <w:jc w:val="center"/>
        <w:rPr>
          <w:rFonts w:ascii="Times New Roman" w:hAnsi="Times New Roman"/>
          <w:szCs w:val="24"/>
        </w:rPr>
      </w:pPr>
    </w:p>
    <w:p w14:paraId="09D9AC6A" w14:textId="77777777" w:rsidR="002224C4" w:rsidRPr="002224C4" w:rsidRDefault="002224C4" w:rsidP="002224C4">
      <w:pPr>
        <w:spacing w:line="360" w:lineRule="auto"/>
        <w:jc w:val="center"/>
        <w:rPr>
          <w:rFonts w:ascii="Times New Roman" w:hAnsi="Times New Roman"/>
          <w:szCs w:val="24"/>
        </w:rPr>
      </w:pPr>
    </w:p>
    <w:p w14:paraId="7EB81234" w14:textId="77777777" w:rsidR="002224C4" w:rsidRPr="002224C4" w:rsidRDefault="002224C4" w:rsidP="002224C4">
      <w:pPr>
        <w:spacing w:line="360" w:lineRule="auto"/>
        <w:jc w:val="center"/>
        <w:rPr>
          <w:rFonts w:ascii="Times New Roman" w:hAnsi="Times New Roman"/>
          <w:szCs w:val="24"/>
        </w:rPr>
      </w:pPr>
    </w:p>
    <w:p w14:paraId="769F61D4" w14:textId="77777777" w:rsidR="002224C4" w:rsidRPr="002224C4" w:rsidRDefault="002224C4" w:rsidP="002224C4">
      <w:pPr>
        <w:spacing w:line="360" w:lineRule="auto"/>
        <w:jc w:val="center"/>
        <w:rPr>
          <w:rFonts w:ascii="Times New Roman" w:hAnsi="Times New Roman"/>
          <w:szCs w:val="24"/>
        </w:rPr>
      </w:pPr>
    </w:p>
    <w:p w14:paraId="5B78F57B" w14:textId="77777777" w:rsidR="002224C4" w:rsidRPr="002224C4" w:rsidRDefault="002224C4" w:rsidP="002224C4">
      <w:pPr>
        <w:spacing w:line="360" w:lineRule="auto"/>
        <w:jc w:val="center"/>
        <w:rPr>
          <w:rFonts w:ascii="Times New Roman" w:hAnsi="Times New Roman"/>
          <w:szCs w:val="24"/>
        </w:rPr>
      </w:pPr>
      <w:r w:rsidRPr="002224C4">
        <w:rPr>
          <w:rFonts w:ascii="Times New Roman" w:hAnsi="Times New Roman"/>
          <w:noProof/>
          <w:szCs w:val="24"/>
          <w:lang w:val="en-IN" w:eastAsia="en-IN"/>
        </w:rPr>
        <w:lastRenderedPageBreak/>
        <w:drawing>
          <wp:inline distT="0" distB="0" distL="0" distR="0" wp14:anchorId="270D744D" wp14:editId="4A338111">
            <wp:extent cx="4457700" cy="5781172"/>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459442" cy="5783431"/>
                    </a:xfrm>
                    <a:prstGeom prst="rect">
                      <a:avLst/>
                    </a:prstGeom>
                    <a:noFill/>
                    <a:ln w="9525">
                      <a:noFill/>
                      <a:miter lim="800000"/>
                      <a:headEnd/>
                      <a:tailEnd/>
                    </a:ln>
                  </pic:spPr>
                </pic:pic>
              </a:graphicData>
            </a:graphic>
          </wp:inline>
        </w:drawing>
      </w:r>
    </w:p>
    <w:p w14:paraId="4A6E4613" w14:textId="5B8155CE" w:rsidR="002224C4" w:rsidRPr="002224C4" w:rsidRDefault="002224C4" w:rsidP="002224C4">
      <w:pPr>
        <w:spacing w:line="360" w:lineRule="auto"/>
        <w:rPr>
          <w:rFonts w:ascii="Times New Roman" w:hAnsi="Times New Roman"/>
          <w:szCs w:val="24"/>
        </w:rPr>
      </w:pPr>
      <w:r w:rsidRPr="002224C4">
        <w:rPr>
          <w:rFonts w:ascii="Times New Roman" w:hAnsi="Times New Roman"/>
          <w:szCs w:val="24"/>
        </w:rPr>
        <w:t>Fig. S</w:t>
      </w:r>
      <w:r w:rsidR="001E5333">
        <w:rPr>
          <w:rFonts w:ascii="Times New Roman" w:hAnsi="Times New Roman"/>
          <w:szCs w:val="24"/>
        </w:rPr>
        <w:t>6</w:t>
      </w:r>
      <w:r w:rsidRPr="002224C4">
        <w:rPr>
          <w:rFonts w:ascii="Times New Roman" w:hAnsi="Times New Roman"/>
          <w:szCs w:val="24"/>
        </w:rPr>
        <w:t>(a-e).</w:t>
      </w:r>
      <w:r w:rsidRPr="002224C4">
        <w:rPr>
          <w:rFonts w:ascii="Times New Roman" w:hAnsi="Times New Roman"/>
          <w:b/>
          <w:szCs w:val="24"/>
        </w:rPr>
        <w:t xml:space="preserve"> </w:t>
      </w:r>
      <w:r w:rsidRPr="002224C4">
        <w:rPr>
          <w:rFonts w:ascii="Times New Roman" w:hAnsi="Times New Roman"/>
          <w:szCs w:val="24"/>
        </w:rPr>
        <w:t xml:space="preserve">SEM micrographs of </w:t>
      </w:r>
      <w:r w:rsidR="001E5333" w:rsidRPr="002224C4">
        <w:rPr>
          <w:rFonts w:ascii="Times New Roman" w:hAnsi="Times New Roman"/>
          <w:szCs w:val="24"/>
        </w:rPr>
        <w:t xml:space="preserve">a) </w:t>
      </w:r>
      <w:r w:rsidR="001E5333">
        <w:rPr>
          <w:rFonts w:ascii="Times New Roman" w:hAnsi="Times New Roman"/>
          <w:b/>
          <w:bCs/>
          <w:szCs w:val="24"/>
        </w:rPr>
        <w:t>HHQ</w:t>
      </w:r>
      <w:r w:rsidR="001E5333" w:rsidRPr="002224C4">
        <w:rPr>
          <w:rFonts w:ascii="Times New Roman" w:hAnsi="Times New Roman"/>
          <w:szCs w:val="24"/>
        </w:rPr>
        <w:t xml:space="preserve">, b) </w:t>
      </w:r>
      <w:r w:rsidR="001E5333">
        <w:rPr>
          <w:rFonts w:ascii="Times New Roman" w:hAnsi="Times New Roman"/>
          <w:szCs w:val="24"/>
        </w:rPr>
        <w:t>HHQ-1, c) HHQ-2, d) HHQ-3 and e) HHQ-4</w:t>
      </w:r>
      <w:r w:rsidRPr="002224C4">
        <w:rPr>
          <w:rFonts w:ascii="Times New Roman" w:hAnsi="Times New Roman"/>
          <w:szCs w:val="24"/>
        </w:rPr>
        <w:t>.</w:t>
      </w:r>
    </w:p>
    <w:p w14:paraId="0383314E" w14:textId="77777777" w:rsidR="002224C4" w:rsidRPr="002224C4" w:rsidRDefault="002224C4" w:rsidP="002224C4">
      <w:pPr>
        <w:spacing w:line="360" w:lineRule="auto"/>
        <w:jc w:val="both"/>
        <w:rPr>
          <w:rFonts w:ascii="Times New Roman" w:hAnsi="Times New Roman"/>
          <w:sz w:val="24"/>
        </w:rPr>
      </w:pPr>
    </w:p>
    <w:sectPr w:rsidR="002224C4" w:rsidRPr="002224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10062"/>
    <w:multiLevelType w:val="hybridMultilevel"/>
    <w:tmpl w:val="CD0613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0F260E4"/>
    <w:multiLevelType w:val="hybridMultilevel"/>
    <w:tmpl w:val="F84E63C4"/>
    <w:lvl w:ilvl="0" w:tplc="EFC295A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1D88"/>
    <w:rsid w:val="000D73C3"/>
    <w:rsid w:val="001E5333"/>
    <w:rsid w:val="002224C4"/>
    <w:rsid w:val="00422E30"/>
    <w:rsid w:val="004B4EA1"/>
    <w:rsid w:val="00571275"/>
    <w:rsid w:val="005B1D88"/>
    <w:rsid w:val="005F12A1"/>
    <w:rsid w:val="009A75EA"/>
    <w:rsid w:val="00C632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8507"/>
  <w15:docId w15:val="{12A720C3-5D2E-495B-8253-60637663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4C4"/>
    <w:pPr>
      <w:spacing w:after="160" w:line="259" w:lineRule="auto"/>
    </w:pPr>
    <w:rPr>
      <w:rFonts w:ascii="Calibri" w:eastAsia="Calibri" w:hAnsi="Calibri" w:cs="Times New Roman"/>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Style">
    <w:name w:val="AuthorsStyle"/>
    <w:basedOn w:val="Normal"/>
    <w:rsid w:val="002224C4"/>
    <w:pPr>
      <w:overflowPunct w:val="0"/>
      <w:autoSpaceDE w:val="0"/>
      <w:autoSpaceDN w:val="0"/>
      <w:adjustRightInd w:val="0"/>
      <w:spacing w:after="0" w:line="480" w:lineRule="auto"/>
      <w:jc w:val="center"/>
    </w:pPr>
    <w:rPr>
      <w:rFonts w:ascii="Times New Roman" w:eastAsia="Times New Roman" w:hAnsi="Times New Roman"/>
      <w:caps/>
      <w:sz w:val="24"/>
      <w:szCs w:val="20"/>
      <w:lang w:val="en-GB"/>
    </w:rPr>
  </w:style>
  <w:style w:type="paragraph" w:customStyle="1" w:styleId="AffiliationStyle">
    <w:name w:val="AffiliationStyle"/>
    <w:basedOn w:val="Normal"/>
    <w:rsid w:val="002224C4"/>
    <w:pPr>
      <w:overflowPunct w:val="0"/>
      <w:autoSpaceDE w:val="0"/>
      <w:autoSpaceDN w:val="0"/>
      <w:adjustRightInd w:val="0"/>
      <w:spacing w:after="0" w:line="480" w:lineRule="auto"/>
      <w:jc w:val="center"/>
    </w:pPr>
    <w:rPr>
      <w:rFonts w:ascii="Times New Roman" w:eastAsia="Times New Roman" w:hAnsi="Times New Roman"/>
      <w:i/>
      <w:sz w:val="24"/>
      <w:szCs w:val="20"/>
      <w:lang w:val="en-GB"/>
    </w:rPr>
  </w:style>
  <w:style w:type="paragraph" w:customStyle="1" w:styleId="TextStyle">
    <w:name w:val="TextStyle"/>
    <w:basedOn w:val="Normal"/>
    <w:rsid w:val="002224C4"/>
    <w:pPr>
      <w:overflowPunct w:val="0"/>
      <w:autoSpaceDE w:val="0"/>
      <w:autoSpaceDN w:val="0"/>
      <w:adjustRightInd w:val="0"/>
      <w:spacing w:after="0" w:line="480" w:lineRule="auto"/>
      <w:ind w:firstLine="708"/>
      <w:jc w:val="both"/>
      <w:textAlignment w:val="baseline"/>
    </w:pPr>
    <w:rPr>
      <w:rFonts w:ascii="Times New Roman" w:eastAsia="Times New Roman" w:hAnsi="Times New Roman"/>
      <w:sz w:val="24"/>
      <w:szCs w:val="20"/>
      <w:lang w:val="en-GB"/>
    </w:rPr>
  </w:style>
  <w:style w:type="paragraph" w:customStyle="1" w:styleId="MiscellaneousStyle">
    <w:name w:val="MiscellaneousStyle"/>
    <w:basedOn w:val="Normal"/>
    <w:link w:val="MiscellaneousStyleChar"/>
    <w:rsid w:val="002224C4"/>
    <w:pPr>
      <w:overflowPunct w:val="0"/>
      <w:autoSpaceDE w:val="0"/>
      <w:autoSpaceDN w:val="0"/>
      <w:adjustRightInd w:val="0"/>
      <w:spacing w:after="0" w:line="480" w:lineRule="auto"/>
      <w:ind w:left="993" w:hanging="993"/>
      <w:jc w:val="both"/>
      <w:textAlignment w:val="baseline"/>
    </w:pPr>
    <w:rPr>
      <w:rFonts w:ascii="Times New Roman" w:eastAsia="Times New Roman" w:hAnsi="Times New Roman"/>
      <w:sz w:val="24"/>
      <w:szCs w:val="20"/>
      <w:lang w:val="en-GB"/>
    </w:rPr>
  </w:style>
  <w:style w:type="character" w:customStyle="1" w:styleId="MiscellaneousStyleChar">
    <w:name w:val="MiscellaneousStyle Char"/>
    <w:basedOn w:val="DefaultParagraphFont"/>
    <w:link w:val="MiscellaneousStyle"/>
    <w:rsid w:val="002224C4"/>
    <w:rPr>
      <w:rFonts w:ascii="Times New Roman" w:eastAsia="Times New Roman" w:hAnsi="Times New Roman" w:cs="Times New Roman"/>
      <w:sz w:val="24"/>
      <w:szCs w:val="20"/>
      <w:lang w:val="en-GB"/>
    </w:rPr>
  </w:style>
  <w:style w:type="character" w:styleId="Hyperlink">
    <w:name w:val="Hyperlink"/>
    <w:basedOn w:val="DefaultParagraphFont"/>
    <w:uiPriority w:val="99"/>
    <w:rsid w:val="002224C4"/>
    <w:rPr>
      <w:color w:val="0000FF"/>
      <w:u w:val="single"/>
    </w:rPr>
  </w:style>
  <w:style w:type="paragraph" w:styleId="BalloonText">
    <w:name w:val="Balloon Text"/>
    <w:basedOn w:val="Normal"/>
    <w:link w:val="BalloonTextChar"/>
    <w:uiPriority w:val="99"/>
    <w:semiHidden/>
    <w:unhideWhenUsed/>
    <w:rsid w:val="0022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4C4"/>
    <w:rPr>
      <w:rFonts w:ascii="Tahoma" w:eastAsia="Calibri" w:hAnsi="Tahoma" w:cs="Tahoma"/>
      <w:sz w:val="16"/>
      <w:szCs w:val="16"/>
      <w:lang w:val="sr-Latn-RS"/>
    </w:rPr>
  </w:style>
  <w:style w:type="paragraph" w:styleId="ListParagraph">
    <w:name w:val="List Paragraph"/>
    <w:basedOn w:val="Normal"/>
    <w:uiPriority w:val="34"/>
    <w:qFormat/>
    <w:rsid w:val="002224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2.wdp"/><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dc:creator>
  <cp:keywords/>
  <dc:description/>
  <cp:lastModifiedBy>J.J</cp:lastModifiedBy>
  <cp:revision>8</cp:revision>
  <dcterms:created xsi:type="dcterms:W3CDTF">2016-08-17T16:53:00Z</dcterms:created>
  <dcterms:modified xsi:type="dcterms:W3CDTF">2020-05-25T14:38:00Z</dcterms:modified>
</cp:coreProperties>
</file>