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307" w:rsidRPr="00395595" w:rsidRDefault="00B26307" w:rsidP="00B26307">
      <w:pPr>
        <w:spacing w:line="360" w:lineRule="auto"/>
        <w:jc w:val="center"/>
        <w:rPr>
          <w:rFonts w:asciiTheme="majorBidi" w:hAnsiTheme="majorBidi" w:cstheme="majorBidi"/>
          <w:b/>
          <w:bCs/>
          <w:sz w:val="28"/>
          <w:szCs w:val="28"/>
        </w:rPr>
      </w:pPr>
    </w:p>
    <w:p w:rsidR="00172437" w:rsidRPr="00395595" w:rsidRDefault="00172437" w:rsidP="00172437">
      <w:pPr>
        <w:spacing w:line="480" w:lineRule="auto"/>
        <w:jc w:val="center"/>
        <w:rPr>
          <w:rFonts w:asciiTheme="majorBidi" w:hAnsiTheme="majorBidi" w:cstheme="majorBidi"/>
          <w:b/>
          <w:bCs/>
          <w:sz w:val="28"/>
          <w:szCs w:val="28"/>
        </w:rPr>
      </w:pPr>
      <w:bookmarkStart w:id="0" w:name="_Hlk26130378"/>
      <w:r w:rsidRPr="00395595">
        <w:rPr>
          <w:rFonts w:asciiTheme="majorBidi" w:hAnsiTheme="majorBidi" w:cstheme="majorBidi"/>
          <w:b/>
          <w:bCs/>
          <w:sz w:val="28"/>
          <w:szCs w:val="28"/>
        </w:rPr>
        <w:t xml:space="preserve">Synthesis, Cytotoxicity, </w:t>
      </w:r>
      <w:r w:rsidRPr="00395595">
        <w:rPr>
          <w:rFonts w:asciiTheme="majorBidi" w:hAnsiTheme="majorBidi" w:cstheme="majorBidi"/>
          <w:b/>
          <w:bCs/>
          <w:i/>
          <w:iCs/>
          <w:sz w:val="28"/>
          <w:szCs w:val="28"/>
        </w:rPr>
        <w:t xml:space="preserve">in-vitro </w:t>
      </w:r>
      <w:r w:rsidRPr="00395595">
        <w:rPr>
          <w:rFonts w:asciiTheme="majorBidi" w:hAnsiTheme="majorBidi" w:cstheme="majorBidi"/>
          <w:b/>
          <w:bCs/>
          <w:sz w:val="28"/>
          <w:szCs w:val="28"/>
        </w:rPr>
        <w:t xml:space="preserve">Antibacterial Screening and </w:t>
      </w:r>
      <w:r w:rsidRPr="00395595">
        <w:rPr>
          <w:rFonts w:asciiTheme="majorBidi" w:hAnsiTheme="majorBidi" w:cstheme="majorBidi"/>
          <w:b/>
          <w:bCs/>
          <w:i/>
          <w:iCs/>
          <w:sz w:val="28"/>
          <w:szCs w:val="28"/>
        </w:rPr>
        <w:t xml:space="preserve">in-silico </w:t>
      </w:r>
      <w:r w:rsidRPr="00395595">
        <w:rPr>
          <w:rFonts w:asciiTheme="majorBidi" w:hAnsiTheme="majorBidi" w:cstheme="majorBidi"/>
          <w:b/>
          <w:bCs/>
          <w:sz w:val="28"/>
          <w:szCs w:val="28"/>
        </w:rPr>
        <w:t>Study of Novel Thieno[2,3-</w:t>
      </w:r>
      <w:r w:rsidRPr="00395595">
        <w:rPr>
          <w:rFonts w:asciiTheme="majorBidi" w:hAnsiTheme="majorBidi" w:cstheme="majorBidi"/>
          <w:b/>
          <w:bCs/>
          <w:i/>
          <w:iCs/>
          <w:sz w:val="28"/>
          <w:szCs w:val="28"/>
        </w:rPr>
        <w:t>b</w:t>
      </w:r>
      <w:r w:rsidRPr="00395595">
        <w:rPr>
          <w:rFonts w:asciiTheme="majorBidi" w:hAnsiTheme="majorBidi" w:cstheme="majorBidi"/>
          <w:b/>
          <w:bCs/>
          <w:sz w:val="28"/>
          <w:szCs w:val="28"/>
        </w:rPr>
        <w:t>]pyridines as Potential pim-1 Inhibitors</w:t>
      </w:r>
    </w:p>
    <w:p w:rsidR="00172437" w:rsidRPr="00395595" w:rsidRDefault="00172437" w:rsidP="00172437">
      <w:pPr>
        <w:spacing w:line="480" w:lineRule="auto"/>
        <w:jc w:val="center"/>
        <w:rPr>
          <w:rFonts w:asciiTheme="majorBidi" w:eastAsia="Times New Roman" w:hAnsiTheme="majorBidi" w:cstheme="majorBidi"/>
          <w:b/>
          <w:bCs/>
          <w:kern w:val="1"/>
          <w:sz w:val="24"/>
          <w:szCs w:val="24"/>
          <w:vertAlign w:val="superscript"/>
          <w:lang w:val="en-GB" w:eastAsia="ar-SA"/>
        </w:rPr>
      </w:pPr>
      <w:bookmarkStart w:id="1" w:name="_Hlk17116784"/>
      <w:bookmarkEnd w:id="0"/>
      <w:r w:rsidRPr="00395595">
        <w:rPr>
          <w:rFonts w:asciiTheme="majorBidi" w:eastAsia="Calibri" w:hAnsiTheme="majorBidi" w:cstheme="majorBidi"/>
          <w:sz w:val="24"/>
          <w:szCs w:val="24"/>
          <w:lang w:val="en-GB"/>
        </w:rPr>
        <w:t xml:space="preserve">Ahmed E. M. Mekky, Sherif M. H. Sanad,* Ahmed Y. Said </w:t>
      </w:r>
      <w:bookmarkEnd w:id="1"/>
      <w:r w:rsidRPr="00395595">
        <w:rPr>
          <w:rFonts w:asciiTheme="majorBidi" w:eastAsia="Calibri" w:hAnsiTheme="majorBidi" w:cstheme="majorBidi"/>
          <w:sz w:val="24"/>
          <w:szCs w:val="24"/>
          <w:lang w:val="en-GB"/>
        </w:rPr>
        <w:t>and Mohamed A. A. Elneairy</w:t>
      </w:r>
    </w:p>
    <w:p w:rsidR="00172437" w:rsidRPr="00395595" w:rsidRDefault="00172437" w:rsidP="00172437">
      <w:pPr>
        <w:pStyle w:val="Affiliation"/>
        <w:rPr>
          <w:rFonts w:asciiTheme="majorBidi" w:eastAsia="Calibri" w:hAnsiTheme="majorBidi" w:cstheme="majorBidi"/>
          <w:color w:val="auto"/>
          <w:sz w:val="20"/>
          <w:szCs w:val="20"/>
          <w:lang w:val="en-GB"/>
        </w:rPr>
      </w:pPr>
      <w:r w:rsidRPr="00395595">
        <w:rPr>
          <w:rFonts w:asciiTheme="majorBidi" w:eastAsia="Calibri" w:hAnsiTheme="majorBidi" w:cstheme="majorBidi"/>
          <w:color w:val="auto"/>
          <w:sz w:val="20"/>
          <w:szCs w:val="20"/>
          <w:lang w:val="en-GB"/>
        </w:rPr>
        <w:t>Chemistry Department, Faculty of Science, Cairo University, Giza 12613, Egypt</w:t>
      </w:r>
    </w:p>
    <w:p w:rsidR="00172437" w:rsidRPr="00395595" w:rsidRDefault="00172437" w:rsidP="00172437">
      <w:pPr>
        <w:spacing w:after="0" w:line="480" w:lineRule="auto"/>
        <w:jc w:val="center"/>
        <w:rPr>
          <w:rFonts w:ascii="Times New Roman" w:eastAsia="Times New Roman" w:hAnsi="Times New Roman" w:cs="Times New Roman"/>
          <w:sz w:val="20"/>
          <w:szCs w:val="20"/>
        </w:rPr>
      </w:pPr>
      <w:r w:rsidRPr="00395595">
        <w:rPr>
          <w:rFonts w:ascii="Times New Roman" w:eastAsia="Times New Roman" w:hAnsi="Times New Roman" w:cs="Times New Roman"/>
          <w:sz w:val="20"/>
          <w:szCs w:val="20"/>
        </w:rPr>
        <w:t>E-mail: sherif_hamed1980@yahoo.com</w:t>
      </w:r>
    </w:p>
    <w:p w:rsidR="00F06C3F" w:rsidRPr="00395595" w:rsidRDefault="00F06C3F" w:rsidP="00F06C3F">
      <w:pPr>
        <w:spacing w:before="240" w:after="0" w:line="360" w:lineRule="auto"/>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4. Experimental</w:t>
      </w:r>
    </w:p>
    <w:p w:rsidR="00F06C3F" w:rsidRPr="00395595" w:rsidRDefault="00F06C3F" w:rsidP="00F06C3F">
      <w:pPr>
        <w:spacing w:after="0" w:line="360" w:lineRule="auto"/>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4.1. Introduction</w:t>
      </w:r>
    </w:p>
    <w:p w:rsidR="00F06C3F" w:rsidRPr="00395595" w:rsidRDefault="00F06C3F" w:rsidP="00F06C3F">
      <w:pPr>
        <w:spacing w:after="0" w:line="360" w:lineRule="auto"/>
        <w:jc w:val="both"/>
        <w:rPr>
          <w:rFonts w:ascii="Times New Roman" w:eastAsia="Times New Roman" w:hAnsi="Times New Roman" w:cs="Times New Roman"/>
          <w:sz w:val="24"/>
          <w:szCs w:val="24"/>
        </w:rPr>
      </w:pPr>
      <w:r w:rsidRPr="00395595">
        <w:rPr>
          <w:rFonts w:ascii="Times New Roman" w:eastAsia="Times New Roman" w:hAnsi="Times New Roman" w:cs="Times New Roman"/>
          <w:sz w:val="24"/>
          <w:szCs w:val="24"/>
        </w:rPr>
        <w:t xml:space="preserve">All organic solvents were acquired from commercial sources and used as received unless otherwise stated. All other chemicals were acquired from Merck and used without further purification. The melting points were measured on a Stuart melting point apparatus and are uncorrected. IR spectra were recorded on a Smart iTR, which is an ultra-high-performance, versatile Attenuated Total Reflectance (ATR) sampling accessory on the Nicolet iS10 FT-IR spectrometer. NMR spectra were recorded on Bruker Avance III 400 MHz spectrophotometer (400 MHz for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 xml:space="preserve">H and 100 MHz for </w:t>
      </w:r>
      <w:r w:rsidRPr="00395595">
        <w:rPr>
          <w:rFonts w:ascii="Times New Roman" w:eastAsia="Times New Roman" w:hAnsi="Times New Roman" w:cs="Times New Roman"/>
          <w:sz w:val="24"/>
          <w:szCs w:val="24"/>
          <w:vertAlign w:val="superscript"/>
        </w:rPr>
        <w:t>13</w:t>
      </w:r>
      <w:r w:rsidRPr="00395595">
        <w:rPr>
          <w:rFonts w:ascii="Times New Roman" w:eastAsia="Times New Roman" w:hAnsi="Times New Roman" w:cs="Times New Roman"/>
          <w:sz w:val="24"/>
          <w:szCs w:val="24"/>
        </w:rPr>
        <w:t>C) using TMS as an internal standard and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xml:space="preserve"> as solvent and chemical shifts were expressed as δ ppm units. Elemental analyses were carried out on a EuroVector instrument C, H, N analyzer EA3000 Series.</w:t>
      </w:r>
      <w:bookmarkStart w:id="2" w:name="_Hlk504910819"/>
    </w:p>
    <w:bookmarkEnd w:id="2"/>
    <w:p w:rsidR="00F06C3F" w:rsidRPr="00395595" w:rsidRDefault="00F06C3F" w:rsidP="00D24635">
      <w:pPr>
        <w:jc w:val="center"/>
      </w:pPr>
    </w:p>
    <w:p w:rsidR="00F06C3F" w:rsidRPr="00395595" w:rsidRDefault="00F06C3F" w:rsidP="00F06C3F">
      <w:pPr>
        <w:suppressAutoHyphens/>
        <w:autoSpaceDE w:val="0"/>
        <w:autoSpaceDN w:val="0"/>
        <w:spacing w:after="0" w:line="360" w:lineRule="auto"/>
        <w:jc w:val="both"/>
        <w:textAlignment w:val="baseline"/>
        <w:rPr>
          <w:rFonts w:ascii="Times New Roman" w:eastAsia="Times New Roman" w:hAnsi="Times New Roman" w:cs="Times New Roman"/>
          <w:b/>
          <w:bCs/>
          <w:kern w:val="3"/>
          <w:sz w:val="24"/>
          <w:szCs w:val="24"/>
          <w:lang w:eastAsia="ar-SA"/>
        </w:rPr>
      </w:pPr>
      <w:r w:rsidRPr="00395595">
        <w:rPr>
          <w:rFonts w:ascii="Times New Roman" w:eastAsia="Times New Roman" w:hAnsi="Times New Roman" w:cs="Times New Roman"/>
          <w:b/>
          <w:bCs/>
          <w:kern w:val="1"/>
          <w:sz w:val="24"/>
          <w:szCs w:val="24"/>
          <w:lang w:eastAsia="ar-SA"/>
        </w:rPr>
        <w:t>4.2. General procedures and spectral data</w:t>
      </w:r>
    </w:p>
    <w:p w:rsidR="00F06C3F" w:rsidRPr="00395595" w:rsidRDefault="00F06C3F" w:rsidP="00F06C3F">
      <w:pPr>
        <w:suppressAutoHyphens/>
        <w:autoSpaceDE w:val="0"/>
        <w:autoSpaceDN w:val="0"/>
        <w:spacing w:after="0" w:line="360" w:lineRule="auto"/>
        <w:jc w:val="both"/>
        <w:textAlignment w:val="baseline"/>
        <w:rPr>
          <w:rFonts w:ascii="Times New Roman" w:eastAsia="Times New Roman" w:hAnsi="Times New Roman" w:cs="Times New Roman"/>
          <w:b/>
          <w:bCs/>
          <w:kern w:val="3"/>
          <w:sz w:val="24"/>
          <w:szCs w:val="24"/>
          <w:lang w:eastAsia="ar-SA"/>
        </w:rPr>
      </w:pPr>
      <w:r w:rsidRPr="00395595">
        <w:rPr>
          <w:rFonts w:ascii="Times New Roman" w:eastAsia="Times New Roman" w:hAnsi="Times New Roman" w:cs="Times New Roman"/>
          <w:b/>
          <w:bCs/>
          <w:kern w:val="1"/>
          <w:sz w:val="24"/>
          <w:szCs w:val="24"/>
          <w:lang w:eastAsia="ar-SA"/>
        </w:rPr>
        <w:t>General procedure for the synthesis of pyridine-2(1</w:t>
      </w:r>
      <w:r w:rsidRPr="00395595">
        <w:rPr>
          <w:rFonts w:ascii="Times New Roman" w:eastAsia="Times New Roman" w:hAnsi="Times New Roman" w:cs="Times New Roman"/>
          <w:b/>
          <w:bCs/>
          <w:i/>
          <w:iCs/>
          <w:kern w:val="1"/>
          <w:sz w:val="24"/>
          <w:szCs w:val="24"/>
          <w:lang w:eastAsia="ar-SA"/>
        </w:rPr>
        <w:t>H</w:t>
      </w:r>
      <w:r w:rsidRPr="00395595">
        <w:rPr>
          <w:rFonts w:ascii="Times New Roman" w:eastAsia="Times New Roman" w:hAnsi="Times New Roman" w:cs="Times New Roman"/>
          <w:b/>
          <w:bCs/>
          <w:kern w:val="1"/>
          <w:sz w:val="24"/>
          <w:szCs w:val="24"/>
          <w:lang w:eastAsia="ar-SA"/>
        </w:rPr>
        <w:t xml:space="preserve">)-thione </w:t>
      </w:r>
      <w:r w:rsidRPr="00395595">
        <w:rPr>
          <w:rFonts w:ascii="Times New Roman" w:eastAsia="Times New Roman" w:hAnsi="Times New Roman" w:cs="Times New Roman"/>
          <w:b/>
          <w:bCs/>
          <w:kern w:val="3"/>
          <w:sz w:val="24"/>
          <w:szCs w:val="24"/>
          <w:lang w:eastAsia="ar-SA"/>
        </w:rPr>
        <w:t>derivatives 5.</w:t>
      </w:r>
    </w:p>
    <w:p w:rsidR="00F06C3F" w:rsidRPr="00395595" w:rsidRDefault="00F06C3F" w:rsidP="00F06C3F">
      <w:pPr>
        <w:suppressAutoHyphens/>
        <w:autoSpaceDE w:val="0"/>
        <w:autoSpaceDN w:val="0"/>
        <w:spacing w:after="0" w:line="360" w:lineRule="auto"/>
        <w:jc w:val="both"/>
        <w:textAlignment w:val="baseline"/>
        <w:rPr>
          <w:rFonts w:ascii="Times New Roman" w:eastAsia="Times New Roman" w:hAnsi="Times New Roman" w:cs="Times New Roman"/>
          <w:sz w:val="24"/>
          <w:szCs w:val="24"/>
        </w:rPr>
      </w:pPr>
      <w:r w:rsidRPr="00395595">
        <w:rPr>
          <w:rFonts w:ascii="Times New Roman" w:eastAsia="Times New Roman" w:hAnsi="Times New Roman" w:cs="Times New Roman"/>
          <w:sz w:val="24"/>
          <w:szCs w:val="24"/>
        </w:rPr>
        <w:t xml:space="preserve">A mixture of carbonyl derivatives </w:t>
      </w:r>
      <w:r w:rsidRPr="00395595">
        <w:rPr>
          <w:rFonts w:ascii="Times New Roman" w:eastAsia="Times New Roman" w:hAnsi="Times New Roman" w:cs="Times New Roman"/>
          <w:b/>
          <w:bCs/>
          <w:sz w:val="24"/>
          <w:szCs w:val="24"/>
        </w:rPr>
        <w:t xml:space="preserve">3a </w:t>
      </w:r>
      <w:r w:rsidRPr="00395595">
        <w:rPr>
          <w:rFonts w:ascii="Times New Roman" w:eastAsia="Times New Roman" w:hAnsi="Times New Roman" w:cs="Times New Roman"/>
          <w:sz w:val="24"/>
          <w:szCs w:val="24"/>
        </w:rPr>
        <w:t xml:space="preserve">or </w:t>
      </w:r>
      <w:r w:rsidRPr="00395595">
        <w:rPr>
          <w:rFonts w:ascii="Times New Roman" w:eastAsia="Times New Roman" w:hAnsi="Times New Roman" w:cs="Times New Roman"/>
          <w:b/>
          <w:bCs/>
          <w:sz w:val="24"/>
          <w:szCs w:val="24"/>
        </w:rPr>
        <w:t>3b</w:t>
      </w:r>
      <w:r w:rsidRPr="00395595">
        <w:rPr>
          <w:rFonts w:ascii="Times New Roman" w:eastAsia="Times New Roman" w:hAnsi="Times New Roman" w:cs="Times New Roman"/>
          <w:sz w:val="24"/>
          <w:szCs w:val="24"/>
        </w:rPr>
        <w:t xml:space="preserve"> (5 mmol) and 2-cyanoethanethioamide </w:t>
      </w:r>
      <w:r w:rsidRPr="00395595">
        <w:rPr>
          <w:rFonts w:ascii="Times New Roman" w:eastAsia="Times New Roman" w:hAnsi="Times New Roman" w:cs="Times New Roman"/>
          <w:b/>
          <w:bCs/>
          <w:sz w:val="24"/>
          <w:szCs w:val="24"/>
        </w:rPr>
        <w:t>4</w:t>
      </w:r>
      <w:r w:rsidRPr="00395595">
        <w:rPr>
          <w:rFonts w:ascii="Times New Roman" w:eastAsia="Times New Roman" w:hAnsi="Times New Roman" w:cs="Times New Roman"/>
          <w:sz w:val="24"/>
          <w:szCs w:val="24"/>
        </w:rPr>
        <w:t xml:space="preserve"> (5 mmol) in 30 mL dioxane was heated at reflux for 5 h. The reaction mixture was cooled, and the product was collected by filtration, washed with ethanol and recrystallized from the proper solvent.</w:t>
      </w: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4-(Thiophen-2-yl)-2-thioxo-6-(</w:t>
      </w:r>
      <w:r w:rsidRPr="00395595">
        <w:rPr>
          <w:rFonts w:ascii="Times New Roman" w:eastAsia="Times New Roman" w:hAnsi="Times New Roman" w:cs="Times New Roman"/>
          <w:b/>
          <w:bCs/>
          <w:i/>
          <w:iCs/>
          <w:sz w:val="24"/>
          <w:szCs w:val="24"/>
        </w:rPr>
        <w:t>p</w:t>
      </w:r>
      <w:r w:rsidRPr="00395595">
        <w:rPr>
          <w:rFonts w:ascii="Times New Roman" w:eastAsia="Times New Roman" w:hAnsi="Times New Roman" w:cs="Times New Roman"/>
          <w:b/>
          <w:bCs/>
          <w:sz w:val="24"/>
          <w:szCs w:val="24"/>
        </w:rPr>
        <w:t>-tolyl)-1,2-dihydropyridine-3-carbonitrile (5a).</w:t>
      </w:r>
    </w:p>
    <w:p w:rsidR="00F06C3F" w:rsidRPr="00395595" w:rsidRDefault="00F06C3F" w:rsidP="00F06C3F">
      <w:pPr>
        <w:spacing w:after="0" w:line="360" w:lineRule="auto"/>
        <w:contextualSpacing/>
        <w:jc w:val="both"/>
        <w:rPr>
          <w:rFonts w:ascii="Times New Roman" w:eastAsia="Times New Roman" w:hAnsi="Times New Roman" w:cs="Times New Roman"/>
          <w:sz w:val="24"/>
          <w:szCs w:val="24"/>
          <w:lang w:bidi="ar-EG"/>
        </w:rPr>
      </w:pPr>
      <w:bookmarkStart w:id="3" w:name="_Hlk27511635"/>
      <w:r w:rsidRPr="00395595">
        <w:rPr>
          <w:rFonts w:ascii="Times New Roman" w:eastAsia="Times New Roman" w:hAnsi="Times New Roman" w:cs="Times New Roman"/>
          <w:sz w:val="24"/>
          <w:szCs w:val="24"/>
        </w:rPr>
        <w:t xml:space="preserve">Orange solid (ethanol, 72%); m.p. 220-222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 3151 (NH), 2218 (CN), 1203 (C=S);</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2.40 (s, 3H, 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7.20 (s, 1H, pyridine-H5), 7.33-7.37 (m, 3H, 2 Ar-H’s and thiophene-H4), 7.77 (d, 2H, Ar-H’s), 8.05 (d, 1H, thiophene-H5), 8.10 (d, 1H, thiophene-H3), 14.03 (s, 1H, NH);</w:t>
      </w:r>
      <w:r w:rsidRPr="00395595">
        <w:rPr>
          <w:rFonts w:ascii="Times New Roman" w:eastAsia="Times New Roman" w:hAnsi="Times New Roman" w:cs="Times New Roman"/>
          <w:sz w:val="24"/>
          <w:szCs w:val="24"/>
          <w:vertAlign w:val="superscript"/>
        </w:rPr>
        <w:t xml:space="preserve"> 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21.4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109.5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111.5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117.8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N), 128.7, 128.9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129.2, 129.8, 132.7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133.1, 136.5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142.2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 148.0, 152.4, 180.3 </w:t>
      </w:r>
      <w:r w:rsidRPr="00395595">
        <w:rPr>
          <w:rFonts w:ascii="Times New Roman" w:eastAsia="Times New Roman" w:hAnsi="Times New Roman" w:cs="Times New Roman"/>
          <w:sz w:val="24"/>
          <w:szCs w:val="24"/>
        </w:rPr>
        <w:lastRenderedPageBreak/>
        <w:t>(pyridine-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w:t>
      </w:r>
      <w:r w:rsidRPr="00395595">
        <w:rPr>
          <w:rFonts w:ascii="Times New Roman" w:eastAsia="Times New Roman" w:hAnsi="Times New Roman" w:cs="Times New Roman"/>
          <w:sz w:val="24"/>
          <w:szCs w:val="24"/>
          <w:lang w:val="pt-BR"/>
        </w:rPr>
        <w:t>;</w:t>
      </w:r>
      <w:r w:rsidRPr="00395595">
        <w:rPr>
          <w:rFonts w:ascii="Times New Roman" w:eastAsia="Times New Roman" w:hAnsi="Times New Roman" w:cs="Times New Roman"/>
          <w:sz w:val="24"/>
          <w:szCs w:val="24"/>
          <w:vertAlign w:val="superscript"/>
          <w:lang w:val="it-IT"/>
        </w:rPr>
        <w:t xml:space="preserve"> </w:t>
      </w:r>
      <w:r w:rsidRPr="00395595">
        <w:rPr>
          <w:rFonts w:ascii="Times New Roman" w:eastAsia="Times New Roman" w:hAnsi="Times New Roman" w:cs="Times New Roman"/>
          <w:sz w:val="24"/>
          <w:szCs w:val="24"/>
        </w:rPr>
        <w:t>Anal. for C</w:t>
      </w:r>
      <w:r w:rsidRPr="00395595">
        <w:rPr>
          <w:rFonts w:ascii="Times New Roman" w:eastAsia="Times New Roman" w:hAnsi="Times New Roman" w:cs="Times New Roman"/>
          <w:sz w:val="24"/>
          <w:szCs w:val="24"/>
          <w:vertAlign w:val="subscript"/>
        </w:rPr>
        <w:t>17</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12</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(308.4): C, 66.20; H, 3.92; N, 9.08; found: C, 65.99; H, 4.07; N, 9.19%. </w:t>
      </w:r>
      <w:bookmarkEnd w:id="3"/>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6-(4-Methoxyphenyl)-4-(thiophen-2-yl)-2-thioxo-1,2-dihydropyridine-3-carbonitrile (5b).</w:t>
      </w: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lang w:bidi="ar-EG"/>
        </w:rPr>
      </w:pPr>
      <w:r w:rsidRPr="00395595">
        <w:rPr>
          <w:rFonts w:ascii="Times New Roman" w:eastAsia="Times New Roman" w:hAnsi="Times New Roman" w:cs="Times New Roman"/>
          <w:sz w:val="24"/>
          <w:szCs w:val="24"/>
        </w:rPr>
        <w:t xml:space="preserve">Orange solid (ethanol, 78%); m.p. 214-216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 3155 (NH), 2224 (CN), 1202 (C=S);</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3.85 (s, 3H, OCH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7.04 (s, 1H, pyridine-H5), 7.08 (d, 2H, Ar-H’s), 7.44 (t, 1H, thiophene-H4), 7.70 (d, 2H, Ar-H’s), 7.95 (d, H, thiophene-H5), 8.10 (d, 1H, thiophene-H3), 14.16 (s, 1H, NH);</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Anal. for C</w:t>
      </w:r>
      <w:r w:rsidRPr="00395595">
        <w:rPr>
          <w:rFonts w:ascii="Times New Roman" w:eastAsia="Times New Roman" w:hAnsi="Times New Roman" w:cs="Times New Roman"/>
          <w:sz w:val="24"/>
          <w:szCs w:val="24"/>
          <w:vertAlign w:val="subscript"/>
        </w:rPr>
        <w:t>17</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12</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OS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(324.4): C, 62.94; H, 3.73; N, 8.64; found: C, 62.78; H, 3.88; N, 8.79%.</w:t>
      </w:r>
    </w:p>
    <w:p w:rsidR="00F06C3F" w:rsidRPr="00395595" w:rsidRDefault="00F06C3F" w:rsidP="00F06C3F">
      <w:pPr>
        <w:spacing w:after="0" w:line="360" w:lineRule="auto"/>
        <w:jc w:val="both"/>
        <w:rPr>
          <w:rFonts w:asciiTheme="majorBidi" w:hAnsiTheme="majorBidi" w:cstheme="majorBidi"/>
          <w:b/>
          <w:bCs/>
          <w:sz w:val="24"/>
          <w:szCs w:val="24"/>
        </w:rPr>
      </w:pPr>
    </w:p>
    <w:p w:rsidR="00F06C3F" w:rsidRPr="00395595" w:rsidRDefault="00F06C3F" w:rsidP="00F06C3F">
      <w:pPr>
        <w:spacing w:after="0" w:line="360" w:lineRule="auto"/>
        <w:jc w:val="both"/>
        <w:rPr>
          <w:rFonts w:asciiTheme="majorBidi" w:hAnsiTheme="majorBidi" w:cstheme="majorBidi"/>
          <w:b/>
          <w:bCs/>
          <w:sz w:val="24"/>
          <w:szCs w:val="24"/>
        </w:rPr>
      </w:pPr>
      <w:r w:rsidRPr="00395595">
        <w:rPr>
          <w:rFonts w:asciiTheme="majorBidi" w:hAnsiTheme="majorBidi" w:cstheme="majorBidi"/>
          <w:b/>
          <w:bCs/>
          <w:sz w:val="24"/>
          <w:szCs w:val="24"/>
        </w:rPr>
        <w:t>General procedure for thieno[2,3-</w:t>
      </w:r>
      <w:r w:rsidRPr="00395595">
        <w:rPr>
          <w:rFonts w:asciiTheme="majorBidi" w:hAnsiTheme="majorBidi" w:cstheme="majorBidi"/>
          <w:b/>
          <w:bCs/>
          <w:i/>
          <w:iCs/>
          <w:sz w:val="24"/>
          <w:szCs w:val="24"/>
        </w:rPr>
        <w:t>b</w:t>
      </w:r>
      <w:r w:rsidRPr="00395595">
        <w:rPr>
          <w:rFonts w:asciiTheme="majorBidi" w:hAnsiTheme="majorBidi" w:cstheme="majorBidi"/>
          <w:b/>
          <w:bCs/>
          <w:sz w:val="24"/>
          <w:szCs w:val="24"/>
        </w:rPr>
        <w:t>]pyridine derivatives 7, 9, 11, 13, 15 and 17.</w:t>
      </w:r>
    </w:p>
    <w:p w:rsidR="00F06C3F" w:rsidRPr="00395595" w:rsidRDefault="00F06C3F" w:rsidP="00F06C3F">
      <w:pPr>
        <w:spacing w:after="0" w:line="360" w:lineRule="auto"/>
        <w:jc w:val="both"/>
        <w:rPr>
          <w:rFonts w:asciiTheme="majorBidi" w:hAnsiTheme="majorBidi" w:cstheme="majorBidi"/>
          <w:b/>
          <w:bCs/>
          <w:sz w:val="24"/>
          <w:szCs w:val="24"/>
        </w:rPr>
      </w:pPr>
      <w:r w:rsidRPr="00395595">
        <w:rPr>
          <w:rFonts w:asciiTheme="majorBidi" w:hAnsiTheme="majorBidi" w:cstheme="majorBidi"/>
          <w:b/>
          <w:bCs/>
          <w:sz w:val="24"/>
          <w:szCs w:val="24"/>
        </w:rPr>
        <w:t>Method ‘A’.</w:t>
      </w:r>
    </w:p>
    <w:p w:rsidR="00F06C3F" w:rsidRPr="00395595" w:rsidRDefault="00F06C3F" w:rsidP="00F06C3F">
      <w:pPr>
        <w:spacing w:after="0" w:line="360" w:lineRule="auto"/>
        <w:jc w:val="both"/>
        <w:rPr>
          <w:rFonts w:asciiTheme="majorBidi" w:hAnsiTheme="majorBidi" w:cstheme="majorBidi"/>
          <w:sz w:val="24"/>
          <w:szCs w:val="24"/>
        </w:rPr>
      </w:pPr>
      <w:r w:rsidRPr="00395595">
        <w:rPr>
          <w:rFonts w:asciiTheme="majorBidi" w:hAnsiTheme="majorBidi" w:cstheme="majorBidi"/>
          <w:sz w:val="24"/>
          <w:szCs w:val="24"/>
        </w:rPr>
        <w:t>A mixture of pyridine-2(1</w:t>
      </w:r>
      <w:r w:rsidRPr="00395595">
        <w:rPr>
          <w:rFonts w:asciiTheme="majorBidi" w:hAnsiTheme="majorBidi" w:cstheme="majorBidi"/>
          <w:i/>
          <w:iCs/>
          <w:sz w:val="24"/>
          <w:szCs w:val="24"/>
        </w:rPr>
        <w:t>H</w:t>
      </w:r>
      <w:r w:rsidRPr="00395595">
        <w:rPr>
          <w:rFonts w:asciiTheme="majorBidi" w:hAnsiTheme="majorBidi" w:cstheme="majorBidi"/>
          <w:sz w:val="24"/>
          <w:szCs w:val="24"/>
        </w:rPr>
        <w:t xml:space="preserve">)-thione </w:t>
      </w:r>
      <w:r w:rsidRPr="00395595">
        <w:rPr>
          <w:rFonts w:asciiTheme="majorBidi" w:hAnsiTheme="majorBidi" w:cstheme="majorBidi"/>
          <w:b/>
          <w:bCs/>
          <w:sz w:val="24"/>
          <w:szCs w:val="24"/>
        </w:rPr>
        <w:t xml:space="preserve">5 </w:t>
      </w:r>
      <w:r w:rsidRPr="00395595">
        <w:rPr>
          <w:rFonts w:asciiTheme="majorBidi" w:hAnsiTheme="majorBidi" w:cstheme="majorBidi"/>
          <w:sz w:val="24"/>
          <w:szCs w:val="24"/>
        </w:rPr>
        <w:t xml:space="preserve">(5 mmol) and each of chloroacetone </w:t>
      </w:r>
      <w:r w:rsidRPr="00395595">
        <w:rPr>
          <w:rFonts w:asciiTheme="majorBidi" w:hAnsiTheme="majorBidi" w:cstheme="majorBidi"/>
          <w:b/>
          <w:bCs/>
          <w:sz w:val="24"/>
          <w:szCs w:val="24"/>
        </w:rPr>
        <w:t>6</w:t>
      </w:r>
      <w:r w:rsidRPr="00395595">
        <w:rPr>
          <w:rFonts w:asciiTheme="majorBidi" w:hAnsiTheme="majorBidi" w:cstheme="majorBidi"/>
          <w:sz w:val="24"/>
          <w:szCs w:val="24"/>
        </w:rPr>
        <w:t xml:space="preserve">, ethyl chloroacetate </w:t>
      </w:r>
      <w:r w:rsidRPr="00395595">
        <w:rPr>
          <w:rFonts w:asciiTheme="majorBidi" w:hAnsiTheme="majorBidi" w:cstheme="majorBidi"/>
          <w:b/>
          <w:bCs/>
          <w:sz w:val="24"/>
          <w:szCs w:val="24"/>
        </w:rPr>
        <w:t>8</w:t>
      </w:r>
      <w:r w:rsidRPr="00395595">
        <w:rPr>
          <w:rFonts w:asciiTheme="majorBidi" w:hAnsiTheme="majorBidi" w:cstheme="majorBidi"/>
          <w:sz w:val="24"/>
          <w:szCs w:val="24"/>
        </w:rPr>
        <w:t xml:space="preserve">, chloroacetamide </w:t>
      </w:r>
      <w:r w:rsidRPr="00395595">
        <w:rPr>
          <w:rFonts w:asciiTheme="majorBidi" w:hAnsiTheme="majorBidi" w:cstheme="majorBidi"/>
          <w:b/>
          <w:bCs/>
          <w:sz w:val="24"/>
          <w:szCs w:val="24"/>
        </w:rPr>
        <w:t>10</w:t>
      </w:r>
      <w:r w:rsidRPr="00395595">
        <w:rPr>
          <w:rFonts w:asciiTheme="majorBidi" w:hAnsiTheme="majorBidi" w:cstheme="majorBidi"/>
          <w:sz w:val="24"/>
          <w:szCs w:val="24"/>
        </w:rPr>
        <w:t xml:space="preserve"> or chloroacetonitrile </w:t>
      </w:r>
      <w:r w:rsidRPr="00395595">
        <w:rPr>
          <w:rFonts w:asciiTheme="majorBidi" w:hAnsiTheme="majorBidi" w:cstheme="majorBidi"/>
          <w:b/>
          <w:bCs/>
          <w:sz w:val="24"/>
          <w:szCs w:val="24"/>
        </w:rPr>
        <w:t>12</w:t>
      </w:r>
      <w:r w:rsidRPr="00395595">
        <w:rPr>
          <w:rFonts w:asciiTheme="majorBidi" w:hAnsiTheme="majorBidi" w:cstheme="majorBidi"/>
          <w:sz w:val="24"/>
          <w:szCs w:val="24"/>
        </w:rPr>
        <w:t xml:space="preserve">, 2-bromo-1-phenylethanone </w:t>
      </w:r>
      <w:r w:rsidRPr="00395595">
        <w:rPr>
          <w:rFonts w:asciiTheme="majorBidi" w:hAnsiTheme="majorBidi" w:cstheme="majorBidi"/>
          <w:b/>
          <w:bCs/>
          <w:sz w:val="24"/>
          <w:szCs w:val="24"/>
        </w:rPr>
        <w:t>14</w:t>
      </w:r>
      <w:r w:rsidRPr="00395595">
        <w:rPr>
          <w:rFonts w:asciiTheme="majorBidi" w:hAnsiTheme="majorBidi" w:cstheme="majorBidi"/>
          <w:sz w:val="24"/>
          <w:szCs w:val="24"/>
        </w:rPr>
        <w:t xml:space="preserve"> or </w:t>
      </w:r>
      <w:bookmarkStart w:id="4" w:name="_Hlk5034393"/>
      <w:r w:rsidRPr="00395595">
        <w:rPr>
          <w:rFonts w:asciiTheme="majorBidi" w:hAnsiTheme="majorBidi" w:cstheme="majorBidi"/>
          <w:sz w:val="24"/>
          <w:szCs w:val="24"/>
        </w:rPr>
        <w:t xml:space="preserve">2-bromo-1-(4-chlorophenyl)ethanone </w:t>
      </w:r>
      <w:bookmarkEnd w:id="4"/>
      <w:r w:rsidRPr="00395595">
        <w:rPr>
          <w:rFonts w:asciiTheme="majorBidi" w:hAnsiTheme="majorBidi" w:cstheme="majorBidi"/>
          <w:b/>
          <w:bCs/>
          <w:sz w:val="24"/>
          <w:szCs w:val="24"/>
        </w:rPr>
        <w:t xml:space="preserve">16 </w:t>
      </w:r>
      <w:r w:rsidRPr="00395595">
        <w:rPr>
          <w:rFonts w:asciiTheme="majorBidi" w:hAnsiTheme="majorBidi" w:cstheme="majorBidi"/>
          <w:sz w:val="24"/>
          <w:szCs w:val="24"/>
        </w:rPr>
        <w:t xml:space="preserve">(5 mmol) in absolute ethanol (20 mL) in the presence of  sodium metal (10 mmol) was stirred at 80 </w:t>
      </w:r>
      <w:r w:rsidRPr="00395595">
        <w:rPr>
          <w:rFonts w:asciiTheme="majorBidi" w:hAnsiTheme="majorBidi" w:cstheme="majorBidi"/>
          <w:sz w:val="24"/>
          <w:szCs w:val="24"/>
          <w:vertAlign w:val="superscript"/>
        </w:rPr>
        <w:t>o</w:t>
      </w:r>
      <w:r w:rsidRPr="00395595">
        <w:rPr>
          <w:rFonts w:asciiTheme="majorBidi" w:hAnsiTheme="majorBidi" w:cstheme="majorBidi"/>
          <w:sz w:val="24"/>
          <w:szCs w:val="24"/>
        </w:rPr>
        <w:t>C for 2-3 h. The product was collected by filtration, washed with ethanol, dried and then recrystallized from the appropriate solvent.</w:t>
      </w:r>
    </w:p>
    <w:p w:rsidR="00F06C3F" w:rsidRPr="00395595" w:rsidRDefault="00F06C3F" w:rsidP="00F06C3F">
      <w:pPr>
        <w:spacing w:after="0" w:line="360" w:lineRule="auto"/>
        <w:jc w:val="both"/>
        <w:rPr>
          <w:rFonts w:asciiTheme="majorBidi" w:hAnsiTheme="majorBidi" w:cstheme="majorBidi"/>
          <w:b/>
          <w:bCs/>
          <w:sz w:val="24"/>
          <w:szCs w:val="24"/>
        </w:rPr>
      </w:pPr>
    </w:p>
    <w:p w:rsidR="00F06C3F" w:rsidRPr="00395595" w:rsidRDefault="00F06C3F" w:rsidP="00F06C3F">
      <w:pPr>
        <w:spacing w:after="0" w:line="360" w:lineRule="auto"/>
        <w:jc w:val="both"/>
        <w:rPr>
          <w:rFonts w:asciiTheme="majorBidi" w:hAnsiTheme="majorBidi" w:cstheme="majorBidi"/>
          <w:b/>
          <w:bCs/>
          <w:sz w:val="24"/>
          <w:szCs w:val="24"/>
        </w:rPr>
      </w:pPr>
      <w:r w:rsidRPr="00395595">
        <w:rPr>
          <w:rFonts w:asciiTheme="majorBidi" w:hAnsiTheme="majorBidi" w:cstheme="majorBidi"/>
          <w:b/>
          <w:bCs/>
          <w:sz w:val="24"/>
          <w:szCs w:val="24"/>
        </w:rPr>
        <w:t>Method ‘B’.</w:t>
      </w:r>
    </w:p>
    <w:p w:rsidR="00F06C3F" w:rsidRPr="00395595" w:rsidRDefault="00F06C3F" w:rsidP="00F06C3F">
      <w:pPr>
        <w:spacing w:after="0" w:line="360" w:lineRule="auto"/>
        <w:jc w:val="both"/>
        <w:rPr>
          <w:rFonts w:asciiTheme="majorBidi" w:hAnsiTheme="majorBidi" w:cstheme="majorBidi"/>
          <w:sz w:val="24"/>
          <w:szCs w:val="24"/>
        </w:rPr>
      </w:pPr>
      <w:r w:rsidRPr="00395595">
        <w:rPr>
          <w:rFonts w:asciiTheme="majorBidi" w:hAnsiTheme="majorBidi" w:cstheme="majorBidi"/>
          <w:sz w:val="24"/>
          <w:szCs w:val="24"/>
        </w:rPr>
        <w:t xml:space="preserve">A mixture of each of nicotinonitriles </w:t>
      </w:r>
      <w:r w:rsidRPr="00395595">
        <w:rPr>
          <w:rFonts w:asciiTheme="majorBidi" w:hAnsiTheme="majorBidi" w:cstheme="majorBidi"/>
          <w:b/>
          <w:bCs/>
          <w:sz w:val="24"/>
          <w:szCs w:val="24"/>
        </w:rPr>
        <w:t>18-22</w:t>
      </w:r>
      <w:r w:rsidRPr="00395595">
        <w:rPr>
          <w:rFonts w:asciiTheme="majorBidi" w:hAnsiTheme="majorBidi" w:cstheme="majorBidi"/>
          <w:sz w:val="24"/>
          <w:szCs w:val="24"/>
        </w:rPr>
        <w:t xml:space="preserve"> (5 mmol) in absolute ethanol (20 mL) in the presence of sodium metal (5 mmol) was stirred at 80 </w:t>
      </w:r>
      <w:r w:rsidRPr="00395595">
        <w:rPr>
          <w:rFonts w:asciiTheme="majorBidi" w:hAnsiTheme="majorBidi" w:cstheme="majorBidi"/>
          <w:sz w:val="24"/>
          <w:szCs w:val="24"/>
          <w:vertAlign w:val="superscript"/>
        </w:rPr>
        <w:t>o</w:t>
      </w:r>
      <w:r w:rsidRPr="00395595">
        <w:rPr>
          <w:rFonts w:asciiTheme="majorBidi" w:hAnsiTheme="majorBidi" w:cstheme="majorBidi"/>
          <w:sz w:val="24"/>
          <w:szCs w:val="24"/>
        </w:rPr>
        <w:t>C for 45 min to 1.5 h. The products that formed were collected by filtration, washed with ethanol, dried and then recrystallized from appropriate solvent.</w:t>
      </w: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2-Acetyl-3-amino-4-(thiophen-2-yl)-6-(</w:t>
      </w:r>
      <w:r w:rsidRPr="00395595">
        <w:rPr>
          <w:rFonts w:ascii="Times New Roman" w:eastAsia="Times New Roman" w:hAnsi="Times New Roman" w:cs="Times New Roman"/>
          <w:b/>
          <w:bCs/>
          <w:i/>
          <w:iCs/>
          <w:sz w:val="24"/>
          <w:szCs w:val="24"/>
        </w:rPr>
        <w:t>p</w:t>
      </w:r>
      <w:r w:rsidRPr="00395595">
        <w:rPr>
          <w:rFonts w:ascii="Times New Roman" w:eastAsia="Times New Roman" w:hAnsi="Times New Roman" w:cs="Times New Roman"/>
          <w:b/>
          <w:bCs/>
          <w:sz w:val="24"/>
          <w:szCs w:val="24"/>
        </w:rPr>
        <w:t>-tolyl)thieno[2,3-</w:t>
      </w:r>
      <w:r w:rsidRPr="00395595">
        <w:rPr>
          <w:rFonts w:ascii="Times New Roman" w:eastAsia="Times New Roman" w:hAnsi="Times New Roman" w:cs="Times New Roman"/>
          <w:b/>
          <w:bCs/>
          <w:i/>
          <w:iCs/>
          <w:sz w:val="24"/>
          <w:szCs w:val="24"/>
        </w:rPr>
        <w:t>b</w:t>
      </w:r>
      <w:r w:rsidRPr="00395595">
        <w:rPr>
          <w:rFonts w:ascii="Times New Roman" w:eastAsia="Times New Roman" w:hAnsi="Times New Roman" w:cs="Times New Roman"/>
          <w:b/>
          <w:bCs/>
          <w:sz w:val="24"/>
          <w:szCs w:val="24"/>
        </w:rPr>
        <w:t xml:space="preserve">]pyridine (7a). </w:t>
      </w:r>
    </w:p>
    <w:p w:rsidR="00F06C3F" w:rsidRPr="00395595" w:rsidRDefault="00F06C3F" w:rsidP="00F06C3F">
      <w:pPr>
        <w:spacing w:after="0" w:line="360" w:lineRule="auto"/>
        <w:contextualSpacing/>
        <w:jc w:val="both"/>
        <w:rPr>
          <w:rFonts w:ascii="Times New Roman" w:eastAsia="Times New Roman" w:hAnsi="Times New Roman" w:cs="Times New Roman"/>
          <w:sz w:val="24"/>
          <w:szCs w:val="24"/>
        </w:rPr>
      </w:pPr>
      <w:r w:rsidRPr="00395595">
        <w:rPr>
          <w:rFonts w:ascii="Times New Roman" w:eastAsia="Times New Roman" w:hAnsi="Times New Roman" w:cs="Times New Roman"/>
          <w:sz w:val="24"/>
          <w:szCs w:val="24"/>
        </w:rPr>
        <w:t xml:space="preserve">Orange solid (dioxane); m.p. 180-181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cm-1): 3464, 3290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1624 (CO);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 xml:space="preserve">δ 2.38 (s, 3H, </w:t>
      </w:r>
      <w:r w:rsidRPr="00395595">
        <w:rPr>
          <w:rFonts w:ascii="Times New Roman" w:eastAsia="Times New Roman" w:hAnsi="Times New Roman" w:cs="Times New Roman"/>
          <w:i/>
          <w:iCs/>
          <w:sz w:val="24"/>
          <w:szCs w:val="24"/>
        </w:rPr>
        <w:t>p-</w:t>
      </w:r>
      <w:r w:rsidRPr="00395595">
        <w:rPr>
          <w:rFonts w:ascii="Times New Roman" w:eastAsia="Times New Roman" w:hAnsi="Times New Roman" w:cs="Times New Roman"/>
          <w:sz w:val="24"/>
          <w:szCs w:val="24"/>
        </w:rPr>
        <w:t>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2.39 (s, 3H, COCH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6.82 (br s, 2H,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7.32-7.34 (m, 3H, 2 Ar-H’s and thiophene-H4), 7.45 (d, 1H, thiophene-H3), 7.82 (s, 1H, pyridine-H5), 7.93 (d, 1H, thiophene-H5), 8.11 (d, 2H, Ar-H’s);</w:t>
      </w:r>
      <w:r w:rsidRPr="00395595">
        <w:rPr>
          <w:rFonts w:ascii="Times New Roman" w:eastAsia="Times New Roman" w:hAnsi="Times New Roman" w:cs="Times New Roman"/>
          <w:sz w:val="24"/>
          <w:szCs w:val="24"/>
          <w:vertAlign w:val="superscript"/>
        </w:rPr>
        <w:t xml:space="preserve"> 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21.3 (</w:t>
      </w:r>
      <w:r w:rsidRPr="00395595">
        <w:rPr>
          <w:rFonts w:ascii="Times New Roman" w:eastAsia="Times New Roman" w:hAnsi="Times New Roman" w:cs="Times New Roman"/>
          <w:i/>
          <w:iCs/>
          <w:sz w:val="24"/>
          <w:szCs w:val="24"/>
        </w:rPr>
        <w:t>p-C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29.6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CO), 105.5, 119.5, 120.5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2,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3a), 127.6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128.6, 129.9 (3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130.0, 134.6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136.5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140.5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141.7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147.9, 157.3, 161.5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7a), 192.1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O); Anal. for C</w:t>
      </w:r>
      <w:r w:rsidRPr="00395595">
        <w:rPr>
          <w:rFonts w:ascii="Times New Roman" w:eastAsia="Times New Roman" w:hAnsi="Times New Roman" w:cs="Times New Roman"/>
          <w:sz w:val="24"/>
          <w:szCs w:val="24"/>
          <w:vertAlign w:val="subscript"/>
        </w:rPr>
        <w:t>20</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16</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OS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(364.4): C, 65.91; H, 4.42; N, 7.69; found: C, 65.68; H, 4.20; N 7.54%. </w:t>
      </w:r>
      <w:bookmarkStart w:id="5" w:name="_Hlk531623845"/>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2-Acetyl-3-amino-6-(4-methoxyphenyl)-4-(thiophen-2-yl)thieno[2,3-</w:t>
      </w:r>
      <w:r w:rsidRPr="00395595">
        <w:rPr>
          <w:rFonts w:ascii="Times New Roman" w:eastAsia="Times New Roman" w:hAnsi="Times New Roman" w:cs="Times New Roman"/>
          <w:b/>
          <w:bCs/>
          <w:i/>
          <w:iCs/>
          <w:sz w:val="24"/>
          <w:szCs w:val="24"/>
        </w:rPr>
        <w:t>b</w:t>
      </w:r>
      <w:r w:rsidRPr="00395595">
        <w:rPr>
          <w:rFonts w:ascii="Times New Roman" w:eastAsia="Times New Roman" w:hAnsi="Times New Roman" w:cs="Times New Roman"/>
          <w:b/>
          <w:bCs/>
          <w:sz w:val="24"/>
          <w:szCs w:val="24"/>
        </w:rPr>
        <w:t>]pyridine (7b).</w:t>
      </w:r>
    </w:p>
    <w:p w:rsidR="00E97EEE" w:rsidRPr="00395595" w:rsidRDefault="00E97EEE" w:rsidP="00E97EEE">
      <w:pPr>
        <w:spacing w:after="0" w:line="360" w:lineRule="auto"/>
        <w:contextualSpacing/>
        <w:jc w:val="both"/>
        <w:rPr>
          <w:rFonts w:ascii="Times New Roman" w:eastAsia="Times New Roman" w:hAnsi="Times New Roman" w:cs="Times New Roman"/>
          <w:sz w:val="24"/>
          <w:szCs w:val="24"/>
        </w:rPr>
      </w:pPr>
      <w:r w:rsidRPr="00395595">
        <w:rPr>
          <w:rFonts w:ascii="Times New Roman" w:eastAsia="Times New Roman" w:hAnsi="Times New Roman" w:cs="Times New Roman"/>
          <w:sz w:val="24"/>
          <w:szCs w:val="24"/>
        </w:rPr>
        <w:lastRenderedPageBreak/>
        <w:t xml:space="preserve">Orange solid (dioxane); m.p. 156-157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cm-1): 3464, 3288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1629 (CO);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δ 2.39 (s, 3H, 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3.85 (s, 3H, OCH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6.82 (br s, 2H,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7.08 (d, 2H, Ar-H’s), 7.32 (t,1H, thiophene-H4), 7.46 (d, 1H, thiophene-H3), 7.82 (s, 1H, pyridine-H5), 7.92 (d, 1H, thiophene-H5), 8.21 (d, 2H, Ar-H’s);</w:t>
      </w:r>
      <w:r w:rsidRPr="00395595">
        <w:rPr>
          <w:rFonts w:ascii="Times New Roman" w:eastAsia="Times New Roman" w:hAnsi="Times New Roman" w:cs="Times New Roman"/>
          <w:sz w:val="24"/>
          <w:szCs w:val="24"/>
          <w:vertAlign w:val="superscript"/>
        </w:rPr>
        <w:t xml:space="preserve"> 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29.5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CO), 55.7 (O</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105.7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114.1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119.6, 120.5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3a), 128.5, 128.8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129.1, 129.4, 129.8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136.7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140.8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146.8, 156.8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6), 159.4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161.6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7a), 192.2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O); Anal. for C</w:t>
      </w:r>
      <w:r w:rsidRPr="00395595">
        <w:rPr>
          <w:rFonts w:ascii="Times New Roman" w:eastAsia="Times New Roman" w:hAnsi="Times New Roman" w:cs="Times New Roman"/>
          <w:sz w:val="24"/>
          <w:szCs w:val="24"/>
          <w:vertAlign w:val="subscript"/>
        </w:rPr>
        <w:t>20</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16</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O</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(380.4): C, 63.14; H, 4.24; N, 7.36; found: C, 63.40; H, 4.07; N 7.11%. </w:t>
      </w:r>
    </w:p>
    <w:p w:rsidR="00E97EEE" w:rsidRPr="00395595" w:rsidRDefault="00E97EEE" w:rsidP="00F06C3F">
      <w:pPr>
        <w:autoSpaceDE w:val="0"/>
        <w:autoSpaceDN w:val="0"/>
        <w:adjustRightInd w:val="0"/>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autoSpaceDE w:val="0"/>
        <w:autoSpaceDN w:val="0"/>
        <w:adjustRightInd w:val="0"/>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Ethyl 3-amino-4-(thiophen-2-yl)-6-(</w:t>
      </w:r>
      <w:r w:rsidRPr="00395595">
        <w:rPr>
          <w:rFonts w:ascii="Times New Roman" w:eastAsia="Times New Roman" w:hAnsi="Times New Roman" w:cs="Times New Roman"/>
          <w:b/>
          <w:bCs/>
          <w:i/>
          <w:iCs/>
          <w:sz w:val="24"/>
          <w:szCs w:val="24"/>
        </w:rPr>
        <w:t>p</w:t>
      </w:r>
      <w:r w:rsidRPr="00395595">
        <w:rPr>
          <w:rFonts w:ascii="Times New Roman" w:eastAsia="Times New Roman" w:hAnsi="Times New Roman" w:cs="Times New Roman"/>
          <w:b/>
          <w:bCs/>
          <w:sz w:val="24"/>
          <w:szCs w:val="24"/>
        </w:rPr>
        <w:t>-tolyl)thieno[2,3-</w:t>
      </w:r>
      <w:r w:rsidRPr="00395595">
        <w:rPr>
          <w:rFonts w:ascii="Times New Roman" w:eastAsia="Times New Roman" w:hAnsi="Times New Roman" w:cs="Times New Roman"/>
          <w:b/>
          <w:bCs/>
          <w:i/>
          <w:iCs/>
          <w:sz w:val="24"/>
          <w:szCs w:val="24"/>
        </w:rPr>
        <w:t>b</w:t>
      </w:r>
      <w:r w:rsidRPr="00395595">
        <w:rPr>
          <w:rFonts w:ascii="Times New Roman" w:eastAsia="Times New Roman" w:hAnsi="Times New Roman" w:cs="Times New Roman"/>
          <w:b/>
          <w:bCs/>
          <w:sz w:val="24"/>
          <w:szCs w:val="24"/>
        </w:rPr>
        <w:t>]pyridine-2-carboxylate (9a).</w:t>
      </w:r>
    </w:p>
    <w:p w:rsidR="00E97EEE" w:rsidRPr="00395595" w:rsidRDefault="00E97EEE" w:rsidP="00E97EEE">
      <w:pPr>
        <w:spacing w:after="0" w:line="360" w:lineRule="auto"/>
        <w:contextualSpacing/>
        <w:jc w:val="both"/>
        <w:rPr>
          <w:rFonts w:ascii="Times New Roman" w:eastAsia="Times New Roman" w:hAnsi="Times New Roman" w:cs="Times New Roman"/>
          <w:sz w:val="24"/>
          <w:szCs w:val="24"/>
          <w:lang w:bidi="ar-EG"/>
        </w:rPr>
      </w:pPr>
      <w:r w:rsidRPr="00395595">
        <w:rPr>
          <w:rFonts w:ascii="Times New Roman" w:eastAsia="Times New Roman" w:hAnsi="Times New Roman" w:cs="Times New Roman"/>
          <w:sz w:val="24"/>
          <w:szCs w:val="24"/>
        </w:rPr>
        <w:t xml:space="preserve">Yellow solid (ethanol/ dioxane mixture); m.p. 252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 3464, 3332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1666 (CO);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 xml:space="preserve">δ 1.30 (t, 3H, </w:t>
      </w:r>
      <w:bookmarkStart w:id="6" w:name="_Hlk26545527"/>
      <w:r w:rsidRPr="00395595">
        <w:rPr>
          <w:rFonts w:ascii="Times New Roman" w:eastAsia="Times New Roman" w:hAnsi="Times New Roman" w:cs="Times New Roman"/>
          <w:sz w:val="24"/>
          <w:szCs w:val="24"/>
        </w:rPr>
        <w:t>CH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C</w:t>
      </w:r>
      <w:r w:rsidRPr="00395595">
        <w:rPr>
          <w:rFonts w:ascii="Times New Roman" w:eastAsia="Times New Roman" w:hAnsi="Times New Roman" w:cs="Times New Roman"/>
          <w:i/>
          <w:iCs/>
          <w:sz w:val="24"/>
          <w:szCs w:val="24"/>
        </w:rPr>
        <w:t>H</w:t>
      </w:r>
      <w:r w:rsidRPr="00395595">
        <w:rPr>
          <w:rFonts w:ascii="Times New Roman" w:eastAsia="Times New Roman" w:hAnsi="Times New Roman" w:cs="Times New Roman"/>
          <w:sz w:val="24"/>
          <w:szCs w:val="24"/>
          <w:vertAlign w:val="subscript"/>
        </w:rPr>
        <w:t>3</w:t>
      </w:r>
      <w:bookmarkEnd w:id="6"/>
      <w:r w:rsidRPr="00395595">
        <w:rPr>
          <w:rFonts w:ascii="Times New Roman" w:eastAsia="Times New Roman" w:hAnsi="Times New Roman" w:cs="Times New Roman"/>
          <w:sz w:val="24"/>
          <w:szCs w:val="24"/>
        </w:rPr>
        <w:t>), 2.38 (s, 3H, 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4.29 (q, 2H, C</w:t>
      </w:r>
      <w:r w:rsidRPr="00395595">
        <w:rPr>
          <w:rFonts w:ascii="Times New Roman" w:eastAsia="Times New Roman" w:hAnsi="Times New Roman" w:cs="Times New Roman"/>
          <w:i/>
          <w:iCs/>
          <w:sz w:val="24"/>
          <w:szCs w:val="24"/>
        </w:rPr>
        <w:t>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6.12 (s, 2H,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7.32-7.35 (m, 3H, 2 Ar-H’s and thiophene-H4), 7.45 (d, 1H, thiophene-H5), 7.70 (s, 1H, pyridine-H5), 7.92 (d, 1H, thiophene-H3), 8.15 (d, 2H, Ar-H’s);</w:t>
      </w:r>
      <w:r w:rsidRPr="00395595">
        <w:rPr>
          <w:rFonts w:ascii="Times New Roman" w:eastAsia="Times New Roman" w:hAnsi="Times New Roman" w:cs="Times New Roman"/>
          <w:sz w:val="24"/>
          <w:szCs w:val="24"/>
          <w:lang w:bidi="ar-EG"/>
        </w:rPr>
        <w:t xml:space="preserve"> </w:t>
      </w:r>
      <w:r w:rsidRPr="00395595">
        <w:rPr>
          <w:rFonts w:ascii="Times New Roman" w:eastAsia="Times New Roman" w:hAnsi="Times New Roman" w:cs="Times New Roman"/>
          <w:sz w:val="24"/>
          <w:szCs w:val="24"/>
          <w:vertAlign w:val="superscript"/>
        </w:rPr>
        <w:t>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13.9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21.3 (</w:t>
      </w:r>
      <w:r w:rsidRPr="00395595">
        <w:rPr>
          <w:rFonts w:ascii="Times New Roman" w:eastAsia="Times New Roman" w:hAnsi="Times New Roman" w:cs="Times New Roman"/>
          <w:i/>
          <w:iCs/>
          <w:sz w:val="24"/>
          <w:szCs w:val="24"/>
        </w:rPr>
        <w:t>p-C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61.2 (O</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92.8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118.7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121.6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3a), 127.6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128.6, 128.9, 129.9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130.0, 134.6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136.5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141.7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142.3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145.3, 145.8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6), 154.3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7a), 166.4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O); Anal. for C</w:t>
      </w:r>
      <w:r w:rsidRPr="00395595">
        <w:rPr>
          <w:rFonts w:ascii="Times New Roman" w:eastAsia="Times New Roman" w:hAnsi="Times New Roman" w:cs="Times New Roman"/>
          <w:sz w:val="24"/>
          <w:szCs w:val="24"/>
          <w:vertAlign w:val="subscript"/>
        </w:rPr>
        <w:t>21</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18</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O</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(394.5): C, 63.94; H, 4.60; N, 7.10; found: C, 63.70; H, 4.38; N, 7.23%.</w:t>
      </w:r>
    </w:p>
    <w:p w:rsidR="00E97EEE" w:rsidRPr="00395595" w:rsidRDefault="00E97EEE"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Ethyl 3-amino-6-(4-methoxyphenyl)-4-(thiophen-2-yl)thieno[2,3-</w:t>
      </w:r>
      <w:r w:rsidRPr="00395595">
        <w:rPr>
          <w:rFonts w:ascii="Times New Roman" w:eastAsia="Times New Roman" w:hAnsi="Times New Roman" w:cs="Times New Roman"/>
          <w:b/>
          <w:bCs/>
          <w:i/>
          <w:iCs/>
          <w:sz w:val="24"/>
          <w:szCs w:val="24"/>
        </w:rPr>
        <w:t>b</w:t>
      </w:r>
      <w:r w:rsidRPr="00395595">
        <w:rPr>
          <w:rFonts w:ascii="Times New Roman" w:eastAsia="Times New Roman" w:hAnsi="Times New Roman" w:cs="Times New Roman"/>
          <w:b/>
          <w:bCs/>
          <w:sz w:val="24"/>
          <w:szCs w:val="24"/>
        </w:rPr>
        <w:t>]pyridine-2-carboxylate (9b).</w:t>
      </w:r>
    </w:p>
    <w:p w:rsidR="00E97EEE" w:rsidRPr="00395595" w:rsidRDefault="00E97EEE" w:rsidP="00E97EEE">
      <w:pPr>
        <w:spacing w:after="0" w:line="360" w:lineRule="auto"/>
        <w:contextualSpacing/>
        <w:jc w:val="both"/>
        <w:rPr>
          <w:rFonts w:ascii="Times New Roman" w:eastAsia="Times New Roman" w:hAnsi="Times New Roman" w:cs="Times New Roman"/>
          <w:sz w:val="24"/>
          <w:szCs w:val="24"/>
        </w:rPr>
      </w:pPr>
      <w:bookmarkStart w:id="7" w:name="_Hlk27510966"/>
      <w:bookmarkEnd w:id="5"/>
      <w:r w:rsidRPr="00395595">
        <w:rPr>
          <w:rFonts w:ascii="Times New Roman" w:eastAsia="Times New Roman" w:hAnsi="Times New Roman" w:cs="Times New Roman"/>
          <w:sz w:val="24"/>
          <w:szCs w:val="24"/>
        </w:rPr>
        <w:t xml:space="preserve">Yellow crystals (ethanol/ dioxane mixture); m.p. 252-255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cm-1): 3464, 3331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1669 (CO);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1.30 (t, 3H, CH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C</w:t>
      </w:r>
      <w:r w:rsidRPr="00395595">
        <w:rPr>
          <w:rFonts w:ascii="Times New Roman" w:eastAsia="Times New Roman" w:hAnsi="Times New Roman" w:cs="Times New Roman"/>
          <w:i/>
          <w:iCs/>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3.83 (s, 3H, OCH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4.28 (q, 2H, C</w:t>
      </w:r>
      <w:r w:rsidRPr="00395595">
        <w:rPr>
          <w:rFonts w:ascii="Times New Roman" w:eastAsia="Times New Roman" w:hAnsi="Times New Roman" w:cs="Times New Roman"/>
          <w:i/>
          <w:iCs/>
          <w:sz w:val="24"/>
          <w:szCs w:val="24"/>
        </w:rPr>
        <w:t>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6.11 (s, 2H,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7.07 (d, 2H, Ar-H’s), 7.32 (t, 1H, thiophene H-4), 7.45 (d, 1H, thiophene-H5), 7.65 (s, 1H, pyridine-H5), 7.92 (d, 1H, thiophene-H3), 8.18 (d, 2H, Ar-H’s); </w:t>
      </w:r>
      <w:r w:rsidRPr="00395595">
        <w:rPr>
          <w:rFonts w:ascii="Times New Roman" w:eastAsia="Times New Roman" w:hAnsi="Times New Roman" w:cs="Times New Roman"/>
          <w:sz w:val="24"/>
          <w:szCs w:val="24"/>
          <w:vertAlign w:val="superscript"/>
        </w:rPr>
        <w:t>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13.8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55.8 (O</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61.3 (O</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93.5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114.2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118.4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121.6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3a), 128.5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4), 128.6, 128.8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128.9, 129.7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136.7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142.8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145.6, 146.3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6), 154.9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7a), 158.9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166.3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O); Anal. for C</w:t>
      </w:r>
      <w:r w:rsidRPr="00395595">
        <w:rPr>
          <w:rFonts w:ascii="Times New Roman" w:eastAsia="Times New Roman" w:hAnsi="Times New Roman" w:cs="Times New Roman"/>
          <w:sz w:val="24"/>
          <w:szCs w:val="24"/>
          <w:vertAlign w:val="subscript"/>
        </w:rPr>
        <w:t>21</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18</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O</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(410.5): C, 61.44; H, 4.42; N, 6.82; found: C, 61.22; H, 4.55; N, 7.01%. </w:t>
      </w:r>
      <w:bookmarkEnd w:id="7"/>
    </w:p>
    <w:p w:rsidR="00E97EEE" w:rsidRPr="00395595" w:rsidRDefault="00E97EEE"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3-Amino-4-(thiophen-2-yl)-6-(</w:t>
      </w:r>
      <w:r w:rsidRPr="00395595">
        <w:rPr>
          <w:rFonts w:ascii="Times New Roman" w:eastAsia="Times New Roman" w:hAnsi="Times New Roman" w:cs="Times New Roman"/>
          <w:b/>
          <w:bCs/>
          <w:i/>
          <w:iCs/>
          <w:sz w:val="24"/>
          <w:szCs w:val="24"/>
        </w:rPr>
        <w:t>p</w:t>
      </w:r>
      <w:r w:rsidRPr="00395595">
        <w:rPr>
          <w:rFonts w:ascii="Times New Roman" w:eastAsia="Times New Roman" w:hAnsi="Times New Roman" w:cs="Times New Roman"/>
          <w:b/>
          <w:bCs/>
          <w:sz w:val="24"/>
          <w:szCs w:val="24"/>
        </w:rPr>
        <w:t>-tolyl)thieno[2,3-</w:t>
      </w:r>
      <w:r w:rsidRPr="00395595">
        <w:rPr>
          <w:rFonts w:ascii="Times New Roman" w:eastAsia="Times New Roman" w:hAnsi="Times New Roman" w:cs="Times New Roman"/>
          <w:b/>
          <w:bCs/>
          <w:i/>
          <w:iCs/>
          <w:sz w:val="24"/>
          <w:szCs w:val="24"/>
        </w:rPr>
        <w:t>b</w:t>
      </w:r>
      <w:r w:rsidRPr="00395595">
        <w:rPr>
          <w:rFonts w:ascii="Times New Roman" w:eastAsia="Times New Roman" w:hAnsi="Times New Roman" w:cs="Times New Roman"/>
          <w:b/>
          <w:bCs/>
          <w:sz w:val="24"/>
          <w:szCs w:val="24"/>
        </w:rPr>
        <w:t xml:space="preserve">]pyridine-2-carboxamide (11a). </w:t>
      </w:r>
    </w:p>
    <w:p w:rsidR="00F06C3F" w:rsidRPr="00395595" w:rsidRDefault="00F06C3F" w:rsidP="00F06C3F">
      <w:pPr>
        <w:spacing w:after="0" w:line="360" w:lineRule="auto"/>
        <w:contextualSpacing/>
        <w:jc w:val="both"/>
        <w:rPr>
          <w:rFonts w:ascii="Times New Roman" w:eastAsia="Times New Roman" w:hAnsi="Times New Roman" w:cs="Times New Roman"/>
          <w:sz w:val="24"/>
          <w:szCs w:val="24"/>
          <w:rtl/>
        </w:rPr>
      </w:pPr>
      <w:bookmarkStart w:id="8" w:name="_Hlk27510751"/>
      <w:r w:rsidRPr="00395595">
        <w:rPr>
          <w:rFonts w:ascii="Times New Roman" w:eastAsia="Times New Roman" w:hAnsi="Times New Roman" w:cs="Times New Roman"/>
          <w:sz w:val="24"/>
          <w:szCs w:val="24"/>
        </w:rPr>
        <w:t xml:space="preserve">Yellow solid (dioxane); m.p. 266-267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 3468, 3313, 3255 (2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1658 (CO); </w:t>
      </w:r>
      <w:bookmarkEnd w:id="8"/>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δ 2.37 (s, 3H, 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6.19 (s, 2H,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7.22-7.32 (m, 5H, 2 Ar-H’s, thiophene-H4 and CONH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7.43 (d, 1H, thiophene-H5), 7.83 (s, 1H,  pyridine-H5), 7.88 (d, 1H, thiophene-H3), 8.09 (d, 2H, Ar-H’s); </w:t>
      </w:r>
      <w:bookmarkStart w:id="9" w:name="_Hlk27510718"/>
      <w:bookmarkStart w:id="10" w:name="_Hlk38903813"/>
      <w:bookmarkStart w:id="11" w:name="_Hlk38907305"/>
      <w:r w:rsidRPr="00395595">
        <w:rPr>
          <w:rFonts w:ascii="Times New Roman" w:eastAsia="Times New Roman" w:hAnsi="Times New Roman" w:cs="Times New Roman"/>
          <w:sz w:val="24"/>
          <w:szCs w:val="24"/>
          <w:vertAlign w:val="superscript"/>
        </w:rPr>
        <w:lastRenderedPageBreak/>
        <w:t>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w:t>
      </w:r>
      <w:bookmarkEnd w:id="9"/>
      <w:r w:rsidRPr="00395595">
        <w:rPr>
          <w:rFonts w:ascii="Times New Roman" w:eastAsia="Times New Roman" w:hAnsi="Times New Roman" w:cs="Times New Roman"/>
          <w:sz w:val="24"/>
          <w:szCs w:val="24"/>
        </w:rPr>
        <w:t xml:space="preserve"> 21.3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99.0, 119.2, 121.4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2,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3a), 127.4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128.4, 129.4, 129.8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4), 130.0, 134.9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137.0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140.1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140.3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145.9, 155.8, 160.4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7a), 167.3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O);</w:t>
      </w:r>
      <w:bookmarkEnd w:id="10"/>
      <w:r w:rsidRPr="00395595">
        <w:rPr>
          <w:rFonts w:ascii="Times New Roman" w:eastAsia="Times New Roman" w:hAnsi="Times New Roman" w:cs="Times New Roman"/>
          <w:sz w:val="24"/>
          <w:szCs w:val="24"/>
        </w:rPr>
        <w:t xml:space="preserve"> </w:t>
      </w:r>
      <w:bookmarkStart w:id="12" w:name="_Hlk27510782"/>
      <w:bookmarkEnd w:id="11"/>
      <w:r w:rsidRPr="00395595">
        <w:rPr>
          <w:rFonts w:ascii="Times New Roman" w:eastAsia="Times New Roman" w:hAnsi="Times New Roman" w:cs="Times New Roman"/>
          <w:sz w:val="24"/>
          <w:szCs w:val="24"/>
        </w:rPr>
        <w:t>Anal. for C</w:t>
      </w:r>
      <w:r w:rsidRPr="00395595">
        <w:rPr>
          <w:rFonts w:ascii="Times New Roman" w:eastAsia="Times New Roman" w:hAnsi="Times New Roman" w:cs="Times New Roman"/>
          <w:sz w:val="24"/>
          <w:szCs w:val="24"/>
          <w:vertAlign w:val="subscript"/>
        </w:rPr>
        <w:t>19</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15</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OS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(365.4): C, 62.44; H, 4.14; N, 11.50; found: C, 62.19; H, 4.03; N, 11.45%.</w:t>
      </w:r>
      <w:bookmarkEnd w:id="12"/>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bookmarkStart w:id="13" w:name="_Hlk38907287"/>
      <w:r w:rsidRPr="00395595">
        <w:rPr>
          <w:rFonts w:ascii="Times New Roman" w:eastAsia="Times New Roman" w:hAnsi="Times New Roman" w:cs="Times New Roman"/>
          <w:b/>
          <w:bCs/>
          <w:sz w:val="24"/>
          <w:szCs w:val="24"/>
        </w:rPr>
        <w:t>3-Amino-6-(4-methoxyphenyl)-4-(thiophen-2-yl)thieno[2,3-</w:t>
      </w:r>
      <w:r w:rsidRPr="00395595">
        <w:rPr>
          <w:rFonts w:ascii="Times New Roman" w:eastAsia="Times New Roman" w:hAnsi="Times New Roman" w:cs="Times New Roman"/>
          <w:b/>
          <w:bCs/>
          <w:i/>
          <w:iCs/>
          <w:sz w:val="24"/>
          <w:szCs w:val="24"/>
        </w:rPr>
        <w:t>b</w:t>
      </w:r>
      <w:r w:rsidRPr="00395595">
        <w:rPr>
          <w:rFonts w:ascii="Times New Roman" w:eastAsia="Times New Roman" w:hAnsi="Times New Roman" w:cs="Times New Roman"/>
          <w:b/>
          <w:bCs/>
          <w:sz w:val="24"/>
          <w:szCs w:val="24"/>
        </w:rPr>
        <w:t>]pyridine-2-carboxamide (11b).</w:t>
      </w:r>
    </w:p>
    <w:p w:rsidR="00E97EEE" w:rsidRPr="00395595" w:rsidRDefault="00E97EEE" w:rsidP="00E97EEE">
      <w:pPr>
        <w:spacing w:after="0" w:line="360" w:lineRule="auto"/>
        <w:contextualSpacing/>
        <w:jc w:val="both"/>
        <w:rPr>
          <w:rFonts w:ascii="Times New Roman" w:eastAsia="Times New Roman" w:hAnsi="Times New Roman" w:cs="Times New Roman"/>
          <w:sz w:val="24"/>
          <w:szCs w:val="24"/>
          <w:lang w:bidi="ar-EG"/>
        </w:rPr>
      </w:pPr>
      <w:bookmarkStart w:id="14" w:name="_Hlk38903629"/>
      <w:bookmarkEnd w:id="13"/>
      <w:r w:rsidRPr="00395595">
        <w:rPr>
          <w:rFonts w:ascii="Times New Roman" w:eastAsia="Times New Roman" w:hAnsi="Times New Roman" w:cs="Times New Roman"/>
          <w:sz w:val="24"/>
          <w:szCs w:val="24"/>
        </w:rPr>
        <w:t xml:space="preserve">Yellowish green crystals (dioxane); m.p. 262-265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 3467, 3316, 3256 (2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1657 (CO);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δ 3.84 (s, 3H, OCH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6.18 (s, 2H,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7.07 (d, 2H, Ar-H’s), 7.26 (br s, 2H, CONH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7.29 (t, 1H, thiophene-H4), 7.42 (d, 1H, thiophene-H5), 7.78 (s, 1H, pyridine-H5), 7.88 (d, 1H, thiophene-H3), 8.18 (d, 2H, Ar-H’s);</w:t>
      </w:r>
      <w:r w:rsidRPr="00395595">
        <w:rPr>
          <w:rFonts w:ascii="Times New Roman" w:eastAsia="Times New Roman" w:hAnsi="Times New Roman" w:cs="Times New Roman"/>
          <w:sz w:val="24"/>
          <w:szCs w:val="24"/>
          <w:vertAlign w:val="superscript"/>
        </w:rPr>
        <w:t xml:space="preserve"> 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55.8 (O</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99.4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114.2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119.3, 120.8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3a), 128.4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128.6, 128.9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129.4, 129.8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4), 136.8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141.3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144.7, 154.9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6), 159.4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160.6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7a), 167.6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O); Anal. for C</w:t>
      </w:r>
      <w:r w:rsidRPr="00395595">
        <w:rPr>
          <w:rFonts w:ascii="Times New Roman" w:eastAsia="Times New Roman" w:hAnsi="Times New Roman" w:cs="Times New Roman"/>
          <w:sz w:val="24"/>
          <w:szCs w:val="24"/>
          <w:vertAlign w:val="subscript"/>
        </w:rPr>
        <w:t>19</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15</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O</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(381.4): C, 59.82; H, 3.96; N, 11.02; found: C, 59.67; H, 4.11; N, 11.13%. </w:t>
      </w:r>
    </w:p>
    <w:p w:rsidR="00E97EEE" w:rsidRPr="00395595" w:rsidRDefault="00E97EEE"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3-Amino-4-(thiophen-2-yl)-6-(</w:t>
      </w:r>
      <w:r w:rsidRPr="00395595">
        <w:rPr>
          <w:rFonts w:ascii="Times New Roman" w:eastAsia="Times New Roman" w:hAnsi="Times New Roman" w:cs="Times New Roman"/>
          <w:b/>
          <w:bCs/>
          <w:i/>
          <w:iCs/>
          <w:sz w:val="24"/>
          <w:szCs w:val="24"/>
        </w:rPr>
        <w:t>p</w:t>
      </w:r>
      <w:r w:rsidRPr="00395595">
        <w:rPr>
          <w:rFonts w:ascii="Times New Roman" w:eastAsia="Times New Roman" w:hAnsi="Times New Roman" w:cs="Times New Roman"/>
          <w:b/>
          <w:bCs/>
          <w:sz w:val="24"/>
          <w:szCs w:val="24"/>
        </w:rPr>
        <w:t>-tolyl)thieno[2,3-</w:t>
      </w:r>
      <w:r w:rsidRPr="00395595">
        <w:rPr>
          <w:rFonts w:ascii="Times New Roman" w:eastAsia="Times New Roman" w:hAnsi="Times New Roman" w:cs="Times New Roman"/>
          <w:b/>
          <w:bCs/>
          <w:i/>
          <w:iCs/>
          <w:sz w:val="24"/>
          <w:szCs w:val="24"/>
        </w:rPr>
        <w:t>b</w:t>
      </w:r>
      <w:r w:rsidRPr="00395595">
        <w:rPr>
          <w:rFonts w:ascii="Times New Roman" w:eastAsia="Times New Roman" w:hAnsi="Times New Roman" w:cs="Times New Roman"/>
          <w:b/>
          <w:bCs/>
          <w:sz w:val="24"/>
          <w:szCs w:val="24"/>
        </w:rPr>
        <w:t xml:space="preserve">]pyridine-2-carbonitrile (13a). </w:t>
      </w:r>
    </w:p>
    <w:bookmarkEnd w:id="14"/>
    <w:p w:rsidR="00E97EEE" w:rsidRPr="00395595" w:rsidRDefault="00E97EEE" w:rsidP="00E97EEE">
      <w:pPr>
        <w:spacing w:after="0" w:line="360" w:lineRule="auto"/>
        <w:contextualSpacing/>
        <w:jc w:val="both"/>
        <w:rPr>
          <w:rFonts w:ascii="Times New Roman" w:eastAsia="Times New Roman" w:hAnsi="Times New Roman" w:cs="Times New Roman"/>
          <w:sz w:val="24"/>
          <w:szCs w:val="24"/>
          <w:lang w:bidi="ar-EG"/>
        </w:rPr>
      </w:pPr>
      <w:r w:rsidRPr="00395595">
        <w:rPr>
          <w:rFonts w:ascii="Times New Roman" w:eastAsia="Times New Roman" w:hAnsi="Times New Roman" w:cs="Times New Roman"/>
          <w:sz w:val="24"/>
          <w:szCs w:val="24"/>
        </w:rPr>
        <w:t xml:space="preserve">Yellow crystals (ethanol/ dioxane mixture); m.p. 264-266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 3466, 3224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2197 (CN);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δ 2.37 (s, 3H, 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5.95 (s, 2H,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7.32-7.36 (m, 3H, 2 Ar-H’s and thiophene-H4), 7.44 (d, 1H, thiophene-H5), 7.84 (s, 1H, pyridine-H5), 7.88 (d, 1H, thiophene-H3), 8.09 (d, 2H, Ar-H’s)</w:t>
      </w:r>
      <w:r w:rsidRPr="00395595">
        <w:rPr>
          <w:rFonts w:ascii="Times New Roman" w:eastAsia="Times New Roman" w:hAnsi="Times New Roman" w:cs="Times New Roman"/>
          <w:sz w:val="24"/>
          <w:szCs w:val="24"/>
          <w:lang w:bidi="ar-EG"/>
        </w:rPr>
        <w:t xml:space="preserve">; </w:t>
      </w:r>
      <w:r w:rsidRPr="00395595">
        <w:rPr>
          <w:rFonts w:ascii="Times New Roman" w:eastAsia="Times New Roman" w:hAnsi="Times New Roman" w:cs="Times New Roman"/>
          <w:sz w:val="24"/>
          <w:szCs w:val="24"/>
          <w:vertAlign w:val="superscript"/>
        </w:rPr>
        <w:t>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21.3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74.3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115.9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N), 118.6, 119.1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3a), 127.4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128.6, 129.4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129.8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130.1, 134.8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136.3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140.3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140.5, 140.7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4), 149.9, 156.4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7a);</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Anal. for C</w:t>
      </w:r>
      <w:r w:rsidRPr="00395595">
        <w:rPr>
          <w:rFonts w:ascii="Times New Roman" w:eastAsia="Times New Roman" w:hAnsi="Times New Roman" w:cs="Times New Roman"/>
          <w:sz w:val="24"/>
          <w:szCs w:val="24"/>
          <w:vertAlign w:val="subscript"/>
        </w:rPr>
        <w:t>19</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13</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(347.4): C, 65.68; H, 3.77; N, 12.09; found: C, 65.81; H, 3.71; N, 12.27%. </w:t>
      </w:r>
    </w:p>
    <w:p w:rsidR="00E97EEE" w:rsidRPr="00395595" w:rsidRDefault="00E97EEE"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3-Amino-6-(4-methoxyphenyl)-4-(thiophen-2-yl)thieno[2,3-</w:t>
      </w:r>
      <w:r w:rsidRPr="00395595">
        <w:rPr>
          <w:rFonts w:ascii="Times New Roman" w:eastAsia="Times New Roman" w:hAnsi="Times New Roman" w:cs="Times New Roman"/>
          <w:b/>
          <w:bCs/>
          <w:i/>
          <w:iCs/>
          <w:sz w:val="24"/>
          <w:szCs w:val="24"/>
        </w:rPr>
        <w:t>b</w:t>
      </w:r>
      <w:r w:rsidRPr="00395595">
        <w:rPr>
          <w:rFonts w:ascii="Times New Roman" w:eastAsia="Times New Roman" w:hAnsi="Times New Roman" w:cs="Times New Roman"/>
          <w:b/>
          <w:bCs/>
          <w:sz w:val="24"/>
          <w:szCs w:val="24"/>
        </w:rPr>
        <w:t xml:space="preserve">]pyridine-2-carbonitrile (13b). </w:t>
      </w:r>
    </w:p>
    <w:p w:rsidR="00F06C3F" w:rsidRPr="00395595" w:rsidRDefault="00F06C3F" w:rsidP="00F06C3F">
      <w:pPr>
        <w:spacing w:after="0" w:line="360" w:lineRule="auto"/>
        <w:contextualSpacing/>
        <w:jc w:val="both"/>
        <w:rPr>
          <w:rFonts w:ascii="Times New Roman" w:eastAsia="Times New Roman" w:hAnsi="Times New Roman" w:cs="Times New Roman"/>
          <w:sz w:val="24"/>
          <w:szCs w:val="24"/>
        </w:rPr>
      </w:pPr>
      <w:r w:rsidRPr="00395595">
        <w:rPr>
          <w:rFonts w:ascii="Times New Roman" w:eastAsia="Times New Roman" w:hAnsi="Times New Roman" w:cs="Times New Roman"/>
          <w:sz w:val="24"/>
          <w:szCs w:val="24"/>
        </w:rPr>
        <w:t xml:space="preserve">Yellow crystals (ethanol/ dioxane mixture); m.p. 224-226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 3464, 3224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2198 (CN);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δ 3.84 (s, 3H, OCH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5.93 (s, 2H,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7.07 (d, 2H, Ar-H’s), 7.32 (t, 1H, thiophene-H4), 7.45 (d, 1H, thiophene-H5), 7.88 (s, 1H, pyridine-H5), 7.94 (d, 1H, thiophene-H3), 8.19 (d, 2H, Ar-H’s); </w:t>
      </w:r>
      <w:bookmarkStart w:id="15" w:name="_Hlk38903668"/>
      <w:r w:rsidRPr="00395595">
        <w:rPr>
          <w:rFonts w:ascii="Times New Roman" w:eastAsia="Times New Roman" w:hAnsi="Times New Roman" w:cs="Times New Roman"/>
          <w:sz w:val="24"/>
          <w:szCs w:val="24"/>
          <w:vertAlign w:val="superscript"/>
        </w:rPr>
        <w:t>13</w:t>
      </w:r>
      <w:r w:rsidRPr="00395595">
        <w:rPr>
          <w:rFonts w:ascii="Times New Roman" w:eastAsia="Times New Roman" w:hAnsi="Times New Roman" w:cs="Times New Roman"/>
          <w:sz w:val="24"/>
          <w:szCs w:val="24"/>
        </w:rPr>
        <w:t>C-NMR</w:t>
      </w:r>
      <w:r w:rsidR="00462357" w:rsidRPr="00395595">
        <w:rPr>
          <w:rFonts w:ascii="Times New Roman" w:eastAsia="Times New Roman" w:hAnsi="Times New Roman" w:cs="Times New Roman"/>
          <w:sz w:val="24"/>
          <w:szCs w:val="24"/>
        </w:rPr>
        <w:t xml:space="preserve"> </w:t>
      </w:r>
      <w:r w:rsidRPr="00395595">
        <w:rPr>
          <w:rFonts w:ascii="Times New Roman" w:eastAsia="Times New Roman" w:hAnsi="Times New Roman" w:cs="Times New Roman"/>
          <w:sz w:val="24"/>
          <w:szCs w:val="24"/>
        </w:rPr>
        <w:t>(DMSO-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55.8 (O</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74.1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114.8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115.8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N), 118.9, 119.4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3a), 128.5, 129.3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129.5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130.0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130.1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136.3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140.7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4), 150.4, 156.7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7a), 161.6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 </w:t>
      </w:r>
      <w:r w:rsidRPr="00395595">
        <w:rPr>
          <w:rFonts w:ascii="Times New Roman" w:eastAsia="Times New Roman" w:hAnsi="Times New Roman" w:cs="Times New Roman"/>
          <w:sz w:val="24"/>
          <w:szCs w:val="24"/>
          <w:vertAlign w:val="superscript"/>
        </w:rPr>
        <w:t xml:space="preserve"> </w:t>
      </w:r>
      <w:bookmarkEnd w:id="15"/>
      <w:r w:rsidRPr="00395595">
        <w:rPr>
          <w:rFonts w:ascii="Times New Roman" w:eastAsia="Times New Roman" w:hAnsi="Times New Roman" w:cs="Times New Roman"/>
          <w:sz w:val="24"/>
          <w:szCs w:val="24"/>
        </w:rPr>
        <w:t>Anal. for C</w:t>
      </w:r>
      <w:r w:rsidRPr="00395595">
        <w:rPr>
          <w:rFonts w:ascii="Times New Roman" w:eastAsia="Times New Roman" w:hAnsi="Times New Roman" w:cs="Times New Roman"/>
          <w:sz w:val="24"/>
          <w:szCs w:val="24"/>
          <w:vertAlign w:val="subscript"/>
        </w:rPr>
        <w:t>19</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13</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OS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(363.4): C, 62.79; H, 3.61; N, 11.56; found: C, 63.00; H, 3.74; N, 11.40%. </w:t>
      </w: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lastRenderedPageBreak/>
        <w:t>3-Amino-2-benzoyl-4-(thiophen-2-yl)-6-(</w:t>
      </w:r>
      <w:r w:rsidRPr="00395595">
        <w:rPr>
          <w:rFonts w:ascii="Times New Roman" w:eastAsia="Times New Roman" w:hAnsi="Times New Roman" w:cs="Times New Roman"/>
          <w:b/>
          <w:bCs/>
          <w:i/>
          <w:iCs/>
          <w:sz w:val="24"/>
          <w:szCs w:val="24"/>
        </w:rPr>
        <w:t>p</w:t>
      </w:r>
      <w:r w:rsidRPr="00395595">
        <w:rPr>
          <w:rFonts w:ascii="Times New Roman" w:eastAsia="Times New Roman" w:hAnsi="Times New Roman" w:cs="Times New Roman"/>
          <w:b/>
          <w:bCs/>
          <w:sz w:val="24"/>
          <w:szCs w:val="24"/>
        </w:rPr>
        <w:t>-tolyl)thieno[2,3-</w:t>
      </w:r>
      <w:r w:rsidRPr="00395595">
        <w:rPr>
          <w:rFonts w:ascii="Times New Roman" w:eastAsia="Times New Roman" w:hAnsi="Times New Roman" w:cs="Times New Roman"/>
          <w:b/>
          <w:bCs/>
          <w:i/>
          <w:iCs/>
          <w:sz w:val="24"/>
          <w:szCs w:val="24"/>
        </w:rPr>
        <w:t>b</w:t>
      </w:r>
      <w:r w:rsidRPr="00395595">
        <w:rPr>
          <w:rFonts w:ascii="Times New Roman" w:eastAsia="Times New Roman" w:hAnsi="Times New Roman" w:cs="Times New Roman"/>
          <w:b/>
          <w:bCs/>
          <w:sz w:val="24"/>
          <w:szCs w:val="24"/>
        </w:rPr>
        <w:t>]pyridine (15a).</w:t>
      </w:r>
    </w:p>
    <w:p w:rsidR="00F06C3F" w:rsidRPr="00395595" w:rsidRDefault="00F06C3F" w:rsidP="00F06C3F">
      <w:pPr>
        <w:spacing w:after="0" w:line="360" w:lineRule="auto"/>
        <w:contextualSpacing/>
        <w:jc w:val="both"/>
        <w:rPr>
          <w:rFonts w:ascii="Times New Roman" w:eastAsia="Times New Roman" w:hAnsi="Times New Roman" w:cs="Times New Roman"/>
          <w:sz w:val="24"/>
          <w:szCs w:val="24"/>
        </w:rPr>
      </w:pPr>
      <w:r w:rsidRPr="00395595">
        <w:rPr>
          <w:rFonts w:ascii="Times New Roman" w:eastAsia="Times New Roman" w:hAnsi="Times New Roman" w:cs="Times New Roman"/>
          <w:sz w:val="24"/>
          <w:szCs w:val="24"/>
        </w:rPr>
        <w:t xml:space="preserve">Yellow crystals (ethanol/ dioxane mixture); m.p. 224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 3465, 3272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δ 2.34 (s, 3H, 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7.22-7.28 (m, 4H,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and 2 Ar-H’s), 7.33 (br s, 1H, thiophene-H4), 7.48 (br s, 1H, thiophene-H5), 7.53-7.62 (m, 3H, Ar-H’s), 7.77-7.79 (m, 3H, 2 Ar-H’s and pyridine-H5), 7.93 (d, 1H, thiophene-H3), 8.05 (d, 2H, Ar-H’s); </w:t>
      </w:r>
      <w:bookmarkStart w:id="16" w:name="_Hlk38907628"/>
      <w:r w:rsidRPr="00395595">
        <w:rPr>
          <w:rFonts w:ascii="Times New Roman" w:eastAsia="Times New Roman" w:hAnsi="Times New Roman" w:cs="Times New Roman"/>
          <w:sz w:val="24"/>
          <w:szCs w:val="24"/>
          <w:vertAlign w:val="superscript"/>
        </w:rPr>
        <w:t>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21.3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104.0, 119.4, 120.0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2,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3a), 127.5, 127.8, 128.7, 128.9, 129.9, 131.6, 134.5, 136.6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 and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140.6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141.2, 141.7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150.5, 157.5, 162.9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7a), 189.4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O);</w:t>
      </w:r>
      <w:r w:rsidRPr="00395595">
        <w:rPr>
          <w:rFonts w:ascii="Times New Roman" w:eastAsia="Times New Roman" w:hAnsi="Times New Roman" w:cs="Times New Roman"/>
          <w:sz w:val="24"/>
          <w:szCs w:val="24"/>
          <w:vertAlign w:val="superscript"/>
        </w:rPr>
        <w:t xml:space="preserve"> </w:t>
      </w:r>
      <w:bookmarkEnd w:id="16"/>
      <w:r w:rsidRPr="00395595">
        <w:rPr>
          <w:rFonts w:ascii="Times New Roman" w:eastAsia="Times New Roman" w:hAnsi="Times New Roman" w:cs="Times New Roman"/>
          <w:sz w:val="24"/>
          <w:szCs w:val="24"/>
        </w:rPr>
        <w:t>Anal. for C</w:t>
      </w:r>
      <w:r w:rsidRPr="00395595">
        <w:rPr>
          <w:rFonts w:ascii="Times New Roman" w:eastAsia="Times New Roman" w:hAnsi="Times New Roman" w:cs="Times New Roman"/>
          <w:sz w:val="24"/>
          <w:szCs w:val="24"/>
          <w:vertAlign w:val="subscript"/>
        </w:rPr>
        <w:t>25</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18</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OS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(426.5): C, 70.40; H, 4.25; N, 6.57; found: C, 70.64; H, 4.31; N, 6.69%.  </w:t>
      </w: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bookmarkStart w:id="17" w:name="_Hlk38907640"/>
      <w:r w:rsidRPr="00395595">
        <w:rPr>
          <w:rFonts w:ascii="Times New Roman" w:eastAsia="Times New Roman" w:hAnsi="Times New Roman" w:cs="Times New Roman"/>
          <w:b/>
          <w:bCs/>
          <w:sz w:val="24"/>
          <w:szCs w:val="24"/>
        </w:rPr>
        <w:t>3-Amino-2-benzoyl-6-(4-methoxyphenyl)-4-(thiophen-2-yl)thieno[2,3-</w:t>
      </w:r>
      <w:r w:rsidRPr="00395595">
        <w:rPr>
          <w:rFonts w:ascii="Times New Roman" w:eastAsia="Times New Roman" w:hAnsi="Times New Roman" w:cs="Times New Roman"/>
          <w:b/>
          <w:bCs/>
          <w:i/>
          <w:iCs/>
          <w:sz w:val="24"/>
          <w:szCs w:val="24"/>
        </w:rPr>
        <w:t>b</w:t>
      </w:r>
      <w:r w:rsidRPr="00395595">
        <w:rPr>
          <w:rFonts w:ascii="Times New Roman" w:eastAsia="Times New Roman" w:hAnsi="Times New Roman" w:cs="Times New Roman"/>
          <w:b/>
          <w:bCs/>
          <w:sz w:val="24"/>
          <w:szCs w:val="24"/>
        </w:rPr>
        <w:t xml:space="preserve">]pyridine (15b). </w:t>
      </w:r>
    </w:p>
    <w:p w:rsidR="00E97EEE" w:rsidRPr="00395595" w:rsidRDefault="00E97EEE" w:rsidP="00E97EEE">
      <w:pPr>
        <w:spacing w:after="0" w:line="360" w:lineRule="auto"/>
        <w:contextualSpacing/>
        <w:jc w:val="both"/>
        <w:rPr>
          <w:rFonts w:ascii="Times New Roman" w:eastAsia="Times New Roman" w:hAnsi="Times New Roman" w:cs="Times New Roman"/>
          <w:sz w:val="24"/>
          <w:szCs w:val="24"/>
        </w:rPr>
      </w:pPr>
      <w:bookmarkStart w:id="18" w:name="_Hlk38908292"/>
      <w:bookmarkEnd w:id="17"/>
      <w:r w:rsidRPr="00395595">
        <w:rPr>
          <w:rFonts w:ascii="Times New Roman" w:eastAsia="Times New Roman" w:hAnsi="Times New Roman" w:cs="Times New Roman"/>
          <w:sz w:val="24"/>
          <w:szCs w:val="24"/>
        </w:rPr>
        <w:t xml:space="preserve">Orange crystals (dioxane); m.p. 178-179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 3466, 3277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δ 3.84 (s, 3H, OCH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7.07 (d, 2H, Ar-H’s), 7.24 (br s, 2H,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7.34 (t, 1H, thiophene-H4), 7.52 (d, 1H, thiophene-H5), 7.54-7.63 (m, 3H, Ar-H’s), 7.79 (d, 2H, Ar-H’s), 7.84 (s, 1H, pyridine-H5), 7.95 (d, 1H, thiophene-H3), 8.20 (d, 2H, Ar-H’s);</w:t>
      </w:r>
      <w:r w:rsidRPr="00395595">
        <w:rPr>
          <w:rFonts w:ascii="Times New Roman" w:eastAsia="Times New Roman" w:hAnsi="Times New Roman" w:cs="Times New Roman"/>
          <w:sz w:val="24"/>
          <w:szCs w:val="24"/>
          <w:vertAlign w:val="superscript"/>
        </w:rPr>
        <w:t xml:space="preserve"> 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55.9 (O</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104.5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114.3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119.3, 120.4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3a), 127.8, 128.4, 128.5, 128.7, 128.9, 129.0, 130.6, 131.5, 136.8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 and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141.4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141.7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152.3, 156.8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6), 159.1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161.8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7a), 189.2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O); Anal. for C</w:t>
      </w:r>
      <w:r w:rsidRPr="00395595">
        <w:rPr>
          <w:rFonts w:ascii="Times New Roman" w:eastAsia="Times New Roman" w:hAnsi="Times New Roman" w:cs="Times New Roman"/>
          <w:sz w:val="24"/>
          <w:szCs w:val="24"/>
          <w:vertAlign w:val="subscript"/>
        </w:rPr>
        <w:t>25</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18</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O</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(442.5): C, 67.85; H, 4.10; N, 6.33; found: C, 67.54; H, 4.04; N, 6.11%. </w:t>
      </w:r>
    </w:p>
    <w:p w:rsidR="00E97EEE" w:rsidRPr="00395595" w:rsidRDefault="00E97EEE"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3-Amino-2-(4-chlorobenzoyl)-4-(thiophen-2-yl)-6-(</w:t>
      </w:r>
      <w:r w:rsidRPr="00395595">
        <w:rPr>
          <w:rFonts w:ascii="Times New Roman" w:eastAsia="Times New Roman" w:hAnsi="Times New Roman" w:cs="Times New Roman"/>
          <w:b/>
          <w:bCs/>
          <w:i/>
          <w:iCs/>
          <w:sz w:val="24"/>
          <w:szCs w:val="24"/>
        </w:rPr>
        <w:t>p</w:t>
      </w:r>
      <w:r w:rsidRPr="00395595">
        <w:rPr>
          <w:rFonts w:ascii="Times New Roman" w:eastAsia="Times New Roman" w:hAnsi="Times New Roman" w:cs="Times New Roman"/>
          <w:b/>
          <w:bCs/>
          <w:sz w:val="24"/>
          <w:szCs w:val="24"/>
        </w:rPr>
        <w:t>-tolyl)thieno[2,3-</w:t>
      </w:r>
      <w:r w:rsidRPr="00395595">
        <w:rPr>
          <w:rFonts w:ascii="Times New Roman" w:eastAsia="Times New Roman" w:hAnsi="Times New Roman" w:cs="Times New Roman"/>
          <w:b/>
          <w:bCs/>
          <w:i/>
          <w:iCs/>
          <w:sz w:val="24"/>
          <w:szCs w:val="24"/>
        </w:rPr>
        <w:t>b</w:t>
      </w:r>
      <w:r w:rsidRPr="00395595">
        <w:rPr>
          <w:rFonts w:ascii="Times New Roman" w:eastAsia="Times New Roman" w:hAnsi="Times New Roman" w:cs="Times New Roman"/>
          <w:b/>
          <w:bCs/>
          <w:sz w:val="24"/>
          <w:szCs w:val="24"/>
        </w:rPr>
        <w:t>]pyridine (17a).</w:t>
      </w:r>
    </w:p>
    <w:p w:rsidR="00E97EEE" w:rsidRPr="00395595" w:rsidRDefault="00E97EEE" w:rsidP="00E97EEE">
      <w:pPr>
        <w:spacing w:after="0" w:line="360" w:lineRule="auto"/>
        <w:contextualSpacing/>
        <w:jc w:val="both"/>
        <w:rPr>
          <w:rFonts w:ascii="Times New Roman" w:eastAsia="Times New Roman" w:hAnsi="Times New Roman" w:cs="Times New Roman"/>
          <w:sz w:val="24"/>
          <w:szCs w:val="24"/>
        </w:rPr>
      </w:pPr>
      <w:bookmarkStart w:id="19" w:name="_Hlk39262317"/>
      <w:bookmarkEnd w:id="18"/>
      <w:r w:rsidRPr="00395595">
        <w:rPr>
          <w:rFonts w:ascii="Times New Roman" w:eastAsia="Times New Roman" w:hAnsi="Times New Roman" w:cs="Times New Roman"/>
          <w:sz w:val="24"/>
          <w:szCs w:val="24"/>
        </w:rPr>
        <w:t xml:space="preserve">Yellow crystals (ethanol/ dioxane mixture); m.p. 198-199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lang w:bidi="ar-EG"/>
        </w:rPr>
        <w:t xml:space="preserve"> </w:t>
      </w:r>
      <w:r w:rsidRPr="00395595">
        <w:rPr>
          <w:rFonts w:ascii="Times New Roman" w:eastAsia="Times New Roman" w:hAnsi="Times New Roman" w:cs="Times New Roman"/>
          <w:sz w:val="24"/>
          <w:szCs w:val="24"/>
        </w:rPr>
        <w:t>3467, 3274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2.38 (s, 3H, 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7.27 (br s, 2H,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w:t>
      </w:r>
      <w:r w:rsid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rPr>
        <w:t xml:space="preserve"> 7.33-7.36 (m, 3H, 2 Ar-H’s and thiophene-H4), 7.51 (d, 1H, thiophene-H3), 7.63 (d, 2H, Ar-H’s), 7.83 (d, 2H, Ar-H’s), 7.88 (s, 1H, pyridine-H5), 7.96 (d, 1H, thiophene-H5), 8.13 (d, 2H, Ar-H’s);</w:t>
      </w:r>
      <w:r w:rsidRPr="00395595">
        <w:rPr>
          <w:rFonts w:ascii="Times New Roman" w:eastAsia="Times New Roman" w:hAnsi="Times New Roman" w:cs="Times New Roman"/>
          <w:sz w:val="24"/>
          <w:szCs w:val="24"/>
          <w:vertAlign w:val="superscript"/>
        </w:rPr>
        <w:t xml:space="preserve"> 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21.3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w:t>
      </w:r>
      <w:bookmarkStart w:id="20" w:name="_GoBack"/>
      <w:bookmarkEnd w:id="20"/>
      <w:r w:rsidRPr="00395595">
        <w:rPr>
          <w:rFonts w:ascii="Times New Roman" w:eastAsia="Times New Roman" w:hAnsi="Times New Roman" w:cs="Times New Roman"/>
          <w:sz w:val="24"/>
          <w:szCs w:val="24"/>
        </w:rPr>
        <w:t xml:space="preserve">, </w:t>
      </w:r>
      <w:r w:rsidR="005F6DC8" w:rsidRPr="00395595">
        <w:rPr>
          <w:rFonts w:ascii="Times New Roman" w:eastAsia="Times New Roman" w:hAnsi="Times New Roman" w:cs="Times New Roman"/>
          <w:sz w:val="24"/>
          <w:szCs w:val="24"/>
        </w:rPr>
        <w:t>103.8</w:t>
      </w:r>
      <w:r w:rsidR="005F6DC8">
        <w:rPr>
          <w:rFonts w:ascii="Times New Roman" w:eastAsia="Times New Roman" w:hAnsi="Times New Roman" w:cs="Times New Roman"/>
          <w:sz w:val="24"/>
          <w:szCs w:val="24"/>
        </w:rPr>
        <w:t>,</w:t>
      </w:r>
      <w:r w:rsidR="005F6DC8" w:rsidRPr="00395595">
        <w:rPr>
          <w:rFonts w:ascii="Times New Roman" w:eastAsia="Times New Roman" w:hAnsi="Times New Roman" w:cs="Times New Roman"/>
          <w:sz w:val="24"/>
          <w:szCs w:val="24"/>
        </w:rPr>
        <w:t xml:space="preserve"> </w:t>
      </w:r>
      <w:r w:rsidRPr="00395595">
        <w:rPr>
          <w:rFonts w:ascii="Times New Roman" w:eastAsia="Times New Roman" w:hAnsi="Times New Roman" w:cs="Times New Roman"/>
          <w:sz w:val="24"/>
          <w:szCs w:val="24"/>
        </w:rPr>
        <w:t>118.7, 119.8 (thienopyridine-</w:t>
      </w:r>
      <w:r w:rsidR="005F6DC8" w:rsidRPr="00395595">
        <w:rPr>
          <w:rFonts w:ascii="Times New Roman" w:eastAsia="Times New Roman" w:hAnsi="Times New Roman" w:cs="Times New Roman"/>
          <w:i/>
          <w:iCs/>
          <w:sz w:val="24"/>
          <w:szCs w:val="24"/>
        </w:rPr>
        <w:t>C</w:t>
      </w:r>
      <w:r w:rsidR="005F6DC8" w:rsidRPr="00395595">
        <w:rPr>
          <w:rFonts w:ascii="Times New Roman" w:eastAsia="Times New Roman" w:hAnsi="Times New Roman" w:cs="Times New Roman"/>
          <w:sz w:val="24"/>
          <w:szCs w:val="24"/>
        </w:rPr>
        <w:t>2</w:t>
      </w:r>
      <w:r w:rsidR="005F6DC8">
        <w:rPr>
          <w:rFonts w:ascii="Times New Roman" w:eastAsia="Times New Roman" w:hAnsi="Times New Roman" w:cs="Times New Roman"/>
          <w:sz w:val="24"/>
          <w:szCs w:val="24"/>
        </w:rPr>
        <w:t xml:space="preserve">,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3a), 127.4, 129.3, 129.6, 129.8, 129.9, 130.2, 130.5, 134.5, 136.2, 136.5, 139.6, 140.3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 and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143.4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152.4, 155.6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6), 161.6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7a), 187.5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O); Anal. for C</w:t>
      </w:r>
      <w:r w:rsidRPr="00395595">
        <w:rPr>
          <w:rFonts w:ascii="Times New Roman" w:eastAsia="Times New Roman" w:hAnsi="Times New Roman" w:cs="Times New Roman"/>
          <w:sz w:val="24"/>
          <w:szCs w:val="24"/>
          <w:vertAlign w:val="subscript"/>
        </w:rPr>
        <w:t>25</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17</w:t>
      </w:r>
      <w:r w:rsidRPr="00395595">
        <w:rPr>
          <w:rFonts w:ascii="Times New Roman" w:eastAsia="Times New Roman" w:hAnsi="Times New Roman" w:cs="Times New Roman"/>
          <w:sz w:val="24"/>
          <w:szCs w:val="24"/>
        </w:rPr>
        <w:t>ClN</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OS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(460.9): C, 65.14; H, 3.72; N, 6.08; found: C, 64.97; H, 3.67; N, 5.93%</w:t>
      </w:r>
    </w:p>
    <w:bookmarkEnd w:id="19"/>
    <w:p w:rsidR="00E97EEE" w:rsidRPr="00395595" w:rsidRDefault="00E97EEE" w:rsidP="00F06C3F">
      <w:pPr>
        <w:spacing w:after="0" w:line="360" w:lineRule="auto"/>
        <w:contextualSpacing/>
        <w:jc w:val="both"/>
        <w:rPr>
          <w:rFonts w:ascii="Times New Roman" w:eastAsia="Times New Roman" w:hAnsi="Times New Roman" w:cs="Times New Roman"/>
          <w:b/>
          <w:bCs/>
          <w:sz w:val="24"/>
          <w:szCs w:val="24"/>
          <w:lang w:bidi="ar-EG"/>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tl/>
          <w:lang w:bidi="ar-EG"/>
        </w:rPr>
      </w:pPr>
      <w:r w:rsidRPr="00395595">
        <w:rPr>
          <w:rFonts w:ascii="Times New Roman" w:eastAsia="Times New Roman" w:hAnsi="Times New Roman" w:cs="Times New Roman"/>
          <w:b/>
          <w:bCs/>
          <w:sz w:val="24"/>
          <w:szCs w:val="24"/>
          <w:lang w:bidi="ar-EG"/>
        </w:rPr>
        <w:t>3-Amino-2-(4-chlorobenzoyl)-6-(4-methoxyphenyl)-4-(thiophen-2-yl)thieno[2,3-</w:t>
      </w:r>
      <w:r w:rsidRPr="00395595">
        <w:rPr>
          <w:rFonts w:ascii="Times New Roman" w:eastAsia="Times New Roman" w:hAnsi="Times New Roman" w:cs="Times New Roman"/>
          <w:b/>
          <w:bCs/>
          <w:i/>
          <w:iCs/>
          <w:sz w:val="24"/>
          <w:szCs w:val="24"/>
          <w:lang w:bidi="ar-EG"/>
        </w:rPr>
        <w:t>b</w:t>
      </w:r>
      <w:r w:rsidRPr="00395595">
        <w:rPr>
          <w:rFonts w:ascii="Times New Roman" w:eastAsia="Times New Roman" w:hAnsi="Times New Roman" w:cs="Times New Roman"/>
          <w:b/>
          <w:bCs/>
          <w:sz w:val="24"/>
          <w:szCs w:val="24"/>
          <w:lang w:bidi="ar-EG"/>
        </w:rPr>
        <w:t>]pyridine (17b).</w:t>
      </w:r>
    </w:p>
    <w:p w:rsidR="00F06C3F" w:rsidRPr="00395595" w:rsidRDefault="00F06C3F" w:rsidP="00F06C3F">
      <w:pPr>
        <w:spacing w:after="0" w:line="360" w:lineRule="auto"/>
        <w:contextualSpacing/>
        <w:jc w:val="both"/>
        <w:rPr>
          <w:rFonts w:ascii="Times New Roman" w:eastAsia="Times New Roman" w:hAnsi="Times New Roman" w:cs="Times New Roman"/>
          <w:sz w:val="24"/>
          <w:szCs w:val="24"/>
        </w:rPr>
      </w:pPr>
      <w:r w:rsidRPr="00395595">
        <w:rPr>
          <w:rFonts w:ascii="Times New Roman" w:eastAsia="Times New Roman" w:hAnsi="Times New Roman" w:cs="Times New Roman"/>
          <w:sz w:val="24"/>
          <w:szCs w:val="24"/>
        </w:rPr>
        <w:t xml:space="preserve">Yellow crystals (ethanol/ dioxane mixture); m.p. 182-184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lang w:bidi="ar-EG"/>
        </w:rPr>
        <w:t xml:space="preserve"> </w:t>
      </w:r>
      <w:r w:rsidRPr="00395595">
        <w:rPr>
          <w:rFonts w:ascii="Times New Roman" w:eastAsia="Times New Roman" w:hAnsi="Times New Roman" w:cs="Times New Roman"/>
          <w:sz w:val="24"/>
          <w:szCs w:val="24"/>
        </w:rPr>
        <w:t>3464, 3271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3.84 (s, 3H, OCH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7.07 (d, 2H, Ar-H’s), 7.26 (br s, 2H,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7.34 (t, 1H, thiophene-H4), 7.50 (d, 1H, thiophene-H5), 7.63 (d, 2H, Ar-H’s), 7.81 (s, 1H, pyridine-H5 ), 7.83 (d, 2H, Ar-H’s), 7.95 (d, </w:t>
      </w:r>
      <w:r w:rsidRPr="00395595">
        <w:rPr>
          <w:rFonts w:ascii="Times New Roman" w:eastAsia="Times New Roman" w:hAnsi="Times New Roman" w:cs="Times New Roman"/>
          <w:sz w:val="24"/>
          <w:szCs w:val="24"/>
        </w:rPr>
        <w:lastRenderedPageBreak/>
        <w:t>1H, thiophene-H3), 8.19 (d, 2H, Ar-H’s);</w:t>
      </w:r>
      <w:r w:rsidRPr="00395595">
        <w:rPr>
          <w:rFonts w:ascii="Times New Roman" w:eastAsia="Times New Roman" w:hAnsi="Times New Roman" w:cs="Times New Roman"/>
          <w:sz w:val="24"/>
          <w:szCs w:val="24"/>
          <w:vertAlign w:val="superscript"/>
        </w:rPr>
        <w:t xml:space="preserve"> </w:t>
      </w:r>
      <w:bookmarkStart w:id="21" w:name="_Hlk38908310"/>
      <w:r w:rsidRPr="00395595">
        <w:rPr>
          <w:rFonts w:ascii="Times New Roman" w:eastAsia="Times New Roman" w:hAnsi="Times New Roman" w:cs="Times New Roman"/>
          <w:sz w:val="24"/>
          <w:szCs w:val="24"/>
          <w:vertAlign w:val="superscript"/>
        </w:rPr>
        <w:t>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55.8 (O</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103.4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114.8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119.2, 119.5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3a), 128.7, 129.1, 129.4, 129.6, 129.7, 129.9, 130.0, 136.4, 136.5, 139.8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 and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141.9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151.0, 157.6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6), 161.7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162.9 (thienopyridine-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7a), 187.9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O);</w:t>
      </w:r>
      <w:r w:rsidRPr="00395595">
        <w:rPr>
          <w:rFonts w:ascii="Times New Roman" w:eastAsia="Times New Roman" w:hAnsi="Times New Roman" w:cs="Times New Roman"/>
          <w:sz w:val="24"/>
          <w:szCs w:val="24"/>
          <w:vertAlign w:val="superscript"/>
          <w:lang w:val="it-IT"/>
        </w:rPr>
        <w:t xml:space="preserve"> </w:t>
      </w:r>
      <w:bookmarkEnd w:id="21"/>
      <w:r w:rsidRPr="00395595">
        <w:rPr>
          <w:rFonts w:ascii="Times New Roman" w:eastAsia="Times New Roman" w:hAnsi="Times New Roman" w:cs="Times New Roman"/>
          <w:sz w:val="24"/>
          <w:szCs w:val="24"/>
        </w:rPr>
        <w:t>Anal. for C</w:t>
      </w:r>
      <w:r w:rsidRPr="00395595">
        <w:rPr>
          <w:rFonts w:ascii="Times New Roman" w:eastAsia="Times New Roman" w:hAnsi="Times New Roman" w:cs="Times New Roman"/>
          <w:sz w:val="24"/>
          <w:szCs w:val="24"/>
          <w:vertAlign w:val="subscript"/>
        </w:rPr>
        <w:t>25</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17</w:t>
      </w:r>
      <w:r w:rsidRPr="00395595">
        <w:rPr>
          <w:rFonts w:ascii="Times New Roman" w:eastAsia="Times New Roman" w:hAnsi="Times New Roman" w:cs="Times New Roman"/>
          <w:sz w:val="24"/>
          <w:szCs w:val="24"/>
        </w:rPr>
        <w:t>ClN</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O</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(476.9): C, 62.95; H, 3.59; N, 5.87; found: C, 62.99; H, 3.41; N, 5.62%.</w:t>
      </w:r>
    </w:p>
    <w:p w:rsidR="00F06C3F" w:rsidRPr="00395595" w:rsidRDefault="00F06C3F" w:rsidP="00F06C3F">
      <w:pPr>
        <w:suppressAutoHyphens/>
        <w:spacing w:after="0" w:line="360" w:lineRule="auto"/>
        <w:jc w:val="both"/>
        <w:rPr>
          <w:rFonts w:ascii="Times New Roman" w:eastAsia="Times New Roman" w:hAnsi="Times New Roman" w:cs="Times New Roman"/>
          <w:b/>
          <w:bCs/>
          <w:kern w:val="1"/>
          <w:sz w:val="24"/>
          <w:szCs w:val="24"/>
          <w:lang w:eastAsia="ar-SA"/>
        </w:rPr>
      </w:pPr>
    </w:p>
    <w:p w:rsidR="00F06C3F" w:rsidRPr="00395595" w:rsidRDefault="00F06C3F" w:rsidP="00F06C3F">
      <w:pPr>
        <w:suppressAutoHyphens/>
        <w:spacing w:after="0" w:line="360" w:lineRule="auto"/>
        <w:jc w:val="both"/>
        <w:rPr>
          <w:rFonts w:ascii="Times New Roman" w:eastAsia="Times New Roman" w:hAnsi="Times New Roman" w:cs="Times New Roman"/>
          <w:b/>
          <w:bCs/>
          <w:kern w:val="1"/>
          <w:sz w:val="24"/>
          <w:szCs w:val="24"/>
          <w:lang w:eastAsia="ar-SA"/>
        </w:rPr>
      </w:pPr>
      <w:r w:rsidRPr="00395595">
        <w:rPr>
          <w:rFonts w:ascii="Times New Roman" w:eastAsia="Times New Roman" w:hAnsi="Times New Roman" w:cs="Times New Roman"/>
          <w:b/>
          <w:bCs/>
          <w:kern w:val="1"/>
          <w:sz w:val="24"/>
          <w:szCs w:val="24"/>
          <w:lang w:eastAsia="ar-SA"/>
        </w:rPr>
        <w:t>General procedure for the synthesis of nicotinonitriles 18-22.</w:t>
      </w:r>
    </w:p>
    <w:p w:rsidR="00F06C3F" w:rsidRPr="00395595" w:rsidRDefault="00F06C3F" w:rsidP="00F06C3F">
      <w:pPr>
        <w:suppressAutoHyphens/>
        <w:spacing w:after="0" w:line="360" w:lineRule="auto"/>
        <w:jc w:val="both"/>
        <w:rPr>
          <w:rFonts w:ascii="Times New Roman" w:eastAsia="Times New Roman" w:hAnsi="Times New Roman" w:cs="Times New Roman"/>
          <w:kern w:val="1"/>
          <w:sz w:val="24"/>
          <w:szCs w:val="24"/>
          <w:lang w:eastAsia="ar-SA"/>
        </w:rPr>
      </w:pPr>
      <w:r w:rsidRPr="00395595">
        <w:rPr>
          <w:rFonts w:ascii="Times New Roman" w:eastAsia="Times New Roman" w:hAnsi="Times New Roman" w:cs="Times New Roman"/>
          <w:kern w:val="1"/>
          <w:sz w:val="24"/>
          <w:szCs w:val="24"/>
          <w:lang w:eastAsia="ar-SA"/>
        </w:rPr>
        <w:t xml:space="preserve">A mixture of </w:t>
      </w:r>
      <w:r w:rsidRPr="00395595">
        <w:rPr>
          <w:rFonts w:asciiTheme="majorBidi" w:hAnsiTheme="majorBidi" w:cstheme="majorBidi"/>
          <w:sz w:val="24"/>
          <w:szCs w:val="24"/>
        </w:rPr>
        <w:t>pyridine-2(1</w:t>
      </w:r>
      <w:r w:rsidRPr="00395595">
        <w:rPr>
          <w:rFonts w:asciiTheme="majorBidi" w:hAnsiTheme="majorBidi" w:cstheme="majorBidi"/>
          <w:i/>
          <w:iCs/>
          <w:sz w:val="24"/>
          <w:szCs w:val="24"/>
        </w:rPr>
        <w:t>H</w:t>
      </w:r>
      <w:r w:rsidRPr="00395595">
        <w:rPr>
          <w:rFonts w:asciiTheme="majorBidi" w:hAnsiTheme="majorBidi" w:cstheme="majorBidi"/>
          <w:sz w:val="24"/>
          <w:szCs w:val="24"/>
        </w:rPr>
        <w:t xml:space="preserve">)-thione </w:t>
      </w:r>
      <w:r w:rsidRPr="00395595">
        <w:rPr>
          <w:rFonts w:asciiTheme="majorBidi" w:hAnsiTheme="majorBidi" w:cstheme="majorBidi"/>
          <w:b/>
          <w:bCs/>
          <w:sz w:val="24"/>
          <w:szCs w:val="24"/>
        </w:rPr>
        <w:t xml:space="preserve">5 </w:t>
      </w:r>
      <w:r w:rsidRPr="00395595">
        <w:rPr>
          <w:rFonts w:ascii="Times New Roman" w:eastAsia="Times New Roman" w:hAnsi="Times New Roman" w:cs="Times New Roman"/>
          <w:kern w:val="1"/>
          <w:sz w:val="24"/>
          <w:szCs w:val="24"/>
          <w:lang w:eastAsia="ar-SA"/>
        </w:rPr>
        <w:t xml:space="preserve">(5 mmol) and each </w:t>
      </w:r>
      <w:r w:rsidRPr="00395595">
        <w:rPr>
          <w:rFonts w:asciiTheme="majorBidi" w:hAnsiTheme="majorBidi" w:cstheme="majorBidi"/>
          <w:sz w:val="24"/>
          <w:szCs w:val="24"/>
        </w:rPr>
        <w:t xml:space="preserve">of chloroacetone </w:t>
      </w:r>
      <w:r w:rsidRPr="00395595">
        <w:rPr>
          <w:rFonts w:asciiTheme="majorBidi" w:hAnsiTheme="majorBidi" w:cstheme="majorBidi"/>
          <w:b/>
          <w:bCs/>
          <w:sz w:val="24"/>
          <w:szCs w:val="24"/>
        </w:rPr>
        <w:t>6</w:t>
      </w:r>
      <w:r w:rsidRPr="00395595">
        <w:rPr>
          <w:rFonts w:asciiTheme="majorBidi" w:hAnsiTheme="majorBidi" w:cstheme="majorBidi"/>
          <w:sz w:val="24"/>
          <w:szCs w:val="24"/>
        </w:rPr>
        <w:t>,</w:t>
      </w:r>
      <w:r w:rsidRPr="00395595">
        <w:rPr>
          <w:rFonts w:asciiTheme="majorBidi" w:hAnsiTheme="majorBidi" w:cstheme="majorBidi"/>
          <w:b/>
          <w:bCs/>
          <w:sz w:val="24"/>
          <w:szCs w:val="24"/>
        </w:rPr>
        <w:t xml:space="preserve"> </w:t>
      </w:r>
      <w:r w:rsidRPr="00395595">
        <w:rPr>
          <w:rFonts w:asciiTheme="majorBidi" w:hAnsiTheme="majorBidi" w:cstheme="majorBidi"/>
          <w:sz w:val="24"/>
          <w:szCs w:val="24"/>
        </w:rPr>
        <w:t xml:space="preserve">ethyl chloroacetate </w:t>
      </w:r>
      <w:r w:rsidRPr="00395595">
        <w:rPr>
          <w:rFonts w:asciiTheme="majorBidi" w:hAnsiTheme="majorBidi" w:cstheme="majorBidi"/>
          <w:b/>
          <w:bCs/>
          <w:sz w:val="24"/>
          <w:szCs w:val="24"/>
        </w:rPr>
        <w:t>8</w:t>
      </w:r>
      <w:r w:rsidRPr="00395595">
        <w:rPr>
          <w:rFonts w:asciiTheme="majorBidi" w:hAnsiTheme="majorBidi" w:cstheme="majorBidi"/>
          <w:sz w:val="24"/>
          <w:szCs w:val="24"/>
        </w:rPr>
        <w:t xml:space="preserve">, chloroacetamide </w:t>
      </w:r>
      <w:r w:rsidRPr="00395595">
        <w:rPr>
          <w:rFonts w:asciiTheme="majorBidi" w:hAnsiTheme="majorBidi" w:cstheme="majorBidi"/>
          <w:b/>
          <w:bCs/>
          <w:sz w:val="24"/>
          <w:szCs w:val="24"/>
        </w:rPr>
        <w:t>10</w:t>
      </w:r>
      <w:r w:rsidRPr="00395595">
        <w:rPr>
          <w:rFonts w:asciiTheme="majorBidi" w:hAnsiTheme="majorBidi" w:cstheme="majorBidi"/>
          <w:sz w:val="24"/>
          <w:szCs w:val="24"/>
        </w:rPr>
        <w:t>,</w:t>
      </w:r>
      <w:r w:rsidRPr="00395595">
        <w:rPr>
          <w:rFonts w:asciiTheme="majorBidi" w:hAnsiTheme="majorBidi" w:cstheme="majorBidi"/>
          <w:b/>
          <w:bCs/>
          <w:sz w:val="24"/>
          <w:szCs w:val="24"/>
        </w:rPr>
        <w:t xml:space="preserve"> </w:t>
      </w:r>
      <w:r w:rsidRPr="00395595">
        <w:rPr>
          <w:rFonts w:asciiTheme="majorBidi" w:hAnsiTheme="majorBidi" w:cstheme="majorBidi"/>
          <w:sz w:val="24"/>
          <w:szCs w:val="24"/>
        </w:rPr>
        <w:t xml:space="preserve">chloroacetonitrile </w:t>
      </w:r>
      <w:r w:rsidRPr="00395595">
        <w:rPr>
          <w:rFonts w:asciiTheme="majorBidi" w:hAnsiTheme="majorBidi" w:cstheme="majorBidi"/>
          <w:b/>
          <w:bCs/>
          <w:sz w:val="24"/>
          <w:szCs w:val="24"/>
        </w:rPr>
        <w:t>12</w:t>
      </w:r>
      <w:r w:rsidRPr="00395595">
        <w:rPr>
          <w:rFonts w:asciiTheme="majorBidi" w:hAnsiTheme="majorBidi" w:cstheme="majorBidi"/>
          <w:sz w:val="24"/>
          <w:szCs w:val="24"/>
        </w:rPr>
        <w:t xml:space="preserve"> or 2-bromo-1-(4-chlorophenyl)ethanone </w:t>
      </w:r>
      <w:r w:rsidRPr="00395595">
        <w:rPr>
          <w:rFonts w:asciiTheme="majorBidi" w:hAnsiTheme="majorBidi" w:cstheme="majorBidi"/>
          <w:b/>
          <w:bCs/>
          <w:sz w:val="24"/>
          <w:szCs w:val="24"/>
        </w:rPr>
        <w:t>16</w:t>
      </w:r>
      <w:r w:rsidRPr="00395595">
        <w:rPr>
          <w:rFonts w:ascii="Times New Roman" w:eastAsia="Times New Roman" w:hAnsi="Times New Roman" w:cs="Times New Roman"/>
          <w:kern w:val="1"/>
          <w:sz w:val="24"/>
          <w:szCs w:val="24"/>
          <w:lang w:eastAsia="ar-SA"/>
        </w:rPr>
        <w:t xml:space="preserve"> (5 mmol) in ethanol (20 mL) </w:t>
      </w:r>
      <w:r w:rsidRPr="00395595">
        <w:rPr>
          <w:rFonts w:asciiTheme="majorBidi" w:hAnsiTheme="majorBidi" w:cstheme="majorBidi"/>
          <w:sz w:val="24"/>
          <w:szCs w:val="24"/>
        </w:rPr>
        <w:t>in the presence of sodium metal (5 mmol) was stirred at rt for 1 h</w:t>
      </w:r>
      <w:r w:rsidRPr="00395595">
        <w:rPr>
          <w:rFonts w:ascii="Times New Roman" w:eastAsia="Times New Roman" w:hAnsi="Times New Roman" w:cs="Times New Roman"/>
          <w:kern w:val="1"/>
          <w:sz w:val="24"/>
          <w:szCs w:val="24"/>
          <w:lang w:eastAsia="ar-SA"/>
        </w:rPr>
        <w:t>. The products so formed were collected by filtration, washed with cold ethanol, dried and then recrystallized from the appropriate solvent.</w:t>
      </w:r>
    </w:p>
    <w:p w:rsidR="00F06C3F" w:rsidRPr="00395595" w:rsidRDefault="00F06C3F" w:rsidP="00F06C3F">
      <w:pPr>
        <w:autoSpaceDE w:val="0"/>
        <w:autoSpaceDN w:val="0"/>
        <w:adjustRightInd w:val="0"/>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autoSpaceDE w:val="0"/>
        <w:autoSpaceDN w:val="0"/>
        <w:adjustRightInd w:val="0"/>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 xml:space="preserve">6-(4-Methoxyphenyl)-2-((2-oxopropyl)thio)-4-(thiophen-2-yl)nicotinonitrile (18). </w:t>
      </w:r>
    </w:p>
    <w:p w:rsidR="00F06C3F" w:rsidRPr="00395595" w:rsidRDefault="00F06C3F" w:rsidP="00F06C3F">
      <w:p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395595">
        <w:rPr>
          <w:rFonts w:ascii="Times New Roman" w:eastAsia="Times New Roman" w:hAnsi="Times New Roman" w:cs="Times New Roman"/>
          <w:sz w:val="24"/>
          <w:szCs w:val="24"/>
        </w:rPr>
        <w:t xml:space="preserve">Colorless solid (dioxane); m.p. 180-182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 xml:space="preserve">C; IR (υ cm-1): 2210 (CN), 1716 (CO);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δ 2.38 (s, 3H, 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3.86 (s, 3H, OCH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4.27 (s, 2H, CH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7.06 (d, 2H, Ar-H’s), 7.33 (t, 1H, thiophene-H4), 7.46 (d, 1H, thiophene-H5), 7.86 (s, 1H,  pyridine-H5), 7.94 (d, 1H, thiophene-H3), 8.21 (d, 2H, Ar-H’s); </w:t>
      </w:r>
      <w:r w:rsidRPr="00395595">
        <w:rPr>
          <w:rFonts w:ascii="Times New Roman" w:eastAsia="Times New Roman" w:hAnsi="Times New Roman" w:cs="Times New Roman"/>
          <w:sz w:val="24"/>
          <w:szCs w:val="24"/>
          <w:vertAlign w:val="superscript"/>
        </w:rPr>
        <w:t>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):δ 29.0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41.1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55.9 (O</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99.7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114.3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114.8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116.6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N), 129.0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129.2, 129.7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130.8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131.4, 136.9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146.2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4), 158.3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162.0, 162.9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202.3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O); Anal. for C</w:t>
      </w:r>
      <w:r w:rsidRPr="00395595">
        <w:rPr>
          <w:rFonts w:ascii="Times New Roman" w:eastAsia="Times New Roman" w:hAnsi="Times New Roman" w:cs="Times New Roman"/>
          <w:sz w:val="24"/>
          <w:szCs w:val="24"/>
          <w:vertAlign w:val="subscript"/>
        </w:rPr>
        <w:t>20</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16</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O</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(380.4): C, 63.14; H, 4.24; N, 7.36; found: C, 63.39; H, 4.16; N, 7.17%.</w:t>
      </w:r>
    </w:p>
    <w:p w:rsidR="00F06C3F" w:rsidRPr="00395595" w:rsidRDefault="00F06C3F" w:rsidP="00F06C3F">
      <w:pPr>
        <w:autoSpaceDE w:val="0"/>
        <w:autoSpaceDN w:val="0"/>
        <w:adjustRightInd w:val="0"/>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autoSpaceDE w:val="0"/>
        <w:autoSpaceDN w:val="0"/>
        <w:adjustRightInd w:val="0"/>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Ethyl 2-((3-cyano-4-(thiophen-2-yl)-6-(</w:t>
      </w:r>
      <w:r w:rsidRPr="00395595">
        <w:rPr>
          <w:rFonts w:ascii="Times New Roman" w:eastAsia="Times New Roman" w:hAnsi="Times New Roman" w:cs="Times New Roman"/>
          <w:b/>
          <w:bCs/>
          <w:i/>
          <w:iCs/>
          <w:sz w:val="24"/>
          <w:szCs w:val="24"/>
        </w:rPr>
        <w:t>p</w:t>
      </w:r>
      <w:r w:rsidRPr="00395595">
        <w:rPr>
          <w:rFonts w:ascii="Times New Roman" w:eastAsia="Times New Roman" w:hAnsi="Times New Roman" w:cs="Times New Roman"/>
          <w:b/>
          <w:bCs/>
          <w:sz w:val="24"/>
          <w:szCs w:val="24"/>
        </w:rPr>
        <w:t xml:space="preserve">-tolyl)pyridin-2-yl)thio)acetate (19). </w:t>
      </w:r>
    </w:p>
    <w:p w:rsidR="00F06C3F" w:rsidRPr="00395595" w:rsidRDefault="00F06C3F" w:rsidP="00F06C3F">
      <w:pPr>
        <w:spacing w:after="0" w:line="360" w:lineRule="auto"/>
        <w:contextualSpacing/>
        <w:jc w:val="both"/>
        <w:rPr>
          <w:rFonts w:ascii="Times New Roman" w:eastAsia="Times New Roman" w:hAnsi="Times New Roman" w:cs="Times New Roman"/>
          <w:sz w:val="24"/>
          <w:szCs w:val="24"/>
        </w:rPr>
      </w:pPr>
      <w:bookmarkStart w:id="22" w:name="_Hlk27511215"/>
      <w:r w:rsidRPr="00395595">
        <w:rPr>
          <w:rFonts w:ascii="Times New Roman" w:eastAsia="Times New Roman" w:hAnsi="Times New Roman" w:cs="Times New Roman"/>
          <w:sz w:val="24"/>
          <w:szCs w:val="24"/>
        </w:rPr>
        <w:t xml:space="preserve">Colorless solid (ethanol/ dioxane mixture); m.p. 198-201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 xml:space="preserve">): 2214 (CN), 1728 (CO);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δ 1.17 (t, 3H, CH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C</w:t>
      </w:r>
      <w:r w:rsidRPr="00395595">
        <w:rPr>
          <w:rFonts w:ascii="Times New Roman" w:eastAsia="Times New Roman" w:hAnsi="Times New Roman" w:cs="Times New Roman"/>
          <w:i/>
          <w:iCs/>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2.37 (s, 3H, 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4.10 (q, 2H, C</w:t>
      </w:r>
      <w:r w:rsidRPr="00395595">
        <w:rPr>
          <w:rFonts w:ascii="Times New Roman" w:eastAsia="Times New Roman" w:hAnsi="Times New Roman" w:cs="Times New Roman"/>
          <w:i/>
          <w:iCs/>
          <w:sz w:val="24"/>
          <w:szCs w:val="24"/>
        </w:rPr>
        <w:t>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4.22 (s, 2H, CH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7.30-7.32 (m, 3H, 2 Ar-H’s and thiophene-H4), 7.88 (s, 1H,  pyridine-H5), 7.97 (br s, 2H, thiophene-H5 and H3), 8.08 (d, 2H, Ar-H’s);</w:t>
      </w:r>
      <w:r w:rsidRPr="00395595">
        <w:rPr>
          <w:rFonts w:ascii="Times New Roman" w:eastAsia="Times New Roman" w:hAnsi="Times New Roman" w:cs="Times New Roman"/>
          <w:sz w:val="24"/>
          <w:szCs w:val="24"/>
          <w:vertAlign w:val="superscript"/>
        </w:rPr>
        <w:t xml:space="preserve"> 13</w:t>
      </w:r>
      <w:r w:rsidRPr="00395595">
        <w:rPr>
          <w:rFonts w:ascii="Times New Roman" w:eastAsia="Times New Roman" w:hAnsi="Times New Roman" w:cs="Times New Roman"/>
          <w:sz w:val="24"/>
          <w:szCs w:val="24"/>
        </w:rPr>
        <w:t>C-NMR (</w:t>
      </w:r>
      <w:r w:rsidR="00462357" w:rsidRPr="00395595">
        <w:rPr>
          <w:rFonts w:ascii="Times New Roman" w:eastAsia="Times New Roman" w:hAnsi="Times New Roman" w:cs="Times New Roman"/>
          <w:sz w:val="24"/>
          <w:szCs w:val="24"/>
        </w:rPr>
        <w:t>DMSO-</w:t>
      </w:r>
      <w:r w:rsidR="00462357" w:rsidRPr="00395595">
        <w:rPr>
          <w:rFonts w:ascii="Times New Roman" w:eastAsia="Times New Roman" w:hAnsi="Times New Roman" w:cs="Times New Roman"/>
          <w:i/>
          <w:iCs/>
          <w:sz w:val="24"/>
          <w:szCs w:val="24"/>
        </w:rPr>
        <w:t>d</w:t>
      </w:r>
      <w:r w:rsidR="00462357"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14.4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21.4 (</w:t>
      </w:r>
      <w:r w:rsidRPr="00395595">
        <w:rPr>
          <w:rFonts w:ascii="Times New Roman" w:eastAsia="Times New Roman" w:hAnsi="Times New Roman" w:cs="Times New Roman"/>
          <w:i/>
          <w:iCs/>
          <w:sz w:val="24"/>
          <w:szCs w:val="24"/>
        </w:rPr>
        <w:t>p</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33.1 (S</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61.6 (O</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100.1, 114.6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116.4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N), 127.8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129.0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129.9, 130.9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131.5, 133.8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136.7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141.5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146.3, 158.3, 162.8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169.0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O); Anal. for C</w:t>
      </w:r>
      <w:r w:rsidRPr="00395595">
        <w:rPr>
          <w:rFonts w:ascii="Times New Roman" w:eastAsia="Times New Roman" w:hAnsi="Times New Roman" w:cs="Times New Roman"/>
          <w:sz w:val="24"/>
          <w:szCs w:val="24"/>
          <w:vertAlign w:val="subscript"/>
        </w:rPr>
        <w:t>21</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18</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O</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(394.5): C, 63.94; H, 4.60; N, 7.10; found: C, 63.88; H, 4.51; N, 7.21%.</w:t>
      </w:r>
      <w:bookmarkEnd w:id="22"/>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 xml:space="preserve">2-((3-Cyano-6-(4-methoxyphenyl)-4-(thiophen-2-yl)pyridin-2-yl)thio)acetamide (20). </w:t>
      </w:r>
    </w:p>
    <w:p w:rsidR="00E97EEE" w:rsidRPr="00395595" w:rsidRDefault="00E97EEE" w:rsidP="00E97EEE">
      <w:pPr>
        <w:spacing w:after="0" w:line="360" w:lineRule="auto"/>
        <w:contextualSpacing/>
        <w:jc w:val="both"/>
        <w:rPr>
          <w:rFonts w:ascii="Times New Roman" w:eastAsia="Times New Roman" w:hAnsi="Times New Roman" w:cs="Times New Roman"/>
          <w:sz w:val="24"/>
          <w:szCs w:val="24"/>
        </w:rPr>
      </w:pPr>
      <w:r w:rsidRPr="00395595">
        <w:rPr>
          <w:rFonts w:ascii="Times New Roman" w:eastAsia="Times New Roman" w:hAnsi="Times New Roman" w:cs="Times New Roman"/>
          <w:sz w:val="24"/>
          <w:szCs w:val="24"/>
        </w:rPr>
        <w:t xml:space="preserve">Colorless solid (dioxane); m.p. 276-277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cm-1): 3464, 3332 (NH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2198 (CN), 1635 (CO);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δ 3.86 (s, 3H, OCH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4.06 (s, 2H, CH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7.07 (d, 2H, Ar-H’s), 7.24, 7.70 (2 br s, 2H, CONH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7.34 (d, 1H, thiophene-H4), 7.89 (s, 1H, pyridine-H5), 7.96 (s, 2H, thiophene-H3 and H5), 8.29 (d, 2H, Ar-H’s);</w:t>
      </w:r>
      <w:r w:rsidRPr="00395595">
        <w:rPr>
          <w:rFonts w:ascii="Times New Roman" w:eastAsia="Times New Roman" w:hAnsi="Times New Roman" w:cs="Times New Roman"/>
          <w:sz w:val="24"/>
          <w:szCs w:val="24"/>
          <w:vertAlign w:val="superscript"/>
        </w:rPr>
        <w:t xml:space="preserve"> 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):δ 35.3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55.8 (O</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99.6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114.3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114.5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116.2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N), 129.0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129.3, 129.8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130.6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131.4, 136.7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146.2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4), 159.2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160.7, 161.8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168.5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O); Anal. for C</w:t>
      </w:r>
      <w:r w:rsidRPr="00395595">
        <w:rPr>
          <w:rFonts w:ascii="Times New Roman" w:eastAsia="Times New Roman" w:hAnsi="Times New Roman" w:cs="Times New Roman"/>
          <w:sz w:val="24"/>
          <w:szCs w:val="24"/>
          <w:vertAlign w:val="subscript"/>
        </w:rPr>
        <w:t>19</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15</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O</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(381.4): C, 59.82; H, 3.96; N, 11.02; found: C, 60.00; H, 4.04; N, 11.11%. </w:t>
      </w:r>
    </w:p>
    <w:p w:rsidR="00E97EEE" w:rsidRPr="00395595" w:rsidRDefault="00E97EEE"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 xml:space="preserve">2-(Cyanomethyl)thio)-6-(4-methoxyphenyl)-4-(thiophen-2-yl)nicotinonitrile (21). </w:t>
      </w:r>
    </w:p>
    <w:p w:rsidR="00F06C3F" w:rsidRPr="00395595" w:rsidRDefault="00F06C3F" w:rsidP="00F06C3F">
      <w:pPr>
        <w:spacing w:line="360" w:lineRule="auto"/>
        <w:contextualSpacing/>
        <w:jc w:val="both"/>
        <w:rPr>
          <w:rFonts w:ascii="Times New Roman" w:eastAsia="Times New Roman" w:hAnsi="Times New Roman" w:cs="Times New Roman"/>
          <w:sz w:val="24"/>
          <w:szCs w:val="24"/>
        </w:rPr>
      </w:pPr>
      <w:r w:rsidRPr="00395595">
        <w:rPr>
          <w:rFonts w:ascii="Times New Roman" w:eastAsia="Times New Roman" w:hAnsi="Times New Roman" w:cs="Times New Roman"/>
          <w:sz w:val="24"/>
          <w:szCs w:val="24"/>
        </w:rPr>
        <w:t xml:space="preserve">Colorless solid (ethanol/ dioxane mixture); m.p. 230-231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 xml:space="preserve">): 2245, 2210 (2 CN);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rPr>
        <w:t xml:space="preserve"> </w:t>
      </w:r>
      <w:r w:rsidRPr="00395595">
        <w:rPr>
          <w:rFonts w:ascii="Times New Roman" w:eastAsia="Times New Roman" w:hAnsi="Times New Roman" w:cs="Times New Roman"/>
          <w:sz w:val="24"/>
          <w:szCs w:val="24"/>
        </w:rPr>
        <w:t>δ 3.87 (s, 3H, OCH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4.50 (s, 2H, CH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7.11 (d, 2H, Ar-H’s), 7.35 (t, 1H, thiophene-H4), 7.99-8.02 (m, 3H, thiophene-H3, H5 and pyridine-H5), 8.34 (d, 2H, Ar-H’s);</w:t>
      </w:r>
      <w:r w:rsidRPr="00395595">
        <w:rPr>
          <w:rFonts w:ascii="Times New Roman" w:eastAsia="Times New Roman" w:hAnsi="Times New Roman" w:cs="Times New Roman"/>
          <w:sz w:val="24"/>
          <w:szCs w:val="24"/>
          <w:vertAlign w:val="superscript"/>
        </w:rPr>
        <w:t xml:space="preserve"> 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16.5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55.9 (O</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99.9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114.8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114.9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116.2, 118.3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N), 129.0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129.1, 130.0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131.7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131.8, 136.7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146.5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4), 158.6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160.8, 162.2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Anal. for C</w:t>
      </w:r>
      <w:r w:rsidRPr="00395595">
        <w:rPr>
          <w:rFonts w:ascii="Times New Roman" w:eastAsia="Times New Roman" w:hAnsi="Times New Roman" w:cs="Times New Roman"/>
          <w:sz w:val="24"/>
          <w:szCs w:val="24"/>
          <w:vertAlign w:val="subscript"/>
        </w:rPr>
        <w:t>19</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13</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OS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(363.4): C, 62.79; H, 3.61; N, 11.56; found: C, 62.65; H, 3.87; N, 11.39%.</w:t>
      </w: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p>
    <w:p w:rsidR="00F06C3F" w:rsidRPr="00395595" w:rsidRDefault="00F06C3F" w:rsidP="00F06C3F">
      <w:pPr>
        <w:spacing w:after="0" w:line="360" w:lineRule="auto"/>
        <w:contextualSpacing/>
        <w:jc w:val="both"/>
        <w:rPr>
          <w:rFonts w:ascii="Times New Roman" w:eastAsia="Times New Roman" w:hAnsi="Times New Roman" w:cs="Times New Roman"/>
          <w:b/>
          <w:bCs/>
          <w:sz w:val="24"/>
          <w:szCs w:val="24"/>
        </w:rPr>
      </w:pPr>
      <w:r w:rsidRPr="00395595">
        <w:rPr>
          <w:rFonts w:ascii="Times New Roman" w:eastAsia="Times New Roman" w:hAnsi="Times New Roman" w:cs="Times New Roman"/>
          <w:b/>
          <w:bCs/>
          <w:sz w:val="24"/>
          <w:szCs w:val="24"/>
        </w:rPr>
        <w:t>2-((2-(4-Chlorophenyl)-2-oxoethyl)thio)-4-(thiophen-2-yl)-6-(</w:t>
      </w:r>
      <w:r w:rsidRPr="00395595">
        <w:rPr>
          <w:rFonts w:ascii="Times New Roman" w:eastAsia="Times New Roman" w:hAnsi="Times New Roman" w:cs="Times New Roman"/>
          <w:b/>
          <w:bCs/>
          <w:i/>
          <w:iCs/>
          <w:sz w:val="24"/>
          <w:szCs w:val="24"/>
        </w:rPr>
        <w:t>p</w:t>
      </w:r>
      <w:r w:rsidRPr="00395595">
        <w:rPr>
          <w:rFonts w:ascii="Times New Roman" w:eastAsia="Times New Roman" w:hAnsi="Times New Roman" w:cs="Times New Roman"/>
          <w:b/>
          <w:bCs/>
          <w:sz w:val="24"/>
          <w:szCs w:val="24"/>
        </w:rPr>
        <w:t>-tolyl)nicotinonitrile (22).</w:t>
      </w:r>
    </w:p>
    <w:p w:rsidR="00F06C3F" w:rsidRPr="00395595" w:rsidRDefault="00F06C3F" w:rsidP="00F06C3F">
      <w:pPr>
        <w:spacing w:after="0" w:line="360" w:lineRule="auto"/>
        <w:contextualSpacing/>
        <w:jc w:val="both"/>
        <w:rPr>
          <w:rFonts w:ascii="Times New Roman" w:eastAsia="Times New Roman" w:hAnsi="Times New Roman" w:cs="Times New Roman"/>
          <w:sz w:val="24"/>
          <w:szCs w:val="24"/>
          <w:lang w:bidi="ar-EG"/>
        </w:rPr>
      </w:pPr>
      <w:r w:rsidRPr="00395595">
        <w:rPr>
          <w:rFonts w:ascii="Times New Roman" w:eastAsia="Times New Roman" w:hAnsi="Times New Roman" w:cs="Times New Roman"/>
          <w:sz w:val="24"/>
          <w:szCs w:val="24"/>
        </w:rPr>
        <w:t xml:space="preserve">Colorless solid (dioxane); m.p. 210-213 </w:t>
      </w:r>
      <w:r w:rsidRPr="00395595">
        <w:rPr>
          <w:rFonts w:ascii="Times New Roman" w:eastAsia="Times New Roman" w:hAnsi="Times New Roman" w:cs="Times New Roman"/>
          <w:sz w:val="24"/>
          <w:szCs w:val="24"/>
          <w:vertAlign w:val="superscript"/>
        </w:rPr>
        <w:t>o</w:t>
      </w:r>
      <w:r w:rsidRPr="00395595">
        <w:rPr>
          <w:rFonts w:ascii="Times New Roman" w:eastAsia="Times New Roman" w:hAnsi="Times New Roman" w:cs="Times New Roman"/>
          <w:sz w:val="24"/>
          <w:szCs w:val="24"/>
        </w:rPr>
        <w:t>C; IR (υ cm</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 xml:space="preserve">): 2214 (CN), 1693 (CO); </w:t>
      </w:r>
      <w:r w:rsidRPr="00395595">
        <w:rPr>
          <w:rFonts w:ascii="Times New Roman" w:eastAsia="Times New Roman" w:hAnsi="Times New Roman" w:cs="Times New Roman"/>
          <w:sz w:val="24"/>
          <w:szCs w:val="24"/>
          <w:vertAlign w:val="superscript"/>
        </w:rPr>
        <w:t>1</w:t>
      </w:r>
      <w:r w:rsidRPr="00395595">
        <w:rPr>
          <w:rFonts w:ascii="Times New Roman" w:eastAsia="Times New Roman" w:hAnsi="Times New Roman" w:cs="Times New Roman"/>
          <w:sz w:val="24"/>
          <w:szCs w:val="24"/>
        </w:rPr>
        <w:t>H-NMR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 δ 2.30 (s, 3H, CH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5.01 (s, 2H, CH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7.02 (d, 2H, Ar-H’s), 7.34 (t, 1H, thiophene-H4), 7.67 (d, 2H, Ar-H’s), 7.75 (d, 2H, Ar-H’s), 7.85 (s, 1H, pyridine-H5), 7.97-7.99 (m, 2H, thiophene-H3, H5), 8.12 (d, 2H, Ar-H’s);</w:t>
      </w:r>
      <w:r w:rsidRPr="00395595">
        <w:rPr>
          <w:rFonts w:ascii="Times New Roman" w:eastAsia="Times New Roman" w:hAnsi="Times New Roman" w:cs="Times New Roman"/>
          <w:sz w:val="24"/>
          <w:szCs w:val="24"/>
          <w:vertAlign w:val="superscript"/>
        </w:rPr>
        <w:t xml:space="preserve"> 13</w:t>
      </w:r>
      <w:r w:rsidRPr="00395595">
        <w:rPr>
          <w:rFonts w:ascii="Times New Roman" w:eastAsia="Times New Roman" w:hAnsi="Times New Roman" w:cs="Times New Roman"/>
          <w:sz w:val="24"/>
          <w:szCs w:val="24"/>
        </w:rPr>
        <w:t>C-NMR (DMSO-</w:t>
      </w:r>
      <w:r w:rsidRPr="00395595">
        <w:rPr>
          <w:rFonts w:ascii="Times New Roman" w:eastAsia="Times New Roman" w:hAnsi="Times New Roman" w:cs="Times New Roman"/>
          <w:i/>
          <w:iCs/>
          <w:sz w:val="24"/>
          <w:szCs w:val="24"/>
        </w:rPr>
        <w:t>d</w:t>
      </w:r>
      <w:r w:rsidRPr="00395595">
        <w:rPr>
          <w:rFonts w:ascii="Times New Roman" w:eastAsia="Times New Roman" w:hAnsi="Times New Roman" w:cs="Times New Roman"/>
          <w:i/>
          <w:iCs/>
          <w:sz w:val="24"/>
          <w:szCs w:val="24"/>
          <w:vertAlign w:val="subscript"/>
        </w:rPr>
        <w:t>6</w:t>
      </w:r>
      <w:r w:rsidRPr="00395595">
        <w:rPr>
          <w:rFonts w:ascii="Times New Roman" w:eastAsia="Times New Roman" w:hAnsi="Times New Roman" w:cs="Times New Roman"/>
          <w:sz w:val="24"/>
          <w:szCs w:val="24"/>
        </w:rPr>
        <w:t>):</w:t>
      </w:r>
      <w:r w:rsidRPr="00395595">
        <w:rPr>
          <w:rFonts w:ascii="Times New Roman" w:eastAsia="Times New Roman" w:hAnsi="Times New Roman" w:cs="Times New Roman"/>
          <w:sz w:val="24"/>
          <w:szCs w:val="24"/>
          <w:vertAlign w:val="superscript"/>
          <w:lang w:val="it-IT"/>
        </w:rPr>
        <w:t xml:space="preserve">  </w:t>
      </w:r>
      <w:r w:rsidRPr="00395595">
        <w:rPr>
          <w:rFonts w:ascii="Times New Roman" w:eastAsia="Times New Roman" w:hAnsi="Times New Roman" w:cs="Times New Roman"/>
          <w:sz w:val="24"/>
          <w:szCs w:val="24"/>
        </w:rPr>
        <w:t>21.3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3</w:t>
      </w:r>
      <w:r w:rsidRPr="00395595">
        <w:rPr>
          <w:rFonts w:ascii="Times New Roman" w:eastAsia="Times New Roman" w:hAnsi="Times New Roman" w:cs="Times New Roman"/>
          <w:sz w:val="24"/>
          <w:szCs w:val="24"/>
        </w:rPr>
        <w:t>), 38.3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100.2, 114.7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3,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116.5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N), 127.7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5), 129.1, 129.4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129.6, 130.7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3), 130.9, 131.5, 133.8, 135.2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136.7 (thiophene-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139.0, 141.1 (Ar-</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146.3, 158.4, 162.9 (pyridine-</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4,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 xml:space="preserve">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2), 192.6 (</w:t>
      </w:r>
      <w:r w:rsidRPr="00395595">
        <w:rPr>
          <w:rFonts w:ascii="Times New Roman" w:eastAsia="Times New Roman" w:hAnsi="Times New Roman" w:cs="Times New Roman"/>
          <w:i/>
          <w:iCs/>
          <w:sz w:val="24"/>
          <w:szCs w:val="24"/>
        </w:rPr>
        <w:t>C</w:t>
      </w:r>
      <w:r w:rsidRPr="00395595">
        <w:rPr>
          <w:rFonts w:ascii="Times New Roman" w:eastAsia="Times New Roman" w:hAnsi="Times New Roman" w:cs="Times New Roman"/>
          <w:sz w:val="24"/>
          <w:szCs w:val="24"/>
        </w:rPr>
        <w:t>O); Anal. for C</w:t>
      </w:r>
      <w:r w:rsidRPr="00395595">
        <w:rPr>
          <w:rFonts w:ascii="Times New Roman" w:eastAsia="Times New Roman" w:hAnsi="Times New Roman" w:cs="Times New Roman"/>
          <w:sz w:val="24"/>
          <w:szCs w:val="24"/>
          <w:vertAlign w:val="subscript"/>
        </w:rPr>
        <w:t>25</w:t>
      </w:r>
      <w:r w:rsidRPr="00395595">
        <w:rPr>
          <w:rFonts w:ascii="Times New Roman" w:eastAsia="Times New Roman" w:hAnsi="Times New Roman" w:cs="Times New Roman"/>
          <w:sz w:val="24"/>
          <w:szCs w:val="24"/>
        </w:rPr>
        <w:t>H</w:t>
      </w:r>
      <w:r w:rsidRPr="00395595">
        <w:rPr>
          <w:rFonts w:ascii="Times New Roman" w:eastAsia="Times New Roman" w:hAnsi="Times New Roman" w:cs="Times New Roman"/>
          <w:sz w:val="24"/>
          <w:szCs w:val="24"/>
          <w:vertAlign w:val="subscript"/>
        </w:rPr>
        <w:t>17</w:t>
      </w:r>
      <w:r w:rsidRPr="00395595">
        <w:rPr>
          <w:rFonts w:ascii="Times New Roman" w:eastAsia="Times New Roman" w:hAnsi="Times New Roman" w:cs="Times New Roman"/>
          <w:sz w:val="24"/>
          <w:szCs w:val="24"/>
        </w:rPr>
        <w:t>ClN</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OS</w:t>
      </w:r>
      <w:r w:rsidRPr="00395595">
        <w:rPr>
          <w:rFonts w:ascii="Times New Roman" w:eastAsia="Times New Roman" w:hAnsi="Times New Roman" w:cs="Times New Roman"/>
          <w:sz w:val="24"/>
          <w:szCs w:val="24"/>
          <w:vertAlign w:val="subscript"/>
        </w:rPr>
        <w:t>2</w:t>
      </w:r>
      <w:r w:rsidRPr="00395595">
        <w:rPr>
          <w:rFonts w:ascii="Times New Roman" w:eastAsia="Times New Roman" w:hAnsi="Times New Roman" w:cs="Times New Roman"/>
          <w:sz w:val="24"/>
          <w:szCs w:val="24"/>
        </w:rPr>
        <w:t xml:space="preserve"> (460.9): C, 65.14; H, 3.72; N, 6.08; found: C, 65.41; H, 3.60; N, 6.24%.</w:t>
      </w:r>
    </w:p>
    <w:p w:rsidR="00F06C3F" w:rsidRPr="00395595" w:rsidRDefault="00F06C3F" w:rsidP="00BA7F80"/>
    <w:p w:rsidR="00BA7F80" w:rsidRPr="00395595" w:rsidRDefault="00BA7F80" w:rsidP="00BA7F80">
      <w:pPr>
        <w:suppressAutoHyphens/>
        <w:spacing w:after="0" w:line="360" w:lineRule="auto"/>
        <w:jc w:val="both"/>
        <w:rPr>
          <w:rFonts w:asciiTheme="majorBidi" w:eastAsia="Times New Roman" w:hAnsiTheme="majorBidi" w:cstheme="majorBidi"/>
          <w:b/>
          <w:bCs/>
          <w:kern w:val="1"/>
          <w:sz w:val="24"/>
          <w:szCs w:val="24"/>
          <w:lang w:eastAsia="ar-SA"/>
        </w:rPr>
      </w:pPr>
      <w:r w:rsidRPr="00395595">
        <w:rPr>
          <w:rFonts w:asciiTheme="majorBidi" w:eastAsia="Times New Roman" w:hAnsiTheme="majorBidi" w:cstheme="majorBidi"/>
          <w:b/>
          <w:bCs/>
          <w:kern w:val="1"/>
          <w:sz w:val="24"/>
          <w:szCs w:val="24"/>
          <w:lang w:eastAsia="ar-SA"/>
        </w:rPr>
        <w:t xml:space="preserve">4.3. The </w:t>
      </w:r>
      <w:r w:rsidRPr="00395595">
        <w:rPr>
          <w:rFonts w:asciiTheme="majorBidi" w:eastAsia="Times New Roman" w:hAnsiTheme="majorBidi" w:cstheme="majorBidi"/>
          <w:b/>
          <w:bCs/>
          <w:i/>
          <w:iCs/>
          <w:kern w:val="1"/>
          <w:sz w:val="24"/>
          <w:szCs w:val="24"/>
          <w:lang w:eastAsia="ar-SA"/>
        </w:rPr>
        <w:t>in-vitro</w:t>
      </w:r>
      <w:r w:rsidRPr="00395595">
        <w:rPr>
          <w:rFonts w:asciiTheme="majorBidi" w:eastAsia="Times New Roman" w:hAnsiTheme="majorBidi" w:cstheme="majorBidi"/>
          <w:b/>
          <w:bCs/>
          <w:kern w:val="1"/>
          <w:sz w:val="24"/>
          <w:szCs w:val="24"/>
          <w:lang w:eastAsia="ar-SA"/>
        </w:rPr>
        <w:t xml:space="preserve"> </w:t>
      </w:r>
      <w:bookmarkStart w:id="23" w:name="_Hlk28438373"/>
      <w:r w:rsidRPr="00395595">
        <w:rPr>
          <w:rFonts w:asciiTheme="majorBidi" w:eastAsia="Times New Roman" w:hAnsiTheme="majorBidi" w:cstheme="majorBidi"/>
          <w:b/>
          <w:bCs/>
          <w:kern w:val="1"/>
          <w:sz w:val="24"/>
          <w:szCs w:val="24"/>
          <w:lang w:eastAsia="ar-SA"/>
        </w:rPr>
        <w:t xml:space="preserve">antibacterial </w:t>
      </w:r>
      <w:bookmarkEnd w:id="23"/>
      <w:r w:rsidRPr="00395595">
        <w:rPr>
          <w:rFonts w:asciiTheme="majorBidi" w:eastAsia="Times New Roman" w:hAnsiTheme="majorBidi" w:cstheme="majorBidi"/>
          <w:b/>
          <w:bCs/>
          <w:kern w:val="1"/>
          <w:sz w:val="24"/>
          <w:szCs w:val="24"/>
          <w:lang w:eastAsia="ar-SA"/>
        </w:rPr>
        <w:t>assay</w:t>
      </w:r>
    </w:p>
    <w:p w:rsidR="00BA7F80" w:rsidRPr="00395595" w:rsidRDefault="00BA7F80" w:rsidP="00BA7F80">
      <w:pPr>
        <w:suppressAutoHyphens/>
        <w:spacing w:after="0" w:line="360" w:lineRule="auto"/>
        <w:ind w:firstLine="720"/>
        <w:jc w:val="both"/>
        <w:rPr>
          <w:rFonts w:asciiTheme="majorBidi" w:eastAsia="Times New Roman" w:hAnsiTheme="majorBidi" w:cstheme="majorBidi"/>
          <w:kern w:val="1"/>
          <w:sz w:val="24"/>
          <w:szCs w:val="24"/>
          <w:lang w:eastAsia="ar-SA"/>
        </w:rPr>
      </w:pPr>
      <w:r w:rsidRPr="00395595">
        <w:rPr>
          <w:rFonts w:asciiTheme="majorBidi" w:eastAsia="Times New Roman" w:hAnsiTheme="majorBidi" w:cstheme="majorBidi"/>
          <w:kern w:val="1"/>
          <w:sz w:val="24"/>
          <w:szCs w:val="24"/>
          <w:lang w:eastAsia="ar-SA"/>
        </w:rPr>
        <w:t>The assay was performed using the agar well diffusion method and nutrient agar medium [1-3]. The activity was estimated using each of Ciprofloxacin (100 µg susceptibility disc) and Gentamicin (120 µg susceptibility disc) as standard drugs and DMSO as a solvent and negative control. The antibacterial activity of new thienopyridines (15 mg/mL) were estimated using against the tested bacteria. Interpretation of results were done using of reference drugs breakpoint for each strain. Petri-dishes containing the sterilized media were prepared and allowed to solidify at rt. Microbial suspension in sterilized saline equivalent to McFarland 0.5 standard solution (1.5x 10</w:t>
      </w:r>
      <w:r w:rsidRPr="00395595">
        <w:rPr>
          <w:rFonts w:asciiTheme="majorBidi" w:eastAsia="Times New Roman" w:hAnsiTheme="majorBidi" w:cstheme="majorBidi"/>
          <w:kern w:val="1"/>
          <w:sz w:val="24"/>
          <w:szCs w:val="24"/>
          <w:vertAlign w:val="superscript"/>
          <w:lang w:eastAsia="ar-SA"/>
        </w:rPr>
        <w:t>5</w:t>
      </w:r>
      <w:r w:rsidRPr="00395595">
        <w:rPr>
          <w:rFonts w:asciiTheme="majorBidi" w:eastAsia="Times New Roman" w:hAnsiTheme="majorBidi" w:cstheme="majorBidi"/>
          <w:kern w:val="1"/>
          <w:sz w:val="24"/>
          <w:szCs w:val="24"/>
          <w:lang w:eastAsia="ar-SA"/>
        </w:rPr>
        <w:t xml:space="preserve"> CFU mL</w:t>
      </w:r>
      <w:r w:rsidRPr="00395595">
        <w:rPr>
          <w:rFonts w:asciiTheme="majorBidi" w:eastAsia="Times New Roman" w:hAnsiTheme="majorBidi" w:cstheme="majorBidi"/>
          <w:kern w:val="1"/>
          <w:sz w:val="24"/>
          <w:szCs w:val="24"/>
          <w:vertAlign w:val="superscript"/>
          <w:lang w:eastAsia="ar-SA"/>
        </w:rPr>
        <w:t>-1</w:t>
      </w:r>
      <w:r w:rsidRPr="00395595">
        <w:rPr>
          <w:rFonts w:asciiTheme="majorBidi" w:eastAsia="Times New Roman" w:hAnsiTheme="majorBidi" w:cstheme="majorBidi"/>
          <w:kern w:val="1"/>
          <w:sz w:val="24"/>
          <w:szCs w:val="24"/>
          <w:lang w:eastAsia="ar-SA"/>
        </w:rPr>
        <w:t>) was prepared, whose turbidity modified to OD = 0.13 using spectrophotometer at 625 nm. In the solidified media, 6 mm diameter wells were made and 100 μL of each of the tested thienopyridines were added. The, the plates were left to stand for 24 h at 37 °C, then inhibition zones in mm were observed.</w:t>
      </w:r>
    </w:p>
    <w:p w:rsidR="00BA7F80" w:rsidRPr="00395595" w:rsidRDefault="00BA7F80" w:rsidP="00BA7F80">
      <w:pPr>
        <w:suppressAutoHyphens/>
        <w:spacing w:after="0" w:line="360" w:lineRule="auto"/>
        <w:jc w:val="both"/>
        <w:rPr>
          <w:rFonts w:asciiTheme="majorBidi" w:eastAsia="Times New Roman" w:hAnsiTheme="majorBidi" w:cstheme="majorBidi"/>
          <w:b/>
          <w:bCs/>
          <w:kern w:val="1"/>
          <w:sz w:val="24"/>
          <w:szCs w:val="24"/>
          <w:lang w:eastAsia="ar-SA"/>
        </w:rPr>
      </w:pPr>
    </w:p>
    <w:p w:rsidR="00BA7F80" w:rsidRPr="00395595" w:rsidRDefault="00BA7F80" w:rsidP="00BA7F80">
      <w:pPr>
        <w:suppressAutoHyphens/>
        <w:spacing w:after="0" w:line="360" w:lineRule="auto"/>
        <w:jc w:val="both"/>
        <w:rPr>
          <w:rFonts w:asciiTheme="majorBidi" w:eastAsia="Times New Roman" w:hAnsiTheme="majorBidi" w:cstheme="majorBidi"/>
          <w:b/>
          <w:bCs/>
          <w:kern w:val="1"/>
          <w:sz w:val="24"/>
          <w:szCs w:val="24"/>
          <w:lang w:eastAsia="ar-SA"/>
        </w:rPr>
      </w:pPr>
      <w:r w:rsidRPr="00395595">
        <w:rPr>
          <w:rFonts w:asciiTheme="majorBidi" w:eastAsia="Times New Roman" w:hAnsiTheme="majorBidi" w:cstheme="majorBidi"/>
          <w:b/>
          <w:bCs/>
          <w:kern w:val="1"/>
          <w:sz w:val="24"/>
          <w:szCs w:val="24"/>
          <w:lang w:eastAsia="ar-SA"/>
        </w:rPr>
        <w:t>4.4. Minimum inhibitory concentration (MIC)</w:t>
      </w:r>
    </w:p>
    <w:p w:rsidR="00BA7F80" w:rsidRPr="00395595" w:rsidRDefault="00BA7F80" w:rsidP="00BA7F80">
      <w:pPr>
        <w:suppressAutoHyphens/>
        <w:spacing w:after="0" w:line="360" w:lineRule="auto"/>
        <w:ind w:firstLine="720"/>
        <w:jc w:val="both"/>
        <w:rPr>
          <w:rFonts w:asciiTheme="majorBidi" w:eastAsia="Times New Roman" w:hAnsiTheme="majorBidi" w:cstheme="majorBidi"/>
          <w:kern w:val="1"/>
          <w:sz w:val="24"/>
          <w:szCs w:val="24"/>
          <w:lang w:eastAsia="ar-SA"/>
        </w:rPr>
      </w:pPr>
      <w:r w:rsidRPr="00395595">
        <w:rPr>
          <w:rFonts w:asciiTheme="majorBidi" w:eastAsia="Times New Roman" w:hAnsiTheme="majorBidi" w:cstheme="majorBidi"/>
          <w:kern w:val="1"/>
          <w:sz w:val="24"/>
          <w:szCs w:val="24"/>
          <w:lang w:eastAsia="ar-SA"/>
        </w:rPr>
        <w:t>The two-fold serial dilution method was used to evaluate the MIC values [3, 4]. MIC value is the minimum thienopyridine concentration required to stop bacteria growth. For each strain of bacteria, 3-5 isolated colonies were transferred into 3-4 mL of sterile broth medium. The bacterial suspension was allowed to incubate for 2-6 h at 35-37 °C until its turbidity become equal to or greater than the turbidity of a McFarland Standard 0.5. Then, a stock solution of 1 mg/mL was prepared using DMSO as a solvent. The tested thienopyridines were subjected to further progressive dilutions with the broth medium. Addition of a fixed volume of the prepared bacterial inoculum to each concentration of the tested thienopyridines was done and then allowed to incubation for 16-20 h at 37 °C. The bacteria growth in the tested tubes was observed by comparing the resulted turbidity with the growth in the original inoculum without any of the tested thienopyridines. For comparison, Ciprofloxacin was tested in the same assay.</w:t>
      </w:r>
    </w:p>
    <w:p w:rsidR="00BA7F80" w:rsidRPr="00395595" w:rsidRDefault="00BA7F80" w:rsidP="00BA7F80">
      <w:pPr>
        <w:suppressAutoHyphens/>
        <w:spacing w:after="0" w:line="360" w:lineRule="auto"/>
        <w:jc w:val="both"/>
        <w:rPr>
          <w:rFonts w:asciiTheme="majorBidi" w:eastAsia="Times New Roman" w:hAnsiTheme="majorBidi" w:cstheme="majorBidi"/>
          <w:b/>
          <w:bCs/>
          <w:kern w:val="1"/>
          <w:sz w:val="24"/>
          <w:szCs w:val="24"/>
          <w:lang w:eastAsia="ar-SA"/>
        </w:rPr>
      </w:pPr>
    </w:p>
    <w:p w:rsidR="00BA7F80" w:rsidRPr="00395595" w:rsidRDefault="00BA7F80" w:rsidP="00BA7F80">
      <w:pPr>
        <w:suppressAutoHyphens/>
        <w:spacing w:after="0" w:line="360" w:lineRule="auto"/>
        <w:jc w:val="both"/>
        <w:rPr>
          <w:rFonts w:asciiTheme="majorBidi" w:eastAsia="Times New Roman" w:hAnsiTheme="majorBidi" w:cstheme="majorBidi"/>
          <w:b/>
          <w:bCs/>
          <w:kern w:val="1"/>
          <w:sz w:val="24"/>
          <w:szCs w:val="24"/>
          <w:lang w:eastAsia="ar-SA"/>
        </w:rPr>
      </w:pPr>
      <w:r w:rsidRPr="00395595">
        <w:rPr>
          <w:rFonts w:asciiTheme="majorBidi" w:eastAsia="Times New Roman" w:hAnsiTheme="majorBidi" w:cstheme="majorBidi"/>
          <w:b/>
          <w:bCs/>
          <w:kern w:val="1"/>
          <w:sz w:val="24"/>
          <w:szCs w:val="24"/>
          <w:lang w:eastAsia="ar-SA"/>
        </w:rPr>
        <w:t>4.5. Minimum bactericidal concentration (MBC)</w:t>
      </w:r>
    </w:p>
    <w:p w:rsidR="00BA7F80" w:rsidRPr="00395595" w:rsidRDefault="00BA7F80" w:rsidP="00BA7F80">
      <w:pPr>
        <w:suppressAutoHyphens/>
        <w:spacing w:after="0" w:line="360" w:lineRule="auto"/>
        <w:ind w:firstLine="720"/>
        <w:jc w:val="both"/>
        <w:rPr>
          <w:rFonts w:asciiTheme="majorBidi" w:eastAsia="Times New Roman" w:hAnsiTheme="majorBidi" w:cstheme="majorBidi"/>
          <w:kern w:val="1"/>
          <w:sz w:val="24"/>
          <w:szCs w:val="24"/>
          <w:lang w:eastAsia="ar-SA"/>
        </w:rPr>
      </w:pPr>
      <w:r w:rsidRPr="00395595">
        <w:rPr>
          <w:rFonts w:asciiTheme="majorBidi" w:eastAsia="Times New Roman" w:hAnsiTheme="majorBidi" w:cstheme="majorBidi"/>
          <w:kern w:val="1"/>
          <w:sz w:val="24"/>
          <w:szCs w:val="24"/>
          <w:lang w:eastAsia="ar-SA"/>
        </w:rPr>
        <w:t xml:space="preserve">The thienopyridines showing potent antibacterial activity were evaluated for calculation of their MBC [5-7]. Both </w:t>
      </w:r>
      <w:r w:rsidRPr="00395595">
        <w:rPr>
          <w:rFonts w:ascii="Times New Roman" w:eastAsia="Calibri" w:hAnsi="Times New Roman" w:cs="Times New Roman"/>
          <w:i/>
          <w:iCs/>
          <w:sz w:val="24"/>
          <w:szCs w:val="24"/>
        </w:rPr>
        <w:t xml:space="preserve">Staphylococcus aureus </w:t>
      </w:r>
      <w:r w:rsidRPr="00395595">
        <w:rPr>
          <w:rFonts w:ascii="Times New Roman" w:eastAsia="Calibri" w:hAnsi="Times New Roman" w:cs="Times New Roman"/>
          <w:sz w:val="24"/>
          <w:szCs w:val="24"/>
        </w:rPr>
        <w:t>and</w:t>
      </w:r>
      <w:r w:rsidRPr="00395595">
        <w:rPr>
          <w:rFonts w:ascii="Times New Roman" w:eastAsia="Calibri" w:hAnsi="Times New Roman" w:cs="Times New Roman"/>
          <w:i/>
          <w:iCs/>
          <w:sz w:val="24"/>
          <w:szCs w:val="24"/>
        </w:rPr>
        <w:t xml:space="preserve"> Escherichia coli </w:t>
      </w:r>
      <w:r w:rsidRPr="00395595">
        <w:rPr>
          <w:rFonts w:ascii="Times New Roman" w:eastAsia="Calibri" w:hAnsi="Times New Roman" w:cs="Times New Roman"/>
          <w:sz w:val="24"/>
          <w:szCs w:val="24"/>
        </w:rPr>
        <w:t>strains</w:t>
      </w:r>
      <w:r w:rsidRPr="00395595">
        <w:rPr>
          <w:rFonts w:asciiTheme="majorBidi" w:eastAsia="Times New Roman" w:hAnsiTheme="majorBidi" w:cstheme="majorBidi"/>
          <w:kern w:val="1"/>
          <w:sz w:val="24"/>
          <w:szCs w:val="24"/>
          <w:lang w:eastAsia="ar-SA"/>
        </w:rPr>
        <w:t xml:space="preserve"> were cultured in sterile broth medium for overnight at 37 </w:t>
      </w:r>
      <w:r w:rsidRPr="00395595">
        <w:rPr>
          <w:rFonts w:asciiTheme="majorBidi" w:eastAsia="Times New Roman" w:hAnsiTheme="majorBidi" w:cstheme="majorBidi"/>
          <w:kern w:val="1"/>
          <w:sz w:val="24"/>
          <w:szCs w:val="24"/>
          <w:vertAlign w:val="superscript"/>
          <w:lang w:eastAsia="ar-SA"/>
        </w:rPr>
        <w:t>o</w:t>
      </w:r>
      <w:r w:rsidRPr="00395595">
        <w:rPr>
          <w:rFonts w:asciiTheme="majorBidi" w:eastAsia="Times New Roman" w:hAnsiTheme="majorBidi" w:cstheme="majorBidi"/>
          <w:kern w:val="1"/>
          <w:sz w:val="24"/>
          <w:szCs w:val="24"/>
          <w:lang w:eastAsia="ar-SA"/>
        </w:rPr>
        <w:t xml:space="preserve">C. The assay was performed in 2 mL microcentrifuge tubes with concentrations ranging from 125 to 0.9 μg/mL of thienopyridines. Then, 0.1 mL of cultured bacteria was added to each concentration of thienopyridine and left to incubate for 24 h at 37 </w:t>
      </w:r>
      <w:r w:rsidRPr="00395595">
        <w:rPr>
          <w:rFonts w:asciiTheme="majorBidi" w:eastAsia="Times New Roman" w:hAnsiTheme="majorBidi" w:cstheme="majorBidi"/>
          <w:kern w:val="1"/>
          <w:sz w:val="24"/>
          <w:szCs w:val="24"/>
          <w:vertAlign w:val="superscript"/>
          <w:lang w:eastAsia="ar-SA"/>
        </w:rPr>
        <w:t>o</w:t>
      </w:r>
      <w:r w:rsidRPr="00395595">
        <w:rPr>
          <w:rFonts w:asciiTheme="majorBidi" w:eastAsia="Times New Roman" w:hAnsiTheme="majorBidi" w:cstheme="majorBidi"/>
          <w:kern w:val="1"/>
          <w:sz w:val="24"/>
          <w:szCs w:val="24"/>
          <w:lang w:eastAsia="ar-SA"/>
        </w:rPr>
        <w:t xml:space="preserve">C. 10 </w:t>
      </w:r>
      <w:r w:rsidRPr="00395595">
        <w:rPr>
          <w:rFonts w:ascii="Times New Roman" w:eastAsia="Times New Roman" w:hAnsi="Times New Roman" w:cs="Times New Roman"/>
          <w:kern w:val="1"/>
          <w:sz w:val="24"/>
          <w:szCs w:val="24"/>
          <w:lang w:eastAsia="ar-SA"/>
        </w:rPr>
        <w:t>μ</w:t>
      </w:r>
      <w:r w:rsidRPr="00395595">
        <w:rPr>
          <w:rFonts w:asciiTheme="majorBidi" w:eastAsia="Times New Roman" w:hAnsiTheme="majorBidi" w:cstheme="majorBidi"/>
          <w:kern w:val="1"/>
          <w:sz w:val="24"/>
          <w:szCs w:val="24"/>
          <w:lang w:eastAsia="ar-SA"/>
        </w:rPr>
        <w:t xml:space="preserve">L sample was collected post incubation and seeded onto the agar plates and incubated for 24 h at 37 </w:t>
      </w:r>
      <w:r w:rsidRPr="00395595">
        <w:rPr>
          <w:rFonts w:asciiTheme="majorBidi" w:eastAsia="Times New Roman" w:hAnsiTheme="majorBidi" w:cstheme="majorBidi"/>
          <w:kern w:val="1"/>
          <w:sz w:val="24"/>
          <w:szCs w:val="24"/>
          <w:vertAlign w:val="superscript"/>
          <w:lang w:eastAsia="ar-SA"/>
        </w:rPr>
        <w:t>o</w:t>
      </w:r>
      <w:r w:rsidRPr="00395595">
        <w:rPr>
          <w:rFonts w:asciiTheme="majorBidi" w:eastAsia="Times New Roman" w:hAnsiTheme="majorBidi" w:cstheme="majorBidi"/>
          <w:kern w:val="1"/>
          <w:sz w:val="24"/>
          <w:szCs w:val="24"/>
          <w:lang w:eastAsia="ar-SA"/>
        </w:rPr>
        <w:t>C. The MBC value is the lowest concentration of thienopyridine that killed a particular strain. All the experiments were carried out in duplicate and the average values were estimated.</w:t>
      </w:r>
    </w:p>
    <w:p w:rsidR="00BA7F80" w:rsidRPr="00395595" w:rsidRDefault="00BA7F80" w:rsidP="00BA7F80">
      <w:pPr>
        <w:suppressAutoHyphens/>
        <w:spacing w:after="0" w:line="360" w:lineRule="auto"/>
        <w:jc w:val="both"/>
        <w:rPr>
          <w:rFonts w:asciiTheme="majorBidi" w:eastAsia="Times New Roman" w:hAnsiTheme="majorBidi" w:cstheme="majorBidi"/>
          <w:b/>
          <w:bCs/>
          <w:kern w:val="1"/>
          <w:sz w:val="24"/>
          <w:szCs w:val="24"/>
          <w:lang w:eastAsia="ar-SA"/>
        </w:rPr>
      </w:pPr>
    </w:p>
    <w:p w:rsidR="00BA7F80" w:rsidRPr="00395595" w:rsidRDefault="00BA7F80" w:rsidP="00BA7F80">
      <w:pPr>
        <w:suppressAutoHyphens/>
        <w:spacing w:after="0" w:line="360" w:lineRule="auto"/>
        <w:jc w:val="both"/>
        <w:rPr>
          <w:rFonts w:asciiTheme="majorBidi" w:eastAsia="Times New Roman" w:hAnsiTheme="majorBidi" w:cstheme="majorBidi"/>
          <w:b/>
          <w:bCs/>
          <w:kern w:val="1"/>
          <w:sz w:val="24"/>
          <w:szCs w:val="24"/>
          <w:lang w:eastAsia="ar-SA"/>
        </w:rPr>
      </w:pPr>
      <w:r w:rsidRPr="00395595">
        <w:rPr>
          <w:rFonts w:asciiTheme="majorBidi" w:eastAsia="Times New Roman" w:hAnsiTheme="majorBidi" w:cstheme="majorBidi"/>
          <w:b/>
          <w:bCs/>
          <w:kern w:val="1"/>
          <w:sz w:val="24"/>
          <w:szCs w:val="24"/>
          <w:lang w:eastAsia="ar-SA"/>
        </w:rPr>
        <w:t xml:space="preserve">4.6. The </w:t>
      </w:r>
      <w:r w:rsidRPr="00395595">
        <w:rPr>
          <w:rFonts w:asciiTheme="majorBidi" w:eastAsia="Times New Roman" w:hAnsiTheme="majorBidi" w:cstheme="majorBidi"/>
          <w:b/>
          <w:bCs/>
          <w:i/>
          <w:iCs/>
          <w:kern w:val="1"/>
          <w:sz w:val="24"/>
          <w:szCs w:val="24"/>
          <w:lang w:eastAsia="ar-SA"/>
        </w:rPr>
        <w:t>in</w:t>
      </w:r>
      <w:r w:rsidRPr="00395595">
        <w:rPr>
          <w:rFonts w:asciiTheme="majorBidi" w:eastAsia="Times New Roman" w:hAnsiTheme="majorBidi" w:cstheme="majorBidi"/>
          <w:b/>
          <w:bCs/>
          <w:kern w:val="1"/>
          <w:sz w:val="24"/>
          <w:szCs w:val="24"/>
          <w:lang w:eastAsia="ar-SA"/>
        </w:rPr>
        <w:t>-</w:t>
      </w:r>
      <w:r w:rsidRPr="00395595">
        <w:rPr>
          <w:rFonts w:asciiTheme="majorBidi" w:eastAsia="Times New Roman" w:hAnsiTheme="majorBidi" w:cstheme="majorBidi"/>
          <w:b/>
          <w:bCs/>
          <w:i/>
          <w:iCs/>
          <w:kern w:val="1"/>
          <w:sz w:val="24"/>
          <w:szCs w:val="24"/>
          <w:lang w:eastAsia="ar-SA"/>
        </w:rPr>
        <w:t>vitro</w:t>
      </w:r>
      <w:r w:rsidRPr="00395595">
        <w:rPr>
          <w:rFonts w:asciiTheme="majorBidi" w:eastAsia="Times New Roman" w:hAnsiTheme="majorBidi" w:cstheme="majorBidi"/>
          <w:b/>
          <w:bCs/>
          <w:kern w:val="1"/>
          <w:sz w:val="24"/>
          <w:szCs w:val="24"/>
          <w:lang w:eastAsia="ar-SA"/>
        </w:rPr>
        <w:t xml:space="preserve"> antifungal activity</w:t>
      </w:r>
    </w:p>
    <w:p w:rsidR="00BA7F80" w:rsidRPr="00395595" w:rsidRDefault="00BA7F80" w:rsidP="00BA7F80">
      <w:pPr>
        <w:suppressAutoHyphens/>
        <w:spacing w:after="0" w:line="360" w:lineRule="auto"/>
        <w:ind w:firstLine="720"/>
        <w:jc w:val="both"/>
      </w:pPr>
      <w:r w:rsidRPr="00395595">
        <w:rPr>
          <w:rFonts w:ascii="Times New Roman" w:eastAsia="Times New Roman" w:hAnsi="Times New Roman" w:cs="Times New Roman"/>
          <w:kern w:val="1"/>
          <w:sz w:val="24"/>
          <w:szCs w:val="24"/>
          <w:lang w:eastAsia="ar-SA"/>
        </w:rPr>
        <w:t>The antifungal activity was measured using</w:t>
      </w:r>
      <w:r w:rsidRPr="00395595">
        <w:rPr>
          <w:rFonts w:asciiTheme="majorBidi" w:eastAsia="Times New Roman" w:hAnsiTheme="majorBidi" w:cstheme="majorBidi"/>
          <w:kern w:val="1"/>
          <w:sz w:val="24"/>
          <w:szCs w:val="24"/>
          <w:lang w:eastAsia="ar-SA"/>
        </w:rPr>
        <w:t xml:space="preserve"> agar well diffusion using sabouraud dextrose agar medium</w:t>
      </w:r>
      <w:r w:rsidRPr="00395595">
        <w:rPr>
          <w:rFonts w:ascii="Times New Roman" w:eastAsia="Times New Roman" w:hAnsi="Times New Roman" w:cs="Times New Roman"/>
          <w:kern w:val="1"/>
          <w:sz w:val="24"/>
          <w:szCs w:val="24"/>
          <w:lang w:eastAsia="ar-SA"/>
        </w:rPr>
        <w:t xml:space="preserve"> and Nystatin as a standard drug</w:t>
      </w:r>
      <w:r w:rsidRPr="00395595">
        <w:rPr>
          <w:rFonts w:asciiTheme="majorBidi" w:eastAsia="Times New Roman" w:hAnsiTheme="majorBidi" w:cstheme="majorBidi"/>
          <w:kern w:val="1"/>
          <w:sz w:val="24"/>
          <w:szCs w:val="24"/>
          <w:lang w:eastAsia="ar-SA"/>
        </w:rPr>
        <w:t xml:space="preserve"> [2, 8]. “The activity was tested using the same assay for testing the antibacterial activity except the </w:t>
      </w:r>
      <w:r w:rsidRPr="00395595">
        <w:rPr>
          <w:rFonts w:ascii="Times New Roman" w:eastAsia="Times New Roman" w:hAnsi="Times New Roman" w:cs="Times New Roman"/>
          <w:kern w:val="1"/>
          <w:sz w:val="24"/>
          <w:szCs w:val="24"/>
          <w:lang w:eastAsia="ar-SA"/>
        </w:rPr>
        <w:t xml:space="preserve">plates were incubated at </w:t>
      </w:r>
      <w:r w:rsidRPr="00395595">
        <w:rPr>
          <w:rFonts w:ascii="Times New Roman" w:eastAsia="Times New Roman" w:hAnsi="Times New Roman" w:cs="Times New Roman"/>
          <w:kern w:val="1"/>
          <w:lang w:eastAsia="ar-SA"/>
        </w:rPr>
        <w:t>25</w:t>
      </w:r>
      <w:r w:rsidRPr="00395595">
        <w:rPr>
          <w:rFonts w:ascii="Times New Roman" w:eastAsia="Times New Roman" w:hAnsi="Times New Roman" w:cs="Times New Roman"/>
          <w:kern w:val="1"/>
          <w:sz w:val="24"/>
          <w:szCs w:val="24"/>
          <w:lang w:eastAsia="ar-SA"/>
        </w:rPr>
        <w:t xml:space="preserve"> °C for </w:t>
      </w:r>
      <w:r w:rsidRPr="00395595">
        <w:rPr>
          <w:rFonts w:ascii="Times New Roman" w:eastAsia="Times New Roman" w:hAnsi="Times New Roman" w:cs="Times New Roman"/>
          <w:kern w:val="1"/>
          <w:lang w:eastAsia="ar-SA"/>
        </w:rPr>
        <w:t>48</w:t>
      </w:r>
      <w:r w:rsidRPr="00395595">
        <w:rPr>
          <w:rFonts w:ascii="Times New Roman" w:eastAsia="Times New Roman" w:hAnsi="Times New Roman" w:cs="Times New Roman"/>
          <w:kern w:val="1"/>
          <w:sz w:val="24"/>
          <w:szCs w:val="24"/>
          <w:lang w:eastAsia="ar-SA"/>
        </w:rPr>
        <w:t xml:space="preserve"> h</w:t>
      </w:r>
      <w:r w:rsidRPr="00395595">
        <w:rPr>
          <w:rFonts w:asciiTheme="majorBidi" w:eastAsia="Times New Roman" w:hAnsiTheme="majorBidi" w:cstheme="majorBidi"/>
          <w:kern w:val="1"/>
          <w:sz w:val="24"/>
          <w:szCs w:val="24"/>
          <w:lang w:eastAsia="ar-SA"/>
        </w:rPr>
        <w:t xml:space="preserve"> after adding 100 μL of each tested solution of the tested molecules to each well.</w:t>
      </w:r>
    </w:p>
    <w:p w:rsidR="00BA7F80" w:rsidRPr="00395595" w:rsidRDefault="00BA7F80" w:rsidP="00BA7F80">
      <w:pPr>
        <w:suppressAutoHyphens/>
        <w:spacing w:after="0" w:line="360" w:lineRule="auto"/>
        <w:rPr>
          <w:rFonts w:ascii="Times New Roman" w:eastAsia="Calibri" w:hAnsi="Times New Roman" w:cs="Times New Roman"/>
          <w:b/>
          <w:bCs/>
          <w:sz w:val="24"/>
          <w:szCs w:val="24"/>
        </w:rPr>
      </w:pPr>
      <w:bookmarkStart w:id="24" w:name="_Hlk19352962"/>
    </w:p>
    <w:p w:rsidR="00BA7F80" w:rsidRPr="00395595" w:rsidRDefault="00BA7F80" w:rsidP="00BA7F80">
      <w:pPr>
        <w:suppressAutoHyphens/>
        <w:spacing w:after="0" w:line="360" w:lineRule="auto"/>
        <w:rPr>
          <w:rFonts w:ascii="Times New Roman" w:eastAsia="Calibri" w:hAnsi="Times New Roman" w:cs="Times New Roman"/>
          <w:b/>
          <w:bCs/>
          <w:sz w:val="24"/>
          <w:szCs w:val="24"/>
        </w:rPr>
      </w:pPr>
      <w:r w:rsidRPr="00395595">
        <w:rPr>
          <w:rFonts w:ascii="Times New Roman" w:eastAsia="Calibri" w:hAnsi="Times New Roman" w:cs="Times New Roman"/>
          <w:b/>
          <w:bCs/>
          <w:sz w:val="24"/>
          <w:szCs w:val="24"/>
        </w:rPr>
        <w:t>4.7. Cytotoxicity against eukaryotic cells</w:t>
      </w:r>
    </w:p>
    <w:bookmarkEnd w:id="24"/>
    <w:p w:rsidR="00BA7F80" w:rsidRPr="00395595" w:rsidRDefault="00BA7F80" w:rsidP="00BA7F80">
      <w:pPr>
        <w:suppressAutoHyphens/>
        <w:spacing w:after="0" w:line="360" w:lineRule="auto"/>
        <w:rPr>
          <w:rFonts w:ascii="Times New Roman" w:eastAsia="Times New Roman" w:hAnsi="Times New Roman" w:cs="Times New Roman"/>
          <w:b/>
          <w:bCs/>
          <w:kern w:val="1"/>
          <w:sz w:val="24"/>
          <w:szCs w:val="24"/>
          <w:lang w:eastAsia="ar-SA"/>
        </w:rPr>
      </w:pPr>
      <w:r w:rsidRPr="00395595">
        <w:rPr>
          <w:rFonts w:ascii="Times New Roman" w:eastAsia="Times New Roman" w:hAnsi="Times New Roman" w:cs="Times New Roman"/>
          <w:b/>
          <w:bCs/>
          <w:kern w:val="1"/>
          <w:sz w:val="24"/>
          <w:szCs w:val="24"/>
          <w:lang w:eastAsia="ar-SA"/>
        </w:rPr>
        <w:t xml:space="preserve">4.7.1. </w:t>
      </w:r>
      <w:r w:rsidRPr="00395595">
        <w:rPr>
          <w:rFonts w:ascii="Times New Roman" w:eastAsia="Calibri" w:hAnsi="Times New Roman" w:cs="Times New Roman"/>
          <w:b/>
          <w:bCs/>
          <w:sz w:val="24"/>
          <w:szCs w:val="24"/>
        </w:rPr>
        <w:t>Cell line, culture conditions and preparation of compounds</w:t>
      </w:r>
    </w:p>
    <w:p w:rsidR="00BA7F80" w:rsidRPr="00395595" w:rsidRDefault="00BA7F80" w:rsidP="00BA7F80">
      <w:pPr>
        <w:spacing w:after="0" w:line="360" w:lineRule="auto"/>
        <w:ind w:firstLine="720"/>
        <w:jc w:val="both"/>
        <w:rPr>
          <w:rFonts w:ascii="Times New Roman" w:eastAsia="Calibri" w:hAnsi="Times New Roman" w:cs="Times New Roman"/>
          <w:sz w:val="24"/>
          <w:szCs w:val="24"/>
        </w:rPr>
      </w:pPr>
      <w:r w:rsidRPr="00395595">
        <w:rPr>
          <w:rFonts w:ascii="Times New Roman" w:eastAsia="Calibri" w:hAnsi="Times New Roman" w:cs="Times New Roman"/>
          <w:sz w:val="24"/>
          <w:szCs w:val="24"/>
        </w:rPr>
        <w:t xml:space="preserve">Cytotoxicity was screened against </w:t>
      </w:r>
      <w:r w:rsidRPr="00395595">
        <w:rPr>
          <w:rFonts w:asciiTheme="majorBidi" w:hAnsiTheme="majorBidi" w:cstheme="majorBidi"/>
          <w:sz w:val="24"/>
          <w:szCs w:val="24"/>
        </w:rPr>
        <w:t xml:space="preserve">the human </w:t>
      </w:r>
      <w:r w:rsidRPr="00395595">
        <w:rPr>
          <w:rFonts w:ascii="Times New Roman" w:hAnsi="Times New Roman" w:cs="Times New Roman"/>
          <w:sz w:val="24"/>
          <w:szCs w:val="24"/>
        </w:rPr>
        <w:t xml:space="preserve">breast carcinoma cell line (MCF-7) and the </w:t>
      </w:r>
      <w:r w:rsidRPr="00395595">
        <w:rPr>
          <w:rFonts w:asciiTheme="majorBidi" w:hAnsiTheme="majorBidi" w:cstheme="majorBidi"/>
          <w:sz w:val="24"/>
          <w:szCs w:val="24"/>
        </w:rPr>
        <w:t xml:space="preserve">human </w:t>
      </w:r>
      <w:r w:rsidRPr="00395595">
        <w:rPr>
          <w:rFonts w:ascii="Times New Roman" w:hAnsi="Times New Roman" w:cs="Times New Roman"/>
          <w:sz w:val="24"/>
          <w:szCs w:val="24"/>
        </w:rPr>
        <w:t xml:space="preserve">liver hepatocellular carcinoma cell line (HEPG2) </w:t>
      </w:r>
      <w:r w:rsidRPr="00395595">
        <w:rPr>
          <w:rFonts w:ascii="Times New Roman" w:eastAsia="Calibri" w:hAnsi="Times New Roman" w:cs="Times New Roman"/>
          <w:sz w:val="24"/>
          <w:szCs w:val="24"/>
        </w:rPr>
        <w:t>which was obtained from Cairo University Research Park (CURP), Faculty of Agriculture. The cell lines were cultivated in Dulbecco’s Modified Eagle’s Medium (DMEM). All of the growth media were supplemented with 10% Foetal Bovine Serum (FBS) and antibiotics (100 U/mL penicillin and 100 mg/mL streptomycin) at 37°C in a humidified atmosphere containing 5% CO</w:t>
      </w:r>
      <w:r w:rsidRPr="00395595">
        <w:rPr>
          <w:rFonts w:ascii="Times New Roman" w:eastAsia="Calibri" w:hAnsi="Times New Roman" w:cs="Times New Roman"/>
          <w:sz w:val="24"/>
          <w:szCs w:val="24"/>
          <w:vertAlign w:val="subscript"/>
        </w:rPr>
        <w:t>2</w:t>
      </w:r>
      <w:r w:rsidRPr="00395595">
        <w:rPr>
          <w:rFonts w:ascii="Times New Roman" w:eastAsia="Calibri" w:hAnsi="Times New Roman" w:cs="Times New Roman"/>
          <w:sz w:val="24"/>
          <w:szCs w:val="24"/>
        </w:rPr>
        <w:t xml:space="preserve">. The tested thienopyridines </w:t>
      </w:r>
      <w:r w:rsidRPr="00395595">
        <w:rPr>
          <w:rFonts w:ascii="Times New Roman" w:eastAsia="Calibri" w:hAnsi="Times New Roman" w:cs="Times New Roman"/>
          <w:b/>
          <w:bCs/>
          <w:sz w:val="24"/>
          <w:szCs w:val="24"/>
        </w:rPr>
        <w:t>9a</w:t>
      </w:r>
      <w:r w:rsidRPr="00395595">
        <w:rPr>
          <w:rFonts w:ascii="Times New Roman" w:eastAsia="Calibri" w:hAnsi="Times New Roman" w:cs="Times New Roman"/>
          <w:sz w:val="24"/>
          <w:szCs w:val="24"/>
        </w:rPr>
        <w:t xml:space="preserve">, </w:t>
      </w:r>
      <w:r w:rsidRPr="00395595">
        <w:rPr>
          <w:rFonts w:ascii="Times New Roman" w:eastAsia="Calibri" w:hAnsi="Times New Roman" w:cs="Times New Roman"/>
          <w:b/>
          <w:bCs/>
          <w:sz w:val="24"/>
          <w:szCs w:val="24"/>
        </w:rPr>
        <w:t>9b</w:t>
      </w:r>
      <w:r w:rsidRPr="00395595">
        <w:rPr>
          <w:rFonts w:ascii="Times New Roman" w:eastAsia="Calibri" w:hAnsi="Times New Roman" w:cs="Times New Roman"/>
          <w:sz w:val="24"/>
          <w:szCs w:val="24"/>
        </w:rPr>
        <w:t xml:space="preserve">, </w:t>
      </w:r>
      <w:r w:rsidRPr="00395595">
        <w:rPr>
          <w:rFonts w:ascii="Times New Roman" w:eastAsia="Calibri" w:hAnsi="Times New Roman" w:cs="Times New Roman"/>
          <w:b/>
          <w:bCs/>
          <w:sz w:val="24"/>
          <w:szCs w:val="24"/>
        </w:rPr>
        <w:t>11a</w:t>
      </w:r>
      <w:r w:rsidRPr="00395595">
        <w:rPr>
          <w:rFonts w:ascii="Times New Roman" w:eastAsia="Calibri" w:hAnsi="Times New Roman" w:cs="Times New Roman"/>
          <w:sz w:val="24"/>
          <w:szCs w:val="24"/>
        </w:rPr>
        <w:t xml:space="preserve">, </w:t>
      </w:r>
      <w:r w:rsidRPr="00395595">
        <w:rPr>
          <w:rFonts w:ascii="Times New Roman" w:eastAsia="Calibri" w:hAnsi="Times New Roman" w:cs="Times New Roman"/>
          <w:b/>
          <w:bCs/>
          <w:sz w:val="24"/>
          <w:szCs w:val="24"/>
        </w:rPr>
        <w:t>11b</w:t>
      </w:r>
      <w:r w:rsidRPr="00395595">
        <w:rPr>
          <w:rFonts w:ascii="Times New Roman" w:eastAsia="Calibri" w:hAnsi="Times New Roman" w:cs="Times New Roman"/>
          <w:sz w:val="24"/>
          <w:szCs w:val="24"/>
        </w:rPr>
        <w:t xml:space="preserve">, </w:t>
      </w:r>
      <w:r w:rsidRPr="00395595">
        <w:rPr>
          <w:rFonts w:ascii="Times New Roman" w:eastAsia="Calibri" w:hAnsi="Times New Roman" w:cs="Times New Roman"/>
          <w:b/>
          <w:bCs/>
          <w:sz w:val="24"/>
          <w:szCs w:val="24"/>
        </w:rPr>
        <w:t xml:space="preserve">15a </w:t>
      </w:r>
      <w:r w:rsidRPr="00395595">
        <w:rPr>
          <w:rFonts w:ascii="Times New Roman" w:eastAsia="Calibri" w:hAnsi="Times New Roman" w:cs="Times New Roman"/>
          <w:sz w:val="24"/>
          <w:szCs w:val="24"/>
        </w:rPr>
        <w:t xml:space="preserve">and </w:t>
      </w:r>
      <w:r w:rsidRPr="00395595">
        <w:rPr>
          <w:rFonts w:ascii="Times New Roman" w:eastAsia="Calibri" w:hAnsi="Times New Roman" w:cs="Times New Roman"/>
          <w:b/>
          <w:bCs/>
          <w:sz w:val="24"/>
          <w:szCs w:val="24"/>
        </w:rPr>
        <w:t>17a</w:t>
      </w:r>
      <w:r w:rsidRPr="00395595">
        <w:rPr>
          <w:rFonts w:ascii="Times New Roman" w:eastAsia="Calibri" w:hAnsi="Times New Roman" w:cs="Times New Roman"/>
          <w:sz w:val="24"/>
          <w:szCs w:val="24"/>
        </w:rPr>
        <w:t xml:space="preserve"> as well as Doxorubicin, as a positive control, were dissolved in DMSO and final concentrations were diluted in culture medium.</w:t>
      </w:r>
    </w:p>
    <w:p w:rsidR="00BA7F80" w:rsidRPr="00395595" w:rsidRDefault="00BA7F80" w:rsidP="00BA7F80">
      <w:pPr>
        <w:suppressAutoHyphens/>
        <w:spacing w:after="0" w:line="360" w:lineRule="auto"/>
        <w:rPr>
          <w:rFonts w:ascii="Times New Roman" w:eastAsia="Calibri" w:hAnsi="Times New Roman" w:cs="Times New Roman"/>
          <w:b/>
          <w:bCs/>
          <w:sz w:val="24"/>
          <w:szCs w:val="24"/>
        </w:rPr>
      </w:pPr>
    </w:p>
    <w:p w:rsidR="00BA7F80" w:rsidRPr="00395595" w:rsidRDefault="00BA7F80" w:rsidP="00BA7F80">
      <w:pPr>
        <w:suppressAutoHyphens/>
        <w:spacing w:after="0" w:line="360" w:lineRule="auto"/>
        <w:rPr>
          <w:rFonts w:ascii="Times New Roman" w:eastAsia="Times New Roman" w:hAnsi="Times New Roman" w:cs="Times New Roman"/>
          <w:b/>
          <w:bCs/>
          <w:kern w:val="1"/>
          <w:sz w:val="24"/>
          <w:szCs w:val="24"/>
          <w:lang w:eastAsia="ar-SA"/>
        </w:rPr>
      </w:pPr>
      <w:r w:rsidRPr="00395595">
        <w:rPr>
          <w:rFonts w:ascii="Times New Roman" w:eastAsia="Calibri" w:hAnsi="Times New Roman" w:cs="Times New Roman"/>
          <w:b/>
          <w:bCs/>
          <w:sz w:val="24"/>
          <w:szCs w:val="24"/>
        </w:rPr>
        <w:t>4.7.2. Neutral red uptake assay (NRU assay)</w:t>
      </w:r>
    </w:p>
    <w:p w:rsidR="00BA7F80" w:rsidRPr="00395595" w:rsidRDefault="00BA7F80" w:rsidP="00BA7F80">
      <w:pPr>
        <w:suppressAutoHyphens/>
        <w:spacing w:after="0" w:line="360" w:lineRule="auto"/>
        <w:ind w:firstLine="720"/>
        <w:jc w:val="both"/>
        <w:rPr>
          <w:rFonts w:ascii="Times New Roman" w:eastAsia="Calibri" w:hAnsi="Times New Roman" w:cs="Times New Roman"/>
          <w:sz w:val="24"/>
          <w:szCs w:val="24"/>
        </w:rPr>
      </w:pPr>
      <w:r w:rsidRPr="00395595">
        <w:rPr>
          <w:rFonts w:ascii="Times New Roman" w:eastAsia="Calibri" w:hAnsi="Times New Roman" w:cs="Times New Roman"/>
          <w:sz w:val="24"/>
          <w:szCs w:val="24"/>
        </w:rPr>
        <w:t xml:space="preserve">The NRU assay relies on the ability of living cells to incorporate and bind neutral red, a weak cationic dye, in lysosomes [9]. Thienopyridines </w:t>
      </w:r>
      <w:r w:rsidRPr="00395595">
        <w:rPr>
          <w:rFonts w:ascii="Times New Roman" w:eastAsia="Calibri" w:hAnsi="Times New Roman" w:cs="Times New Roman"/>
          <w:b/>
          <w:bCs/>
          <w:sz w:val="24"/>
          <w:szCs w:val="24"/>
        </w:rPr>
        <w:t>9a</w:t>
      </w:r>
      <w:r w:rsidRPr="00395595">
        <w:rPr>
          <w:rFonts w:ascii="Times New Roman" w:eastAsia="Calibri" w:hAnsi="Times New Roman" w:cs="Times New Roman"/>
          <w:sz w:val="24"/>
          <w:szCs w:val="24"/>
        </w:rPr>
        <w:t xml:space="preserve">, </w:t>
      </w:r>
      <w:r w:rsidRPr="00395595">
        <w:rPr>
          <w:rFonts w:ascii="Times New Roman" w:eastAsia="Calibri" w:hAnsi="Times New Roman" w:cs="Times New Roman"/>
          <w:b/>
          <w:bCs/>
          <w:sz w:val="24"/>
          <w:szCs w:val="24"/>
        </w:rPr>
        <w:t>9b</w:t>
      </w:r>
      <w:r w:rsidRPr="00395595">
        <w:rPr>
          <w:rFonts w:ascii="Times New Roman" w:eastAsia="Calibri" w:hAnsi="Times New Roman" w:cs="Times New Roman"/>
          <w:sz w:val="24"/>
          <w:szCs w:val="24"/>
        </w:rPr>
        <w:t xml:space="preserve">, </w:t>
      </w:r>
      <w:r w:rsidRPr="00395595">
        <w:rPr>
          <w:rFonts w:ascii="Times New Roman" w:eastAsia="Calibri" w:hAnsi="Times New Roman" w:cs="Times New Roman"/>
          <w:b/>
          <w:bCs/>
          <w:sz w:val="24"/>
          <w:szCs w:val="24"/>
        </w:rPr>
        <w:t>11a</w:t>
      </w:r>
      <w:r w:rsidRPr="00395595">
        <w:rPr>
          <w:rFonts w:ascii="Times New Roman" w:eastAsia="Calibri" w:hAnsi="Times New Roman" w:cs="Times New Roman"/>
          <w:sz w:val="24"/>
          <w:szCs w:val="24"/>
        </w:rPr>
        <w:t xml:space="preserve">, </w:t>
      </w:r>
      <w:r w:rsidRPr="00395595">
        <w:rPr>
          <w:rFonts w:ascii="Times New Roman" w:eastAsia="Calibri" w:hAnsi="Times New Roman" w:cs="Times New Roman"/>
          <w:b/>
          <w:bCs/>
          <w:sz w:val="24"/>
          <w:szCs w:val="24"/>
        </w:rPr>
        <w:t>11b</w:t>
      </w:r>
      <w:r w:rsidRPr="00395595">
        <w:rPr>
          <w:rFonts w:ascii="Times New Roman" w:eastAsia="Calibri" w:hAnsi="Times New Roman" w:cs="Times New Roman"/>
          <w:sz w:val="24"/>
          <w:szCs w:val="24"/>
        </w:rPr>
        <w:t xml:space="preserve">, </w:t>
      </w:r>
      <w:r w:rsidRPr="00395595">
        <w:rPr>
          <w:rFonts w:ascii="Times New Roman" w:eastAsia="Calibri" w:hAnsi="Times New Roman" w:cs="Times New Roman"/>
          <w:b/>
          <w:bCs/>
          <w:sz w:val="24"/>
          <w:szCs w:val="24"/>
        </w:rPr>
        <w:t xml:space="preserve">15a </w:t>
      </w:r>
      <w:r w:rsidRPr="00395595">
        <w:rPr>
          <w:rFonts w:ascii="Times New Roman" w:eastAsia="Calibri" w:hAnsi="Times New Roman" w:cs="Times New Roman"/>
          <w:sz w:val="24"/>
          <w:szCs w:val="24"/>
        </w:rPr>
        <w:t xml:space="preserve">and </w:t>
      </w:r>
      <w:r w:rsidRPr="00395595">
        <w:rPr>
          <w:rFonts w:ascii="Times New Roman" w:eastAsia="Calibri" w:hAnsi="Times New Roman" w:cs="Times New Roman"/>
          <w:b/>
          <w:bCs/>
          <w:sz w:val="24"/>
          <w:szCs w:val="24"/>
        </w:rPr>
        <w:t>17a</w:t>
      </w:r>
      <w:r w:rsidRPr="00395595">
        <w:rPr>
          <w:rFonts w:ascii="Times New Roman" w:eastAsia="Calibri" w:hAnsi="Times New Roman" w:cs="Times New Roman"/>
          <w:sz w:val="24"/>
          <w:szCs w:val="24"/>
        </w:rPr>
        <w:t xml:space="preserve"> were subjected to evaluation of their cytotoxicity against </w:t>
      </w:r>
      <w:r w:rsidRPr="00395595">
        <w:rPr>
          <w:rFonts w:ascii="Times New Roman" w:hAnsi="Times New Roman" w:cs="Times New Roman"/>
          <w:sz w:val="24"/>
          <w:szCs w:val="24"/>
        </w:rPr>
        <w:t xml:space="preserve">MCF-7 and HEPG2 </w:t>
      </w:r>
      <w:r w:rsidRPr="00395595">
        <w:rPr>
          <w:rFonts w:ascii="Times New Roman" w:eastAsia="Calibri" w:hAnsi="Times New Roman" w:cs="Times New Roman"/>
          <w:sz w:val="24"/>
          <w:szCs w:val="24"/>
        </w:rPr>
        <w:t>cell lines in comparison to the reference Doxorubicin. 0.25% Trypsin-EDTA was used to collect exponentially growing. Hemocytometer was used to count the cell suspension and cell viability detected using trypan blue (100% viability). Then, an approximately 1.0 x 10</w:t>
      </w:r>
      <w:r w:rsidRPr="00395595">
        <w:rPr>
          <w:rFonts w:ascii="Times New Roman" w:eastAsia="Calibri" w:hAnsi="Times New Roman" w:cs="Times New Roman"/>
          <w:sz w:val="24"/>
          <w:szCs w:val="24"/>
          <w:vertAlign w:val="superscript"/>
        </w:rPr>
        <w:t xml:space="preserve">5 </w:t>
      </w:r>
      <w:r w:rsidRPr="00395595">
        <w:rPr>
          <w:rFonts w:ascii="Times New Roman" w:eastAsia="Calibri" w:hAnsi="Times New Roman" w:cs="Times New Roman"/>
          <w:sz w:val="24"/>
          <w:szCs w:val="24"/>
        </w:rPr>
        <w:t>cell/mL of cells suspension was made by dilution with complete medium. 200 µL of this suspension, about ≈20,000 cell/well, was dispensed by multichannel pipette into the inner 60 wells of the 96 well plate and the peripheral wells were filled with PBS. The plate was allowed to incubate for 24 h to allow cells attachment to the plate wall before the addition of the tested derivatives. Different concentrations of the tested derivatives (5, 25, 50 and 75 µg/mL) were made by using DMEM media. Then, 200 μL of treatment media was dispensed into four replicates for each concentration and other wells were filled with untreated cells only (as a negative control) and wells filled with media containing Doxorubicin HCL as a positive control. The 96 well plate allowed to incubate at 37° C for 48 h. Then, the medium and extracts were discarded and replaced with 100 µL of neutral red solution (50 mg/mL) and centrifuged at 1800 rpm for 10 min to eliminate any crystals of precipitated dye.</w:t>
      </w:r>
      <w:r w:rsidRPr="00395595">
        <w:rPr>
          <w:rFonts w:ascii="Times New Roman" w:eastAsia="Times New Roman" w:hAnsi="Times New Roman" w:cs="Times New Roman"/>
          <w:sz w:val="24"/>
          <w:szCs w:val="24"/>
        </w:rPr>
        <w:t xml:space="preserve"> </w:t>
      </w:r>
      <w:r w:rsidRPr="00395595">
        <w:rPr>
          <w:rFonts w:ascii="Times New Roman" w:eastAsia="Calibri" w:hAnsi="Times New Roman" w:cs="Times New Roman"/>
          <w:sz w:val="24"/>
          <w:szCs w:val="24"/>
        </w:rPr>
        <w:t xml:space="preserve">After three hours of incubation at 37°C, the dye medium was removed and the microplate was washed twice with 150 µL PBS to eliminate the unabsorbed neutral red dye contained in the wells. Then, the cellular morphology of the treated cell lines with the tested derivatives were detected using Inverted Microscope Leica DMI3000B. Also, the absorbance of acidified ethanol solution containing extracted neutral red dye was calculated </w:t>
      </w:r>
      <w:r w:rsidRPr="00395595">
        <w:rPr>
          <w:rFonts w:ascii="Times New Roman" w:eastAsia="Calibri" w:hAnsi="Times New Roman" w:cs="Times New Roman"/>
          <w:i/>
          <w:iCs/>
          <w:sz w:val="24"/>
          <w:szCs w:val="24"/>
        </w:rPr>
        <w:t>via</w:t>
      </w:r>
      <w:r w:rsidRPr="00395595">
        <w:rPr>
          <w:rFonts w:ascii="Times New Roman" w:eastAsia="Calibri" w:hAnsi="Times New Roman" w:cs="Times New Roman"/>
          <w:sz w:val="24"/>
          <w:szCs w:val="24"/>
        </w:rPr>
        <w:t xml:space="preserve"> microplate reader (BioTek, ELX808) at 540 nm to estimate the optical density and the cell viability% was determined.</w:t>
      </w:r>
    </w:p>
    <w:p w:rsidR="00BA7F80" w:rsidRPr="00395595" w:rsidRDefault="00BA7F80" w:rsidP="00BA7F80">
      <w:pPr>
        <w:autoSpaceDN w:val="0"/>
        <w:spacing w:after="0" w:line="360" w:lineRule="auto"/>
        <w:jc w:val="both"/>
        <w:rPr>
          <w:rFonts w:ascii="Times New Roman" w:eastAsia="Calibri" w:hAnsi="Times New Roman" w:cs="Times New Roman"/>
          <w:b/>
          <w:bCs/>
          <w:sz w:val="24"/>
          <w:szCs w:val="24"/>
        </w:rPr>
      </w:pPr>
    </w:p>
    <w:p w:rsidR="00BA7F80" w:rsidRPr="00395595" w:rsidRDefault="00BA7F80" w:rsidP="00BA7F80">
      <w:pPr>
        <w:autoSpaceDN w:val="0"/>
        <w:spacing w:after="0" w:line="360" w:lineRule="auto"/>
        <w:jc w:val="both"/>
        <w:rPr>
          <w:rFonts w:ascii="Times New Roman" w:eastAsia="Calibri" w:hAnsi="Times New Roman" w:cs="Times New Roman"/>
          <w:b/>
          <w:bCs/>
          <w:sz w:val="24"/>
          <w:szCs w:val="24"/>
        </w:rPr>
      </w:pPr>
      <w:r w:rsidRPr="00395595">
        <w:rPr>
          <w:rFonts w:ascii="Times New Roman" w:eastAsia="Calibri" w:hAnsi="Times New Roman" w:cs="Times New Roman"/>
          <w:b/>
          <w:bCs/>
          <w:sz w:val="24"/>
          <w:szCs w:val="24"/>
        </w:rPr>
        <w:t xml:space="preserve">4.8. </w:t>
      </w:r>
      <w:bookmarkStart w:id="25" w:name="_Hlk29758044"/>
      <w:r w:rsidRPr="00395595">
        <w:rPr>
          <w:rFonts w:ascii="Times New Roman" w:eastAsia="Calibri" w:hAnsi="Times New Roman" w:cs="Times New Roman"/>
          <w:b/>
          <w:bCs/>
          <w:sz w:val="24"/>
          <w:szCs w:val="24"/>
        </w:rPr>
        <w:t xml:space="preserve">The </w:t>
      </w:r>
      <w:r w:rsidRPr="00395595">
        <w:rPr>
          <w:rFonts w:ascii="Times New Roman" w:eastAsia="Calibri" w:hAnsi="Times New Roman" w:cs="Times New Roman"/>
          <w:b/>
          <w:bCs/>
          <w:i/>
          <w:iCs/>
          <w:sz w:val="24"/>
          <w:szCs w:val="24"/>
        </w:rPr>
        <w:t>in-silico</w:t>
      </w:r>
      <w:r w:rsidRPr="00395595">
        <w:rPr>
          <w:rFonts w:ascii="Times New Roman" w:eastAsia="Calibri" w:hAnsi="Times New Roman" w:cs="Times New Roman"/>
          <w:b/>
          <w:bCs/>
          <w:sz w:val="24"/>
          <w:szCs w:val="24"/>
        </w:rPr>
        <w:t xml:space="preserve"> study</w:t>
      </w:r>
      <w:bookmarkEnd w:id="25"/>
      <w:r w:rsidRPr="00395595">
        <w:rPr>
          <w:rFonts w:ascii="Times New Roman" w:eastAsia="Calibri" w:hAnsi="Times New Roman" w:cs="Times New Roman"/>
          <w:b/>
          <w:bCs/>
          <w:sz w:val="24"/>
          <w:szCs w:val="24"/>
        </w:rPr>
        <w:t>: Molecular docking</w:t>
      </w:r>
    </w:p>
    <w:p w:rsidR="00BA7F80" w:rsidRPr="00395595" w:rsidRDefault="00BA7F80" w:rsidP="00BA7F80">
      <w:pPr>
        <w:autoSpaceDN w:val="0"/>
        <w:spacing w:after="0" w:line="360" w:lineRule="auto"/>
        <w:ind w:firstLine="720"/>
        <w:jc w:val="both"/>
        <w:rPr>
          <w:rFonts w:ascii="Times New Roman" w:eastAsia="Calibri" w:hAnsi="Times New Roman" w:cs="Times New Roman"/>
          <w:sz w:val="24"/>
          <w:szCs w:val="24"/>
        </w:rPr>
      </w:pPr>
      <w:bookmarkStart w:id="26" w:name="_Hlk20158690"/>
      <w:r w:rsidRPr="00395595">
        <w:rPr>
          <w:rFonts w:ascii="Times New Roman" w:eastAsia="Calibri" w:hAnsi="Times New Roman" w:cs="Times New Roman"/>
          <w:sz w:val="24"/>
          <w:szCs w:val="24"/>
        </w:rPr>
        <w:t xml:space="preserve">The </w:t>
      </w:r>
      <w:r w:rsidRPr="00395595">
        <w:rPr>
          <w:rFonts w:ascii="Times New Roman" w:eastAsia="Calibri" w:hAnsi="Times New Roman" w:cs="Times New Roman"/>
          <w:i/>
          <w:iCs/>
          <w:sz w:val="24"/>
          <w:szCs w:val="24"/>
        </w:rPr>
        <w:t>in-silico</w:t>
      </w:r>
      <w:r w:rsidRPr="00395595">
        <w:rPr>
          <w:rFonts w:ascii="Times New Roman" w:eastAsia="Calibri" w:hAnsi="Times New Roman" w:cs="Times New Roman"/>
          <w:sz w:val="24"/>
          <w:szCs w:val="24"/>
        </w:rPr>
        <w:t xml:space="preserve"> study was established by elucidation of molecular docking of some new thienopyridines with </w:t>
      </w:r>
      <w:bookmarkStart w:id="27" w:name="_Hlk29759407"/>
      <w:r w:rsidRPr="00395595">
        <w:rPr>
          <w:rFonts w:ascii="Times New Roman" w:eastAsia="Calibri" w:hAnsi="Times New Roman" w:cs="Times New Roman"/>
          <w:sz w:val="24"/>
          <w:szCs w:val="24"/>
        </w:rPr>
        <w:t xml:space="preserve">pim-1 kinase </w:t>
      </w:r>
      <w:r w:rsidRPr="00395595">
        <w:rPr>
          <w:rFonts w:ascii="Times New Roman" w:hAnsi="Times New Roman" w:cs="Times New Roman"/>
          <w:sz w:val="24"/>
          <w:szCs w:val="24"/>
        </w:rPr>
        <w:t>(</w:t>
      </w:r>
      <w:r w:rsidRPr="00395595">
        <w:rPr>
          <w:rFonts w:ascii="Times New Roman" w:eastAsia="Calibri" w:hAnsi="Times New Roman" w:cs="Times New Roman"/>
          <w:sz w:val="24"/>
          <w:szCs w:val="24"/>
        </w:rPr>
        <w:t xml:space="preserve">PDB ID: </w:t>
      </w:r>
      <w:r w:rsidRPr="00395595">
        <w:rPr>
          <w:rFonts w:ascii="Times New Roman" w:hAnsi="Times New Roman" w:cs="Times New Roman"/>
          <w:sz w:val="24"/>
          <w:szCs w:val="24"/>
        </w:rPr>
        <w:t xml:space="preserve">2OBJ). </w:t>
      </w:r>
      <w:bookmarkEnd w:id="27"/>
      <w:r w:rsidRPr="00395595">
        <w:rPr>
          <w:rFonts w:ascii="Times New Roman" w:eastAsia="Calibri" w:hAnsi="Times New Roman" w:cs="Times New Roman"/>
          <w:sz w:val="24"/>
          <w:szCs w:val="24"/>
        </w:rPr>
        <w:t xml:space="preserve">A rigid Molecular Operating Environment software (MOE) version 2015.10 software </w:t>
      </w:r>
      <w:bookmarkEnd w:id="26"/>
      <w:r w:rsidRPr="00395595">
        <w:rPr>
          <w:rFonts w:ascii="Times New Roman" w:eastAsia="Calibri" w:hAnsi="Times New Roman" w:cs="Times New Roman"/>
          <w:sz w:val="24"/>
          <w:szCs w:val="24"/>
        </w:rPr>
        <w:t xml:space="preserve">(https://www.chemcomp.com) was used in this study [10]. MOE is one of the facile interactive molecular graphics softwares. It is used to estimate the feasible docking modes of the set of ligands with the target enzyme. The input of the tested ligands as well as the enzyme must be in PDB format. The Gaussian 03 software was used to create the PDB files format of each ligand’s structure. On the other hand, the structure of pim-1 kinase </w:t>
      </w:r>
      <w:r w:rsidRPr="00395595">
        <w:rPr>
          <w:rFonts w:ascii="Times New Roman" w:hAnsi="Times New Roman" w:cs="Times New Roman"/>
          <w:sz w:val="24"/>
          <w:szCs w:val="24"/>
        </w:rPr>
        <w:t xml:space="preserve">(2OBJ) </w:t>
      </w:r>
      <w:r w:rsidRPr="00395595">
        <w:rPr>
          <w:rFonts w:ascii="Times New Roman" w:eastAsia="Calibri" w:hAnsi="Times New Roman" w:cs="Times New Roman"/>
          <w:sz w:val="24"/>
          <w:szCs w:val="24"/>
        </w:rPr>
        <w:t xml:space="preserve">was obtained from protein data bank website (https://www.rcsb.org/). Only the amino-acid chain is kept, while other molecules such as co-crystallized ligands, water and other unsupported elements (e.g., Na, Mg, etc.,) are detached [11, 12]. </w:t>
      </w:r>
    </w:p>
    <w:p w:rsidR="00BA7F80" w:rsidRPr="00395595" w:rsidRDefault="00BA7F80" w:rsidP="00D24635">
      <w:pPr>
        <w:jc w:val="center"/>
      </w:pPr>
    </w:p>
    <w:p w:rsidR="00BA7F80" w:rsidRPr="00395595" w:rsidRDefault="00BA7F80" w:rsidP="00BA7F80">
      <w:pPr>
        <w:rPr>
          <w:rFonts w:asciiTheme="majorBidi" w:hAnsiTheme="majorBidi" w:cstheme="majorBidi"/>
          <w:b/>
          <w:bCs/>
          <w:sz w:val="24"/>
          <w:szCs w:val="24"/>
        </w:rPr>
      </w:pPr>
      <w:r w:rsidRPr="00395595">
        <w:rPr>
          <w:rFonts w:asciiTheme="majorBidi" w:hAnsiTheme="majorBidi" w:cstheme="majorBidi"/>
          <w:b/>
          <w:bCs/>
          <w:sz w:val="24"/>
          <w:szCs w:val="24"/>
        </w:rPr>
        <w:t>References</w:t>
      </w:r>
    </w:p>
    <w:p w:rsidR="00BA7F80" w:rsidRPr="00395595" w:rsidRDefault="00BA7F80" w:rsidP="00BA7F80">
      <w:pPr>
        <w:spacing w:after="0" w:line="360" w:lineRule="auto"/>
        <w:ind w:left="426" w:hanging="426"/>
        <w:jc w:val="both"/>
        <w:rPr>
          <w:rFonts w:ascii="Times New Roman" w:eastAsia="Times New Roman" w:hAnsi="Times New Roman" w:cs="Times New Roman"/>
          <w:sz w:val="24"/>
          <w:szCs w:val="24"/>
        </w:rPr>
      </w:pPr>
      <w:r w:rsidRPr="00395595">
        <w:rPr>
          <w:rFonts w:ascii="Times New Roman" w:eastAsia="Times New Roman" w:hAnsi="Times New Roman" w:cs="Times New Roman"/>
          <w:sz w:val="24"/>
          <w:szCs w:val="24"/>
        </w:rPr>
        <w:t>[1] Sanad, S. M. H.; Ahmed, A. M. A.; Mekky, A. E. M. J Heterocyclic Chem 2020, 57(2), 590.</w:t>
      </w:r>
    </w:p>
    <w:p w:rsidR="00BA7F80" w:rsidRPr="00395595" w:rsidRDefault="00BA7F80" w:rsidP="00BA7F80">
      <w:pPr>
        <w:spacing w:after="0" w:line="360" w:lineRule="auto"/>
        <w:ind w:left="426" w:hanging="426"/>
        <w:jc w:val="both"/>
        <w:rPr>
          <w:rFonts w:ascii="Times New Roman" w:eastAsia="Times New Roman" w:hAnsi="Times New Roman" w:cs="Times New Roman"/>
          <w:sz w:val="24"/>
          <w:szCs w:val="24"/>
        </w:rPr>
      </w:pPr>
      <w:r w:rsidRPr="00395595">
        <w:rPr>
          <w:rFonts w:ascii="Times New Roman" w:eastAsia="Times New Roman" w:hAnsi="Times New Roman" w:cs="Times New Roman"/>
          <w:sz w:val="24"/>
          <w:szCs w:val="24"/>
        </w:rPr>
        <w:t>[2] Mekky, A. E. M.; S</w:t>
      </w:r>
      <w:r w:rsidRPr="00395595">
        <w:rPr>
          <w:rFonts w:ascii="Times New Roman" w:eastAsia="Times New Roman" w:hAnsi="Times New Roman" w:cs="Times New Roman"/>
          <w:spacing w:val="-1"/>
          <w:sz w:val="24"/>
          <w:szCs w:val="24"/>
        </w:rPr>
        <w:t>a</w:t>
      </w:r>
      <w:r w:rsidRPr="00395595">
        <w:rPr>
          <w:rFonts w:ascii="Times New Roman" w:eastAsia="Times New Roman" w:hAnsi="Times New Roman" w:cs="Times New Roman"/>
          <w:sz w:val="24"/>
          <w:szCs w:val="24"/>
        </w:rPr>
        <w:t>n</w:t>
      </w:r>
      <w:r w:rsidRPr="00395595">
        <w:rPr>
          <w:rFonts w:ascii="Times New Roman" w:eastAsia="Times New Roman" w:hAnsi="Times New Roman" w:cs="Times New Roman"/>
          <w:spacing w:val="-1"/>
          <w:sz w:val="24"/>
          <w:szCs w:val="24"/>
        </w:rPr>
        <w:t>a</w:t>
      </w:r>
      <w:r w:rsidRPr="00395595">
        <w:rPr>
          <w:rFonts w:ascii="Times New Roman" w:eastAsia="Times New Roman" w:hAnsi="Times New Roman" w:cs="Times New Roman"/>
          <w:sz w:val="24"/>
          <w:szCs w:val="24"/>
        </w:rPr>
        <w:t xml:space="preserve">d, S. M. H. </w:t>
      </w:r>
      <w:r w:rsidRPr="00395595">
        <w:rPr>
          <w:rFonts w:ascii="Times New Roman" w:eastAsia="Times New Roman" w:hAnsi="Times New Roman" w:cs="Times New Roman"/>
          <w:spacing w:val="-1"/>
          <w:sz w:val="24"/>
          <w:szCs w:val="24"/>
        </w:rPr>
        <w:t>Polycycl Aromat Comp,</w:t>
      </w:r>
      <w:r w:rsidRPr="00395595">
        <w:rPr>
          <w:rFonts w:ascii="Times New Roman" w:eastAsia="Times New Roman" w:hAnsi="Times New Roman" w:cs="Times New Roman"/>
          <w:sz w:val="24"/>
          <w:szCs w:val="24"/>
        </w:rPr>
        <w:t xml:space="preserve"> Published Online Jun 20, 2019. DOI: 10.1080/10406638.2019.1631194</w:t>
      </w:r>
      <w:r w:rsidRPr="00395595">
        <w:rPr>
          <w:rFonts w:ascii="Times New Roman" w:eastAsia="MS Gothic" w:hAnsi="Times New Roman" w:cs="Times New Roman"/>
          <w:sz w:val="24"/>
          <w:szCs w:val="24"/>
        </w:rPr>
        <w:t>.</w:t>
      </w:r>
      <w:r w:rsidRPr="00395595">
        <w:rPr>
          <w:rFonts w:ascii="Times New Roman" w:eastAsia="Times New Roman" w:hAnsi="Times New Roman" w:cs="Times New Roman"/>
          <w:sz w:val="24"/>
          <w:szCs w:val="24"/>
        </w:rPr>
        <w:tab/>
      </w:r>
    </w:p>
    <w:p w:rsidR="00BA7F80" w:rsidRPr="00395595" w:rsidRDefault="00BA7F80" w:rsidP="00BA7F80">
      <w:pPr>
        <w:spacing w:after="0" w:line="360" w:lineRule="auto"/>
        <w:ind w:left="426" w:hanging="426"/>
        <w:jc w:val="both"/>
        <w:rPr>
          <w:rFonts w:asciiTheme="majorBidi" w:hAnsiTheme="majorBidi" w:cstheme="majorBidi"/>
          <w:sz w:val="24"/>
          <w:szCs w:val="24"/>
        </w:rPr>
      </w:pPr>
      <w:bookmarkStart w:id="28" w:name="_Hlk32607703"/>
      <w:r w:rsidRPr="00395595">
        <w:rPr>
          <w:rFonts w:asciiTheme="majorBidi" w:hAnsiTheme="majorBidi" w:cstheme="majorBidi"/>
          <w:sz w:val="24"/>
          <w:szCs w:val="24"/>
        </w:rPr>
        <w:t>[3] Albert, A. Selective Toxicity: Physico-chemical Basis of Therapy, 6</w:t>
      </w:r>
      <w:r w:rsidRPr="00395595">
        <w:rPr>
          <w:rFonts w:asciiTheme="majorBidi" w:hAnsiTheme="majorBidi" w:cstheme="majorBidi"/>
          <w:sz w:val="24"/>
          <w:szCs w:val="24"/>
          <w:vertAlign w:val="superscript"/>
        </w:rPr>
        <w:t>th</w:t>
      </w:r>
      <w:r w:rsidRPr="00395595">
        <w:rPr>
          <w:rFonts w:asciiTheme="majorBidi" w:hAnsiTheme="majorBidi" w:cstheme="majorBidi"/>
          <w:sz w:val="24"/>
          <w:szCs w:val="24"/>
        </w:rPr>
        <w:t xml:space="preserve"> ed.; Wiley &amp; Sons: New York, 1979.</w:t>
      </w:r>
    </w:p>
    <w:p w:rsidR="00BA7F80" w:rsidRPr="00395595" w:rsidRDefault="00BA7F80" w:rsidP="00BA7F80">
      <w:pPr>
        <w:spacing w:after="0" w:line="360" w:lineRule="auto"/>
        <w:ind w:left="425" w:hanging="425"/>
        <w:contextualSpacing/>
        <w:jc w:val="both"/>
        <w:rPr>
          <w:rFonts w:asciiTheme="majorBidi" w:hAnsiTheme="majorBidi" w:cstheme="majorBidi"/>
          <w:sz w:val="24"/>
          <w:szCs w:val="24"/>
        </w:rPr>
      </w:pPr>
      <w:r w:rsidRPr="00395595">
        <w:rPr>
          <w:rFonts w:asciiTheme="majorBidi" w:hAnsiTheme="majorBidi" w:cstheme="majorBidi"/>
          <w:sz w:val="24"/>
          <w:szCs w:val="24"/>
        </w:rPr>
        <w:t>[4] Sanad, S. M. H.; Hanna, D. H.; Mekky, A. E. M. J Mol Struct 2019, 1188, 214.</w:t>
      </w:r>
    </w:p>
    <w:bookmarkEnd w:id="28"/>
    <w:p w:rsidR="00BA7F80" w:rsidRPr="00395595" w:rsidRDefault="00BA7F80" w:rsidP="00BA7F80">
      <w:pPr>
        <w:spacing w:after="0" w:line="360" w:lineRule="auto"/>
        <w:ind w:left="426" w:hanging="426"/>
        <w:jc w:val="both"/>
        <w:rPr>
          <w:rFonts w:asciiTheme="majorBidi" w:hAnsiTheme="majorBidi" w:cstheme="majorBidi"/>
          <w:sz w:val="24"/>
          <w:szCs w:val="24"/>
        </w:rPr>
      </w:pPr>
      <w:r w:rsidRPr="00395595">
        <w:rPr>
          <w:rFonts w:asciiTheme="majorBidi" w:hAnsiTheme="majorBidi" w:cstheme="majorBidi"/>
          <w:sz w:val="24"/>
          <w:szCs w:val="24"/>
        </w:rPr>
        <w:t xml:space="preserve">[5] Wiegand, I.; Hilpert, K.; </w:t>
      </w:r>
      <w:r w:rsidRPr="00395595">
        <w:rPr>
          <w:rFonts w:asciiTheme="majorBidi" w:hAnsiTheme="majorBidi" w:cstheme="majorBidi"/>
          <w:sz w:val="24"/>
          <w:szCs w:val="24"/>
          <w:shd w:val="clear" w:color="auto" w:fill="FFFFFF"/>
        </w:rPr>
        <w:t>Hancock</w:t>
      </w:r>
      <w:r w:rsidRPr="00395595">
        <w:rPr>
          <w:rFonts w:asciiTheme="majorBidi" w:hAnsiTheme="majorBidi" w:cstheme="majorBidi"/>
          <w:sz w:val="24"/>
          <w:szCs w:val="24"/>
        </w:rPr>
        <w:t>, R. E.</w:t>
      </w:r>
      <w:r w:rsidRPr="00395595">
        <w:rPr>
          <w:rFonts w:asciiTheme="majorBidi" w:hAnsiTheme="majorBidi" w:cstheme="majorBidi"/>
          <w:sz w:val="24"/>
          <w:szCs w:val="24"/>
          <w:shd w:val="clear" w:color="auto" w:fill="FFFFFF"/>
        </w:rPr>
        <w:t xml:space="preserve"> </w:t>
      </w:r>
      <w:r w:rsidRPr="00395595">
        <w:rPr>
          <w:rFonts w:asciiTheme="majorBidi" w:hAnsiTheme="majorBidi" w:cstheme="majorBidi"/>
          <w:sz w:val="24"/>
          <w:szCs w:val="24"/>
        </w:rPr>
        <w:t>Nat Protoc 2008, 3, 163.</w:t>
      </w:r>
    </w:p>
    <w:p w:rsidR="00BA7F80" w:rsidRPr="00395595" w:rsidRDefault="00BA7F80" w:rsidP="00BA7F80">
      <w:pPr>
        <w:autoSpaceDE w:val="0"/>
        <w:autoSpaceDN w:val="0"/>
        <w:adjustRightInd w:val="0"/>
        <w:spacing w:after="0" w:line="360" w:lineRule="auto"/>
        <w:ind w:left="426" w:hanging="426"/>
        <w:rPr>
          <w:rFonts w:asciiTheme="majorBidi" w:hAnsiTheme="majorBidi" w:cstheme="majorBidi"/>
          <w:sz w:val="24"/>
          <w:szCs w:val="24"/>
        </w:rPr>
      </w:pPr>
      <w:bookmarkStart w:id="29" w:name="_Hlk32607889"/>
      <w:r w:rsidRPr="00395595">
        <w:rPr>
          <w:rFonts w:ascii="Times New Roman" w:hAnsi="Times New Roman" w:cs="Times New Roman"/>
          <w:sz w:val="24"/>
          <w:szCs w:val="24"/>
        </w:rPr>
        <w:t>[6] Kamal, A.; Rahim, A.; Riyaz, S.; Poornachandra, Y.; Moku, B.; Kumar, C. G.; Hussaini, S. M.; Sridha, B.; Machiraju, P. K.  Org Biomol Chem 2015, 13, 1347.</w:t>
      </w:r>
    </w:p>
    <w:bookmarkEnd w:id="29"/>
    <w:p w:rsidR="00BA7F80" w:rsidRPr="00395595" w:rsidRDefault="00BA7F80" w:rsidP="00BA7F80">
      <w:pPr>
        <w:autoSpaceDE w:val="0"/>
        <w:autoSpaceDN w:val="0"/>
        <w:adjustRightInd w:val="0"/>
        <w:spacing w:after="0" w:line="360" w:lineRule="auto"/>
        <w:ind w:left="426" w:hanging="426"/>
        <w:rPr>
          <w:rFonts w:ascii="Times New Roman" w:hAnsi="Times New Roman" w:cs="Times New Roman"/>
        </w:rPr>
      </w:pPr>
      <w:r w:rsidRPr="00395595">
        <w:rPr>
          <w:rFonts w:asciiTheme="majorBidi" w:hAnsiTheme="majorBidi" w:cstheme="majorBidi"/>
          <w:sz w:val="24"/>
          <w:szCs w:val="24"/>
        </w:rPr>
        <w:t xml:space="preserve">[7] </w:t>
      </w:r>
      <w:r w:rsidRPr="00395595">
        <w:rPr>
          <w:rFonts w:ascii="Times New Roman" w:hAnsi="Times New Roman" w:cs="Times New Roman"/>
        </w:rPr>
        <w:t>CLSI (2006) Clinical and Laboratory Standards Institute. Methods for dilution antimicrobial susceptibility tests for bacteria that grow aerobically. CLSI documents M27-S3. Wayne, PA, USA.</w:t>
      </w:r>
      <w:r w:rsidRPr="00395595">
        <w:rPr>
          <w:rFonts w:asciiTheme="majorBidi" w:hAnsiTheme="majorBidi" w:cstheme="majorBidi"/>
          <w:sz w:val="24"/>
          <w:szCs w:val="24"/>
        </w:rPr>
        <w:t xml:space="preserve"> </w:t>
      </w:r>
    </w:p>
    <w:p w:rsidR="00BA7F80" w:rsidRPr="00395595" w:rsidRDefault="00BA7F80" w:rsidP="00BA7F80">
      <w:pPr>
        <w:autoSpaceDE w:val="0"/>
        <w:autoSpaceDN w:val="0"/>
        <w:adjustRightInd w:val="0"/>
        <w:spacing w:after="0" w:line="360" w:lineRule="auto"/>
        <w:ind w:left="426" w:hanging="426"/>
        <w:jc w:val="both"/>
        <w:rPr>
          <w:rFonts w:ascii="Times New Roman" w:hAnsi="Times New Roman" w:cs="Times New Roman"/>
          <w:sz w:val="24"/>
          <w:szCs w:val="24"/>
        </w:rPr>
      </w:pPr>
      <w:r w:rsidRPr="00395595">
        <w:rPr>
          <w:rFonts w:ascii="Times New Roman" w:hAnsi="Times New Roman" w:cs="Times New Roman"/>
          <w:sz w:val="24"/>
          <w:szCs w:val="24"/>
        </w:rPr>
        <w:t>[8] Pradeep, M. A.; Kumar, N. R.; Swaroop, D. K.; Reddy, N. S.; Sirisha, K.; Kumar, C. G.; Babu, N. J.; Ganapathi, T.; Narsaiah, B. ChemistrySelect 2019, 4(1), 138.</w:t>
      </w:r>
    </w:p>
    <w:p w:rsidR="00BA7F80" w:rsidRPr="00395595" w:rsidRDefault="00BA7F80" w:rsidP="00BA7F80">
      <w:pPr>
        <w:spacing w:after="0" w:line="360" w:lineRule="auto"/>
        <w:ind w:left="426" w:hanging="426"/>
        <w:jc w:val="both"/>
        <w:rPr>
          <w:rFonts w:ascii="Times New Roman" w:eastAsia="Times New Roman" w:hAnsi="Times New Roman" w:cs="Times New Roman"/>
          <w:sz w:val="24"/>
          <w:szCs w:val="24"/>
          <w:lang w:val="en-GB"/>
        </w:rPr>
      </w:pPr>
      <w:r w:rsidRPr="00395595">
        <w:rPr>
          <w:rFonts w:asciiTheme="majorBidi" w:hAnsiTheme="majorBidi" w:cstheme="majorBidi"/>
          <w:sz w:val="24"/>
          <w:szCs w:val="24"/>
        </w:rPr>
        <w:t xml:space="preserve">[9] Repetto G, Del Peso A, Zurita JL. Neutral red uptake assay for the estimation of cell viability/cytotoxicity. Nat Protoc 2008, 3(7), 1125. </w:t>
      </w:r>
    </w:p>
    <w:p w:rsidR="00BA7F80" w:rsidRPr="00395595" w:rsidRDefault="00BA7F80" w:rsidP="00BA7F80">
      <w:pPr>
        <w:autoSpaceDN w:val="0"/>
        <w:spacing w:after="0" w:line="360" w:lineRule="auto"/>
        <w:ind w:left="426" w:hanging="426"/>
        <w:jc w:val="both"/>
        <w:rPr>
          <w:rFonts w:ascii="Times New Roman" w:eastAsia="Times New Roman" w:hAnsi="Times New Roman" w:cs="Times New Roman"/>
          <w:sz w:val="24"/>
          <w:szCs w:val="24"/>
          <w:lang w:val="en-GB"/>
        </w:rPr>
      </w:pPr>
      <w:r w:rsidRPr="00395595">
        <w:rPr>
          <w:rFonts w:ascii="Times New Roman" w:eastAsia="Times New Roman" w:hAnsi="Times New Roman" w:cs="Times New Roman"/>
          <w:sz w:val="24"/>
          <w:szCs w:val="24"/>
          <w:lang w:val="en-GB"/>
        </w:rPr>
        <w:t xml:space="preserve">[10] Molecular Operating Environment (MOE), 2019.01; Chemical Computing Group Inc., 1010 Sherbooke St. West, Suite #910, Montreal, QC, Canada, H3A 2R7, 2015. </w:t>
      </w:r>
    </w:p>
    <w:p w:rsidR="00BA7F80" w:rsidRPr="00395595" w:rsidRDefault="00BA7F80" w:rsidP="00BA7F80">
      <w:pPr>
        <w:autoSpaceDN w:val="0"/>
        <w:spacing w:after="0" w:line="360" w:lineRule="auto"/>
        <w:jc w:val="both"/>
        <w:rPr>
          <w:rFonts w:ascii="Times New Roman" w:eastAsia="Times New Roman" w:hAnsi="Times New Roman" w:cs="Times New Roman"/>
          <w:kern w:val="3"/>
          <w:sz w:val="24"/>
          <w:szCs w:val="24"/>
          <w:lang w:eastAsia="ar-SA"/>
        </w:rPr>
      </w:pPr>
      <w:r w:rsidRPr="00395595">
        <w:rPr>
          <w:rFonts w:ascii="Times New Roman" w:eastAsia="Times New Roman" w:hAnsi="Times New Roman" w:cs="Times New Roman"/>
          <w:sz w:val="24"/>
          <w:szCs w:val="24"/>
          <w:lang w:val="en-GB"/>
        </w:rPr>
        <w:t>[11] Mysinger, M. M.; Shoichet, B. K. J Chem Inf Model 2010, 50, 1561.</w:t>
      </w:r>
    </w:p>
    <w:p w:rsidR="00BA7F80" w:rsidRPr="00395595" w:rsidRDefault="00BA7F80" w:rsidP="00BA7F80">
      <w:pPr>
        <w:autoSpaceDN w:val="0"/>
        <w:spacing w:after="0" w:line="360" w:lineRule="auto"/>
        <w:jc w:val="both"/>
        <w:rPr>
          <w:rFonts w:ascii="Times New Roman" w:eastAsia="Times New Roman" w:hAnsi="Times New Roman" w:cs="Times New Roman"/>
          <w:kern w:val="3"/>
          <w:sz w:val="24"/>
          <w:szCs w:val="24"/>
          <w:lang w:eastAsia="ar-SA"/>
        </w:rPr>
      </w:pPr>
      <w:r w:rsidRPr="00395595">
        <w:rPr>
          <w:rFonts w:ascii="Times New Roman" w:eastAsia="Times New Roman" w:hAnsi="Times New Roman" w:cs="Times New Roman"/>
          <w:sz w:val="24"/>
          <w:szCs w:val="24"/>
          <w:lang w:val="en-GB"/>
        </w:rPr>
        <w:t>[12] Neudert, G.; Klebe, G. J Chem Inf Model 2011, 51, 2731.</w:t>
      </w:r>
    </w:p>
    <w:p w:rsidR="00BA7F80" w:rsidRPr="00395595" w:rsidRDefault="00BA7F80" w:rsidP="00BA7F80">
      <w:pPr>
        <w:jc w:val="both"/>
      </w:pPr>
    </w:p>
    <w:p w:rsidR="00F06C3F" w:rsidRPr="00395595" w:rsidRDefault="00F06C3F" w:rsidP="00D24635">
      <w:pPr>
        <w:jc w:val="center"/>
      </w:pPr>
    </w:p>
    <w:p w:rsidR="00F06C3F" w:rsidRPr="00395595" w:rsidRDefault="00F06C3F" w:rsidP="00D24635">
      <w:pPr>
        <w:jc w:val="center"/>
      </w:pPr>
    </w:p>
    <w:p w:rsidR="00F06C3F" w:rsidRPr="00395595" w:rsidRDefault="00F06C3F" w:rsidP="00D24635">
      <w:pPr>
        <w:jc w:val="center"/>
      </w:pPr>
    </w:p>
    <w:p w:rsidR="00F06C3F" w:rsidRPr="00395595" w:rsidRDefault="00F06C3F" w:rsidP="00D24635">
      <w:pPr>
        <w:jc w:val="center"/>
      </w:pPr>
    </w:p>
    <w:p w:rsidR="00F06C3F" w:rsidRPr="00395595" w:rsidRDefault="00F06C3F" w:rsidP="00D24635">
      <w:pPr>
        <w:jc w:val="center"/>
      </w:pPr>
    </w:p>
    <w:p w:rsidR="0038408D" w:rsidRPr="00395595" w:rsidRDefault="0038408D" w:rsidP="0038408D">
      <w:r w:rsidRPr="00395595">
        <w:rPr>
          <w:vertAlign w:val="superscript"/>
        </w:rPr>
        <w:t>1</w:t>
      </w:r>
      <w:r w:rsidRPr="00395595">
        <w:t xml:space="preserve">H NMR </w:t>
      </w:r>
      <w:r w:rsidR="00B26307" w:rsidRPr="00395595">
        <w:t xml:space="preserve">Spectrum of Compound </w:t>
      </w:r>
      <w:r w:rsidR="00205512" w:rsidRPr="00395595">
        <w:t>7</w:t>
      </w:r>
      <w:r w:rsidR="00BA7A73" w:rsidRPr="00395595">
        <w:t>a</w:t>
      </w:r>
    </w:p>
    <w:p w:rsidR="0038408D" w:rsidRPr="00395595" w:rsidRDefault="00A35176" w:rsidP="0038408D">
      <w:pPr>
        <w:jc w:val="center"/>
      </w:pPr>
      <w:r w:rsidRPr="00395595">
        <w:rPr>
          <w:noProof/>
        </w:rPr>
        <w:drawing>
          <wp:inline distT="0" distB="0" distL="0" distR="0">
            <wp:extent cx="5605200" cy="396000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8">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00" cy="3960000"/>
                    </a:xfrm>
                    <a:prstGeom prst="rect">
                      <a:avLst/>
                    </a:prstGeom>
                    <a:noFill/>
                    <a:ln>
                      <a:noFill/>
                    </a:ln>
                  </pic:spPr>
                </pic:pic>
              </a:graphicData>
            </a:graphic>
          </wp:inline>
        </w:drawing>
      </w:r>
    </w:p>
    <w:p w:rsidR="00B26307" w:rsidRPr="00395595" w:rsidRDefault="00B26307" w:rsidP="00B26307">
      <w:pPr>
        <w:jc w:val="both"/>
      </w:pPr>
      <w:r w:rsidRPr="00395595">
        <w:rPr>
          <w:vertAlign w:val="superscript"/>
        </w:rPr>
        <w:t>13</w:t>
      </w:r>
      <w:r w:rsidRPr="00395595">
        <w:t xml:space="preserve">C NMR Spectrum of Compound </w:t>
      </w:r>
      <w:r w:rsidR="00205512" w:rsidRPr="00395595">
        <w:t>7</w:t>
      </w:r>
      <w:r w:rsidR="00BA7A73" w:rsidRPr="00395595">
        <w:t>a</w:t>
      </w:r>
    </w:p>
    <w:p w:rsidR="0038408D" w:rsidRPr="00395595" w:rsidRDefault="00A35176" w:rsidP="00822E8F">
      <w:pPr>
        <w:jc w:val="center"/>
      </w:pPr>
      <w:r w:rsidRPr="00395595">
        <w:rPr>
          <w:noProof/>
        </w:rPr>
        <w:drawing>
          <wp:inline distT="0" distB="0" distL="0" distR="0">
            <wp:extent cx="5605200" cy="396000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00" cy="3960000"/>
                    </a:xfrm>
                    <a:prstGeom prst="rect">
                      <a:avLst/>
                    </a:prstGeom>
                    <a:noFill/>
                    <a:ln>
                      <a:noFill/>
                    </a:ln>
                  </pic:spPr>
                </pic:pic>
              </a:graphicData>
            </a:graphic>
          </wp:inline>
        </w:drawing>
      </w:r>
    </w:p>
    <w:p w:rsidR="00BA7A73" w:rsidRPr="00395595" w:rsidRDefault="00BA7A73" w:rsidP="00BA7A73">
      <w:r w:rsidRPr="00395595">
        <w:rPr>
          <w:vertAlign w:val="superscript"/>
        </w:rPr>
        <w:t>1</w:t>
      </w:r>
      <w:r w:rsidRPr="00395595">
        <w:t xml:space="preserve">H NMR Spectrum of Compound </w:t>
      </w:r>
      <w:r w:rsidR="00205512" w:rsidRPr="00395595">
        <w:t>7</w:t>
      </w:r>
      <w:r w:rsidR="000A62DB" w:rsidRPr="00395595">
        <w:t>b</w:t>
      </w:r>
    </w:p>
    <w:p w:rsidR="00BA7A73" w:rsidRPr="00395595" w:rsidRDefault="00A35176" w:rsidP="00BA7A73">
      <w:pPr>
        <w:jc w:val="center"/>
      </w:pPr>
      <w:r w:rsidRPr="00395595">
        <w:rPr>
          <w:noProof/>
        </w:rPr>
        <w:drawing>
          <wp:inline distT="0" distB="0" distL="0" distR="0">
            <wp:extent cx="5605200" cy="396000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00" cy="3960000"/>
                    </a:xfrm>
                    <a:prstGeom prst="rect">
                      <a:avLst/>
                    </a:prstGeom>
                    <a:noFill/>
                    <a:ln>
                      <a:noFill/>
                    </a:ln>
                  </pic:spPr>
                </pic:pic>
              </a:graphicData>
            </a:graphic>
          </wp:inline>
        </w:drawing>
      </w:r>
    </w:p>
    <w:p w:rsidR="00DF3712" w:rsidRPr="00395595" w:rsidRDefault="00DF3712" w:rsidP="00DF3712">
      <w:pPr>
        <w:jc w:val="both"/>
      </w:pPr>
      <w:r w:rsidRPr="00395595">
        <w:rPr>
          <w:vertAlign w:val="superscript"/>
        </w:rPr>
        <w:t>13</w:t>
      </w:r>
      <w:r w:rsidRPr="00395595">
        <w:t>C NMR Spectrum of Compound 7b</w:t>
      </w:r>
    </w:p>
    <w:p w:rsidR="00DF3712" w:rsidRPr="00395595" w:rsidRDefault="00DF3712" w:rsidP="00DF3712">
      <w:pPr>
        <w:jc w:val="center"/>
      </w:pPr>
      <w:r w:rsidRPr="00395595">
        <w:rPr>
          <w:noProof/>
        </w:rPr>
        <w:drawing>
          <wp:inline distT="0" distB="0" distL="0" distR="0">
            <wp:extent cx="5608800" cy="396000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8800" cy="3960000"/>
                    </a:xfrm>
                    <a:prstGeom prst="rect">
                      <a:avLst/>
                    </a:prstGeom>
                    <a:noFill/>
                    <a:ln>
                      <a:noFill/>
                    </a:ln>
                  </pic:spPr>
                </pic:pic>
              </a:graphicData>
            </a:graphic>
          </wp:inline>
        </w:drawing>
      </w:r>
    </w:p>
    <w:p w:rsidR="00DF3712" w:rsidRPr="00395595" w:rsidRDefault="00DF3712" w:rsidP="00DF3712">
      <w:r w:rsidRPr="00395595">
        <w:rPr>
          <w:vertAlign w:val="superscript"/>
        </w:rPr>
        <w:t>1</w:t>
      </w:r>
      <w:r w:rsidRPr="00395595">
        <w:t>H NMR Spectrum of Compound 9a</w:t>
      </w:r>
    </w:p>
    <w:p w:rsidR="00DF3712" w:rsidRPr="00395595" w:rsidRDefault="00DF3712" w:rsidP="00DF3712">
      <w:pPr>
        <w:jc w:val="center"/>
      </w:pPr>
      <w:r w:rsidRPr="00395595">
        <w:rPr>
          <w:noProof/>
        </w:rPr>
        <w:drawing>
          <wp:inline distT="0" distB="0" distL="0" distR="0">
            <wp:extent cx="5605200" cy="39600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00" cy="3960000"/>
                    </a:xfrm>
                    <a:prstGeom prst="rect">
                      <a:avLst/>
                    </a:prstGeom>
                    <a:noFill/>
                    <a:ln>
                      <a:noFill/>
                    </a:ln>
                  </pic:spPr>
                </pic:pic>
              </a:graphicData>
            </a:graphic>
          </wp:inline>
        </w:drawing>
      </w:r>
    </w:p>
    <w:p w:rsidR="00DF3712" w:rsidRPr="00395595" w:rsidRDefault="00DF3712" w:rsidP="00DF3712">
      <w:pPr>
        <w:jc w:val="both"/>
      </w:pPr>
      <w:r w:rsidRPr="00395595">
        <w:rPr>
          <w:vertAlign w:val="superscript"/>
        </w:rPr>
        <w:t>13</w:t>
      </w:r>
      <w:r w:rsidRPr="00395595">
        <w:t>C NMR Spectrum of Compound 9a</w:t>
      </w:r>
    </w:p>
    <w:p w:rsidR="00DF3712" w:rsidRPr="00395595" w:rsidRDefault="00DF3712" w:rsidP="00DF3712">
      <w:pPr>
        <w:jc w:val="center"/>
        <w:rPr>
          <w:vertAlign w:val="superscript"/>
        </w:rPr>
      </w:pPr>
      <w:r w:rsidRPr="00395595">
        <w:rPr>
          <w:noProof/>
          <w:vertAlign w:val="superscript"/>
        </w:rPr>
        <w:drawing>
          <wp:inline distT="0" distB="0" distL="0" distR="0">
            <wp:extent cx="5605200" cy="396000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00" cy="3960000"/>
                    </a:xfrm>
                    <a:prstGeom prst="rect">
                      <a:avLst/>
                    </a:prstGeom>
                    <a:noFill/>
                    <a:ln>
                      <a:noFill/>
                    </a:ln>
                  </pic:spPr>
                </pic:pic>
              </a:graphicData>
            </a:graphic>
          </wp:inline>
        </w:drawing>
      </w:r>
    </w:p>
    <w:p w:rsidR="00C506AE" w:rsidRPr="00395595" w:rsidRDefault="00C506AE" w:rsidP="00C506AE">
      <w:r w:rsidRPr="00395595">
        <w:rPr>
          <w:vertAlign w:val="superscript"/>
        </w:rPr>
        <w:t>1</w:t>
      </w:r>
      <w:r w:rsidRPr="00395595">
        <w:t>H NMR Spectrum of Compound 9b</w:t>
      </w:r>
    </w:p>
    <w:p w:rsidR="00DF3712" w:rsidRPr="00395595" w:rsidRDefault="00C506AE" w:rsidP="00C506AE">
      <w:pPr>
        <w:jc w:val="center"/>
        <w:rPr>
          <w:vertAlign w:val="superscript"/>
        </w:rPr>
      </w:pPr>
      <w:r w:rsidRPr="00395595">
        <w:rPr>
          <w:noProof/>
          <w:vertAlign w:val="superscript"/>
        </w:rPr>
        <w:drawing>
          <wp:inline distT="0" distB="0" distL="0" distR="0">
            <wp:extent cx="5605200" cy="396000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00" cy="3960000"/>
                    </a:xfrm>
                    <a:prstGeom prst="rect">
                      <a:avLst/>
                    </a:prstGeom>
                    <a:noFill/>
                    <a:ln>
                      <a:noFill/>
                    </a:ln>
                  </pic:spPr>
                </pic:pic>
              </a:graphicData>
            </a:graphic>
          </wp:inline>
        </w:drawing>
      </w:r>
    </w:p>
    <w:p w:rsidR="00C506AE" w:rsidRPr="00395595" w:rsidRDefault="00C506AE" w:rsidP="00C506AE">
      <w:pPr>
        <w:jc w:val="both"/>
      </w:pPr>
      <w:r w:rsidRPr="00395595">
        <w:rPr>
          <w:vertAlign w:val="superscript"/>
        </w:rPr>
        <w:t>13</w:t>
      </w:r>
      <w:r w:rsidRPr="00395595">
        <w:t>C NMR Spectrum of Compound 9b</w:t>
      </w:r>
    </w:p>
    <w:p w:rsidR="00C506AE" w:rsidRPr="00395595" w:rsidRDefault="00C506AE" w:rsidP="00C506AE">
      <w:pPr>
        <w:jc w:val="center"/>
        <w:rPr>
          <w:vertAlign w:val="superscript"/>
        </w:rPr>
      </w:pPr>
      <w:r w:rsidRPr="00395595">
        <w:rPr>
          <w:noProof/>
          <w:vertAlign w:val="superscript"/>
        </w:rPr>
        <w:drawing>
          <wp:inline distT="0" distB="0" distL="0" distR="0">
            <wp:extent cx="5605200" cy="396000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00" cy="3960000"/>
                    </a:xfrm>
                    <a:prstGeom prst="rect">
                      <a:avLst/>
                    </a:prstGeom>
                    <a:noFill/>
                    <a:ln>
                      <a:noFill/>
                    </a:ln>
                  </pic:spPr>
                </pic:pic>
              </a:graphicData>
            </a:graphic>
          </wp:inline>
        </w:drawing>
      </w:r>
    </w:p>
    <w:p w:rsidR="00BA7A73" w:rsidRPr="00395595" w:rsidRDefault="00BA7A73" w:rsidP="00BA7A73">
      <w:r w:rsidRPr="00395595">
        <w:rPr>
          <w:vertAlign w:val="superscript"/>
        </w:rPr>
        <w:t>1</w:t>
      </w:r>
      <w:r w:rsidRPr="00395595">
        <w:t xml:space="preserve">H NMR Spectrum of Compound </w:t>
      </w:r>
      <w:r w:rsidR="00A35176" w:rsidRPr="00395595">
        <w:t>11a</w:t>
      </w:r>
    </w:p>
    <w:p w:rsidR="00BA7A73" w:rsidRPr="00395595" w:rsidRDefault="00A35176" w:rsidP="00BA7A73">
      <w:pPr>
        <w:jc w:val="center"/>
      </w:pPr>
      <w:r w:rsidRPr="00395595">
        <w:rPr>
          <w:noProof/>
        </w:rPr>
        <w:drawing>
          <wp:inline distT="0" distB="0" distL="0" distR="0">
            <wp:extent cx="5605200" cy="396000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9">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00" cy="3960000"/>
                    </a:xfrm>
                    <a:prstGeom prst="rect">
                      <a:avLst/>
                    </a:prstGeom>
                    <a:noFill/>
                    <a:ln>
                      <a:noFill/>
                    </a:ln>
                  </pic:spPr>
                </pic:pic>
              </a:graphicData>
            </a:graphic>
          </wp:inline>
        </w:drawing>
      </w:r>
    </w:p>
    <w:p w:rsidR="00C506AE" w:rsidRPr="00395595" w:rsidRDefault="00C506AE" w:rsidP="00C506AE">
      <w:pPr>
        <w:jc w:val="both"/>
      </w:pPr>
      <w:r w:rsidRPr="00395595">
        <w:rPr>
          <w:vertAlign w:val="superscript"/>
        </w:rPr>
        <w:t>13</w:t>
      </w:r>
      <w:r w:rsidRPr="00395595">
        <w:t>C NMR Spectrum of Compound 11a</w:t>
      </w:r>
    </w:p>
    <w:p w:rsidR="00C506AE" w:rsidRPr="00395595" w:rsidRDefault="00C506AE" w:rsidP="00C506AE">
      <w:pPr>
        <w:jc w:val="center"/>
        <w:rPr>
          <w:vertAlign w:val="superscript"/>
        </w:rPr>
      </w:pPr>
      <w:r w:rsidRPr="00395595">
        <w:rPr>
          <w:noProof/>
        </w:rPr>
        <w:drawing>
          <wp:inline distT="0" distB="0" distL="0" distR="0">
            <wp:extent cx="5601600" cy="396000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BA7A73" w:rsidRPr="00395595" w:rsidRDefault="00BA7A73" w:rsidP="00BA7A73">
      <w:pPr>
        <w:jc w:val="both"/>
      </w:pPr>
      <w:r w:rsidRPr="00395595">
        <w:rPr>
          <w:vertAlign w:val="superscript"/>
        </w:rPr>
        <w:t>1</w:t>
      </w:r>
      <w:r w:rsidR="00205512" w:rsidRPr="00395595">
        <w:t>H</w:t>
      </w:r>
      <w:r w:rsidRPr="00395595">
        <w:t xml:space="preserve"> NMR Spectrum of Compound </w:t>
      </w:r>
      <w:r w:rsidR="00A35176" w:rsidRPr="00395595">
        <w:t>11b</w:t>
      </w:r>
    </w:p>
    <w:p w:rsidR="00BA7A73" w:rsidRPr="00395595" w:rsidRDefault="00A35176" w:rsidP="00BA7A73">
      <w:pPr>
        <w:jc w:val="center"/>
      </w:pPr>
      <w:r w:rsidRPr="00395595">
        <w:rPr>
          <w:noProof/>
        </w:rPr>
        <w:drawing>
          <wp:inline distT="0" distB="0" distL="0" distR="0">
            <wp:extent cx="5601600" cy="396000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3">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BA7A73" w:rsidRPr="00395595" w:rsidRDefault="00205512" w:rsidP="00205512">
      <w:r w:rsidRPr="00395595">
        <w:rPr>
          <w:vertAlign w:val="superscript"/>
        </w:rPr>
        <w:t>13</w:t>
      </w:r>
      <w:r w:rsidRPr="00395595">
        <w:t>C</w:t>
      </w:r>
      <w:r w:rsidR="00BA7A73" w:rsidRPr="00395595">
        <w:t xml:space="preserve"> NMR Spectrum of Compound </w:t>
      </w:r>
      <w:r w:rsidR="00A35176" w:rsidRPr="00395595">
        <w:t>11b</w:t>
      </w:r>
    </w:p>
    <w:p w:rsidR="00BA7A73" w:rsidRPr="00395595" w:rsidRDefault="00C506AE" w:rsidP="00BA7A73">
      <w:pPr>
        <w:jc w:val="center"/>
      </w:pPr>
      <w:r w:rsidRPr="00395595">
        <w:rPr>
          <w:noProof/>
        </w:rPr>
        <w:drawing>
          <wp:inline distT="0" distB="0" distL="0" distR="0">
            <wp:extent cx="5605200" cy="396000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00" cy="3960000"/>
                    </a:xfrm>
                    <a:prstGeom prst="rect">
                      <a:avLst/>
                    </a:prstGeom>
                    <a:noFill/>
                    <a:ln>
                      <a:noFill/>
                    </a:ln>
                  </pic:spPr>
                </pic:pic>
              </a:graphicData>
            </a:graphic>
          </wp:inline>
        </w:drawing>
      </w:r>
    </w:p>
    <w:p w:rsidR="00C506AE" w:rsidRPr="00395595" w:rsidRDefault="00C506AE" w:rsidP="00C506AE">
      <w:pPr>
        <w:jc w:val="both"/>
      </w:pPr>
      <w:r w:rsidRPr="00395595">
        <w:rPr>
          <w:vertAlign w:val="superscript"/>
        </w:rPr>
        <w:t>1</w:t>
      </w:r>
      <w:r w:rsidRPr="00395595">
        <w:t>H NMR Spectrum of Compound 13a</w:t>
      </w:r>
    </w:p>
    <w:p w:rsidR="00C506AE" w:rsidRPr="00395595" w:rsidRDefault="00C506AE" w:rsidP="00C506AE">
      <w:pPr>
        <w:jc w:val="center"/>
        <w:rPr>
          <w:vertAlign w:val="superscript"/>
        </w:rPr>
      </w:pPr>
      <w:r w:rsidRPr="00395595">
        <w:rPr>
          <w:noProof/>
          <w:vertAlign w:val="superscript"/>
        </w:rPr>
        <w:drawing>
          <wp:inline distT="0" distB="0" distL="0" distR="0">
            <wp:extent cx="5605200" cy="396000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00" cy="3960000"/>
                    </a:xfrm>
                    <a:prstGeom prst="rect">
                      <a:avLst/>
                    </a:prstGeom>
                    <a:noFill/>
                    <a:ln>
                      <a:noFill/>
                    </a:ln>
                  </pic:spPr>
                </pic:pic>
              </a:graphicData>
            </a:graphic>
          </wp:inline>
        </w:drawing>
      </w:r>
    </w:p>
    <w:p w:rsidR="00C506AE" w:rsidRPr="00395595" w:rsidRDefault="00C506AE" w:rsidP="00C506AE">
      <w:pPr>
        <w:jc w:val="both"/>
      </w:pPr>
      <w:r w:rsidRPr="00395595">
        <w:rPr>
          <w:vertAlign w:val="superscript"/>
        </w:rPr>
        <w:t>13</w:t>
      </w:r>
      <w:r w:rsidRPr="00395595">
        <w:t>C NMR Spectrum of Compound 13a</w:t>
      </w:r>
    </w:p>
    <w:p w:rsidR="00C506AE" w:rsidRPr="00395595" w:rsidRDefault="00C506AE" w:rsidP="00C506AE">
      <w:pPr>
        <w:jc w:val="center"/>
        <w:rPr>
          <w:vertAlign w:val="superscript"/>
        </w:rPr>
      </w:pPr>
      <w:r w:rsidRPr="00395595">
        <w:rPr>
          <w:noProof/>
          <w:vertAlign w:val="superscript"/>
        </w:rPr>
        <w:drawing>
          <wp:inline distT="0" distB="0" distL="0" distR="0">
            <wp:extent cx="5605200" cy="396000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00" cy="3960000"/>
                    </a:xfrm>
                    <a:prstGeom prst="rect">
                      <a:avLst/>
                    </a:prstGeom>
                    <a:noFill/>
                    <a:ln>
                      <a:noFill/>
                    </a:ln>
                  </pic:spPr>
                </pic:pic>
              </a:graphicData>
            </a:graphic>
          </wp:inline>
        </w:drawing>
      </w:r>
    </w:p>
    <w:p w:rsidR="00BA7A73" w:rsidRPr="00395595" w:rsidRDefault="00BA7A73" w:rsidP="00BA7A73">
      <w:pPr>
        <w:jc w:val="both"/>
      </w:pPr>
      <w:r w:rsidRPr="00395595">
        <w:rPr>
          <w:vertAlign w:val="superscript"/>
        </w:rPr>
        <w:t>1</w:t>
      </w:r>
      <w:r w:rsidR="00D249FA" w:rsidRPr="00395595">
        <w:t>H</w:t>
      </w:r>
      <w:r w:rsidRPr="00395595">
        <w:t xml:space="preserve"> NMR Spectrum of Compound </w:t>
      </w:r>
      <w:r w:rsidR="00A35176" w:rsidRPr="00395595">
        <w:t>13b</w:t>
      </w:r>
    </w:p>
    <w:p w:rsidR="00BA7A73" w:rsidRPr="00395595" w:rsidRDefault="00A35176" w:rsidP="00BA7A73">
      <w:pPr>
        <w:jc w:val="center"/>
      </w:pPr>
      <w:r w:rsidRPr="00395595">
        <w:rPr>
          <w:noProof/>
        </w:rPr>
        <w:drawing>
          <wp:inline distT="0" distB="0" distL="0" distR="0">
            <wp:extent cx="5558400" cy="3960000"/>
            <wp:effectExtent l="0" t="0" r="444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8">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8400" cy="3960000"/>
                    </a:xfrm>
                    <a:prstGeom prst="rect">
                      <a:avLst/>
                    </a:prstGeom>
                    <a:noFill/>
                    <a:ln>
                      <a:noFill/>
                    </a:ln>
                  </pic:spPr>
                </pic:pic>
              </a:graphicData>
            </a:graphic>
          </wp:inline>
        </w:drawing>
      </w:r>
    </w:p>
    <w:p w:rsidR="00BA7A73" w:rsidRPr="00395595" w:rsidRDefault="00BA7A73" w:rsidP="00BA7A73">
      <w:pPr>
        <w:jc w:val="both"/>
      </w:pPr>
      <w:r w:rsidRPr="00395595">
        <w:rPr>
          <w:vertAlign w:val="superscript"/>
        </w:rPr>
        <w:t>13</w:t>
      </w:r>
      <w:r w:rsidRPr="00395595">
        <w:t xml:space="preserve">C NMR Spectrum of Compound </w:t>
      </w:r>
      <w:r w:rsidR="00EF624F" w:rsidRPr="00395595">
        <w:t>1</w:t>
      </w:r>
      <w:r w:rsidR="00A35176" w:rsidRPr="00395595">
        <w:t>3b</w:t>
      </w:r>
    </w:p>
    <w:p w:rsidR="00BA7A73" w:rsidRPr="00395595" w:rsidRDefault="00A35176" w:rsidP="00BA7A73">
      <w:pPr>
        <w:jc w:val="center"/>
      </w:pPr>
      <w:r w:rsidRPr="00395595">
        <w:rPr>
          <w:noProof/>
        </w:rPr>
        <w:drawing>
          <wp:inline distT="0" distB="0" distL="0" distR="0">
            <wp:extent cx="5601600" cy="396000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BA7A73" w:rsidRPr="00395595" w:rsidRDefault="00BA7A73" w:rsidP="00BA7A73">
      <w:r w:rsidRPr="00395595">
        <w:rPr>
          <w:vertAlign w:val="superscript"/>
        </w:rPr>
        <w:t>1</w:t>
      </w:r>
      <w:r w:rsidRPr="00395595">
        <w:t xml:space="preserve">H NMR Spectrum of Compound </w:t>
      </w:r>
      <w:r w:rsidR="00EF624F" w:rsidRPr="00395595">
        <w:t>1</w:t>
      </w:r>
      <w:r w:rsidR="00A35176" w:rsidRPr="00395595">
        <w:t>5a</w:t>
      </w:r>
    </w:p>
    <w:p w:rsidR="00BA7A73" w:rsidRPr="00395595" w:rsidRDefault="00503128" w:rsidP="00BA7A73">
      <w:pPr>
        <w:jc w:val="center"/>
      </w:pPr>
      <w:r w:rsidRPr="00395595">
        <w:rPr>
          <w:noProof/>
        </w:rPr>
        <w:drawing>
          <wp:inline distT="0" distB="0" distL="0" distR="0">
            <wp:extent cx="5601600" cy="39600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2">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BA7A73" w:rsidRPr="00395595" w:rsidRDefault="00BA7A73" w:rsidP="00BA7A73">
      <w:pPr>
        <w:jc w:val="both"/>
      </w:pPr>
      <w:r w:rsidRPr="00395595">
        <w:rPr>
          <w:vertAlign w:val="superscript"/>
        </w:rPr>
        <w:t>13</w:t>
      </w:r>
      <w:r w:rsidRPr="00395595">
        <w:t xml:space="preserve">C NMR Spectrum of Compound </w:t>
      </w:r>
      <w:r w:rsidR="00EF624F" w:rsidRPr="00395595">
        <w:t>1</w:t>
      </w:r>
      <w:r w:rsidR="000552E2" w:rsidRPr="00395595">
        <w:t>5a</w:t>
      </w:r>
    </w:p>
    <w:p w:rsidR="00BA7A73" w:rsidRPr="00395595" w:rsidRDefault="000552E2" w:rsidP="00BA7A73">
      <w:pPr>
        <w:jc w:val="center"/>
      </w:pPr>
      <w:r w:rsidRPr="00395595">
        <w:rPr>
          <w:noProof/>
        </w:rPr>
        <w:drawing>
          <wp:inline distT="0" distB="0" distL="0" distR="0">
            <wp:extent cx="5601600" cy="396000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4">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BA7A73" w:rsidRPr="00395595" w:rsidRDefault="00BA7A73" w:rsidP="00BA7A73">
      <w:r w:rsidRPr="00395595">
        <w:rPr>
          <w:vertAlign w:val="superscript"/>
        </w:rPr>
        <w:t>1</w:t>
      </w:r>
      <w:r w:rsidRPr="00395595">
        <w:t xml:space="preserve">H NMR Spectrum of Compound </w:t>
      </w:r>
      <w:r w:rsidR="00EF624F" w:rsidRPr="00395595">
        <w:t>1</w:t>
      </w:r>
      <w:r w:rsidR="000552E2" w:rsidRPr="00395595">
        <w:t>5b</w:t>
      </w:r>
    </w:p>
    <w:p w:rsidR="00BA7A73" w:rsidRPr="00395595" w:rsidRDefault="000552E2" w:rsidP="00BA7A73">
      <w:pPr>
        <w:jc w:val="center"/>
      </w:pPr>
      <w:r w:rsidRPr="00395595">
        <w:rPr>
          <w:noProof/>
        </w:rPr>
        <w:drawing>
          <wp:inline distT="0" distB="0" distL="0" distR="0">
            <wp:extent cx="5601600" cy="396000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6">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C506AE" w:rsidRPr="00395595" w:rsidRDefault="00C506AE" w:rsidP="00C506AE">
      <w:r w:rsidRPr="00395595">
        <w:rPr>
          <w:vertAlign w:val="superscript"/>
        </w:rPr>
        <w:t>13</w:t>
      </w:r>
      <w:r w:rsidRPr="00395595">
        <w:t>C NMR Spectrum of Compound 15b</w:t>
      </w:r>
    </w:p>
    <w:p w:rsidR="00C506AE" w:rsidRPr="00395595" w:rsidRDefault="001D481D" w:rsidP="001D481D">
      <w:pPr>
        <w:jc w:val="center"/>
        <w:rPr>
          <w:vertAlign w:val="superscript"/>
        </w:rPr>
      </w:pPr>
      <w:r w:rsidRPr="00395595">
        <w:rPr>
          <w:noProof/>
          <w:vertAlign w:val="superscript"/>
        </w:rPr>
        <w:drawing>
          <wp:inline distT="0" distB="0" distL="0" distR="0">
            <wp:extent cx="5605200" cy="396000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00" cy="3960000"/>
                    </a:xfrm>
                    <a:prstGeom prst="rect">
                      <a:avLst/>
                    </a:prstGeom>
                    <a:noFill/>
                    <a:ln>
                      <a:noFill/>
                    </a:ln>
                  </pic:spPr>
                </pic:pic>
              </a:graphicData>
            </a:graphic>
          </wp:inline>
        </w:drawing>
      </w:r>
    </w:p>
    <w:p w:rsidR="00BA7A73" w:rsidRPr="00395595" w:rsidRDefault="00BA7A73" w:rsidP="00BA7A73">
      <w:pPr>
        <w:jc w:val="both"/>
      </w:pPr>
      <w:r w:rsidRPr="00395595">
        <w:rPr>
          <w:vertAlign w:val="superscript"/>
        </w:rPr>
        <w:t>1</w:t>
      </w:r>
      <w:r w:rsidR="00EF624F" w:rsidRPr="00395595">
        <w:t>H</w:t>
      </w:r>
      <w:r w:rsidRPr="00395595">
        <w:t xml:space="preserve"> NMR Spectrum of Compound </w:t>
      </w:r>
      <w:r w:rsidR="00EF624F" w:rsidRPr="00395595">
        <w:t>1</w:t>
      </w:r>
      <w:r w:rsidR="000552E2" w:rsidRPr="00395595">
        <w:t>7</w:t>
      </w:r>
      <w:r w:rsidR="00EF624F" w:rsidRPr="00395595">
        <w:t>a</w:t>
      </w:r>
    </w:p>
    <w:p w:rsidR="00BA7A73" w:rsidRPr="00395595" w:rsidRDefault="000552E2" w:rsidP="00BA7A73">
      <w:pPr>
        <w:jc w:val="center"/>
      </w:pPr>
      <w:r w:rsidRPr="00395595">
        <w:rPr>
          <w:noProof/>
        </w:rPr>
        <w:drawing>
          <wp:inline distT="0" distB="0" distL="0" distR="0">
            <wp:extent cx="5601600" cy="396000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9">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1D481D" w:rsidRPr="00395595" w:rsidRDefault="001D481D" w:rsidP="001D481D">
      <w:r w:rsidRPr="00395595">
        <w:rPr>
          <w:vertAlign w:val="superscript"/>
        </w:rPr>
        <w:t>13</w:t>
      </w:r>
      <w:r w:rsidRPr="00395595">
        <w:t>C NMR Spectrum of Compound 17a</w:t>
      </w:r>
    </w:p>
    <w:p w:rsidR="001D481D" w:rsidRPr="00395595" w:rsidRDefault="001D481D" w:rsidP="001D481D">
      <w:pPr>
        <w:jc w:val="center"/>
        <w:rPr>
          <w:vertAlign w:val="superscript"/>
        </w:rPr>
      </w:pPr>
      <w:r w:rsidRPr="00395595">
        <w:rPr>
          <w:noProof/>
          <w:vertAlign w:val="superscript"/>
        </w:rPr>
        <w:drawing>
          <wp:inline distT="0" distB="0" distL="0" distR="0">
            <wp:extent cx="5605200" cy="396000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00" cy="3960000"/>
                    </a:xfrm>
                    <a:prstGeom prst="rect">
                      <a:avLst/>
                    </a:prstGeom>
                    <a:noFill/>
                    <a:ln>
                      <a:noFill/>
                    </a:ln>
                  </pic:spPr>
                </pic:pic>
              </a:graphicData>
            </a:graphic>
          </wp:inline>
        </w:drawing>
      </w:r>
    </w:p>
    <w:p w:rsidR="00BA7A73" w:rsidRPr="00395595" w:rsidRDefault="00BA7A73" w:rsidP="00BA7A73">
      <w:pPr>
        <w:jc w:val="both"/>
      </w:pPr>
      <w:r w:rsidRPr="00395595">
        <w:rPr>
          <w:vertAlign w:val="superscript"/>
        </w:rPr>
        <w:t>1</w:t>
      </w:r>
      <w:r w:rsidR="00EF624F" w:rsidRPr="00395595">
        <w:t>H</w:t>
      </w:r>
      <w:r w:rsidRPr="00395595">
        <w:t xml:space="preserve"> NMR Spectrum of Compound </w:t>
      </w:r>
      <w:r w:rsidR="00C46C2E" w:rsidRPr="00395595">
        <w:t>1</w:t>
      </w:r>
      <w:r w:rsidR="00B34D0E" w:rsidRPr="00395595">
        <w:t>7</w:t>
      </w:r>
      <w:r w:rsidR="00EF624F" w:rsidRPr="00395595">
        <w:t>b</w:t>
      </w:r>
    </w:p>
    <w:p w:rsidR="00BA7A73" w:rsidRPr="00395595" w:rsidRDefault="00503128" w:rsidP="00BA7A73">
      <w:pPr>
        <w:jc w:val="center"/>
      </w:pPr>
      <w:r w:rsidRPr="00395595">
        <w:rPr>
          <w:noProof/>
        </w:rPr>
        <w:drawing>
          <wp:inline distT="0" distB="0" distL="0" distR="0">
            <wp:extent cx="5601600" cy="39600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2">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BA7A73" w:rsidRPr="00395595" w:rsidRDefault="00EF624F" w:rsidP="00BA7A73">
      <w:r w:rsidRPr="00395595">
        <w:rPr>
          <w:vertAlign w:val="superscript"/>
        </w:rPr>
        <w:t>13</w:t>
      </w:r>
      <w:r w:rsidRPr="00395595">
        <w:t>C</w:t>
      </w:r>
      <w:r w:rsidR="00BA7A73" w:rsidRPr="00395595">
        <w:t xml:space="preserve"> NMR Spectrum of Compound </w:t>
      </w:r>
      <w:r w:rsidR="00C46C2E" w:rsidRPr="00395595">
        <w:t>1</w:t>
      </w:r>
      <w:r w:rsidR="00B34D0E" w:rsidRPr="00395595">
        <w:t>7</w:t>
      </w:r>
      <w:r w:rsidR="00C46C2E" w:rsidRPr="00395595">
        <w:t>b</w:t>
      </w:r>
    </w:p>
    <w:p w:rsidR="00BA7A73" w:rsidRPr="00395595" w:rsidRDefault="00B34D0E" w:rsidP="00040B6A">
      <w:pPr>
        <w:jc w:val="center"/>
      </w:pPr>
      <w:r w:rsidRPr="00395595">
        <w:rPr>
          <w:noProof/>
        </w:rPr>
        <w:drawing>
          <wp:inline distT="0" distB="0" distL="0" distR="0">
            <wp:extent cx="5601600" cy="396000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4">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BA7A73" w:rsidRPr="00395595" w:rsidRDefault="00BA7A73" w:rsidP="00BA7A73">
      <w:pPr>
        <w:jc w:val="both"/>
      </w:pPr>
      <w:r w:rsidRPr="00395595">
        <w:rPr>
          <w:vertAlign w:val="superscript"/>
        </w:rPr>
        <w:t>1</w:t>
      </w:r>
      <w:r w:rsidR="00FE0784" w:rsidRPr="00395595">
        <w:t>H</w:t>
      </w:r>
      <w:r w:rsidRPr="00395595">
        <w:t xml:space="preserve"> NMR Spectrum of Compound </w:t>
      </w:r>
      <w:r w:rsidR="00C46C2E" w:rsidRPr="00395595">
        <w:t>1</w:t>
      </w:r>
      <w:r w:rsidR="00B34D0E" w:rsidRPr="00395595">
        <w:t>8</w:t>
      </w:r>
    </w:p>
    <w:p w:rsidR="00BA7A73" w:rsidRPr="00395595" w:rsidRDefault="00B34D0E" w:rsidP="00BA7A73">
      <w:pPr>
        <w:jc w:val="center"/>
      </w:pPr>
      <w:r w:rsidRPr="00395595">
        <w:rPr>
          <w:noProof/>
        </w:rPr>
        <w:drawing>
          <wp:inline distT="0" distB="0" distL="0" distR="0">
            <wp:extent cx="5601600" cy="396000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6">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BA7A73" w:rsidRPr="00395595" w:rsidRDefault="00BA7A73" w:rsidP="00BA7A73">
      <w:r w:rsidRPr="00395595">
        <w:rPr>
          <w:vertAlign w:val="superscript"/>
        </w:rPr>
        <w:t>1</w:t>
      </w:r>
      <w:r w:rsidR="003A60AC" w:rsidRPr="00395595">
        <w:rPr>
          <w:vertAlign w:val="superscript"/>
        </w:rPr>
        <w:t>3</w:t>
      </w:r>
      <w:r w:rsidR="003A60AC" w:rsidRPr="00395595">
        <w:t>C</w:t>
      </w:r>
      <w:r w:rsidRPr="00395595">
        <w:t xml:space="preserve"> NMR Spectrum of Compound </w:t>
      </w:r>
      <w:r w:rsidR="00D90226" w:rsidRPr="00395595">
        <w:t>1</w:t>
      </w:r>
      <w:r w:rsidR="00B34D0E" w:rsidRPr="00395595">
        <w:t>8</w:t>
      </w:r>
    </w:p>
    <w:p w:rsidR="00BA7A73" w:rsidRPr="00395595" w:rsidRDefault="00B34D0E" w:rsidP="00BA7A73">
      <w:pPr>
        <w:jc w:val="center"/>
      </w:pPr>
      <w:r w:rsidRPr="00395595">
        <w:rPr>
          <w:noProof/>
        </w:rPr>
        <w:drawing>
          <wp:inline distT="0" distB="0" distL="0" distR="0">
            <wp:extent cx="5601600" cy="396000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8">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BA7A73" w:rsidRPr="00395595" w:rsidRDefault="00BA7A73" w:rsidP="00BA7A73">
      <w:pPr>
        <w:jc w:val="both"/>
      </w:pPr>
      <w:r w:rsidRPr="00395595">
        <w:rPr>
          <w:vertAlign w:val="superscript"/>
        </w:rPr>
        <w:t>1</w:t>
      </w:r>
      <w:r w:rsidR="00FE0784" w:rsidRPr="00395595">
        <w:t>H</w:t>
      </w:r>
      <w:r w:rsidRPr="00395595">
        <w:t xml:space="preserve"> NMR Spectrum of Compound </w:t>
      </w:r>
      <w:r w:rsidR="00D90226" w:rsidRPr="00395595">
        <w:t>1</w:t>
      </w:r>
      <w:r w:rsidR="00B34D0E" w:rsidRPr="00395595">
        <w:t>9</w:t>
      </w:r>
    </w:p>
    <w:p w:rsidR="00BA7A73" w:rsidRPr="00395595" w:rsidRDefault="00B34D0E" w:rsidP="00BA7A73">
      <w:pPr>
        <w:jc w:val="center"/>
      </w:pPr>
      <w:r w:rsidRPr="00395595">
        <w:rPr>
          <w:noProof/>
        </w:rPr>
        <w:drawing>
          <wp:inline distT="0" distB="0" distL="0" distR="0">
            <wp:extent cx="5601600" cy="396000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BA7A73" w:rsidRPr="00395595" w:rsidRDefault="00B34D0E" w:rsidP="00BA7A73">
      <w:r w:rsidRPr="00395595">
        <w:rPr>
          <w:vertAlign w:val="superscript"/>
        </w:rPr>
        <w:t>13</w:t>
      </w:r>
      <w:r w:rsidRPr="00395595">
        <w:t>C</w:t>
      </w:r>
      <w:r w:rsidR="00BA7A73" w:rsidRPr="00395595">
        <w:t xml:space="preserve"> NMR Spectrum of Compound </w:t>
      </w:r>
      <w:r w:rsidR="00D90226" w:rsidRPr="00395595">
        <w:t>1</w:t>
      </w:r>
      <w:r w:rsidRPr="00395595">
        <w:t>9</w:t>
      </w:r>
    </w:p>
    <w:p w:rsidR="00BA7A73" w:rsidRPr="00395595" w:rsidRDefault="00B34D0E" w:rsidP="00BA7A73">
      <w:pPr>
        <w:jc w:val="center"/>
      </w:pPr>
      <w:r w:rsidRPr="00395595">
        <w:rPr>
          <w:noProof/>
        </w:rPr>
        <w:drawing>
          <wp:inline distT="0" distB="0" distL="0" distR="0">
            <wp:extent cx="5601600" cy="396000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2">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BA7A73" w:rsidRPr="00395595" w:rsidRDefault="00BA7A73" w:rsidP="00BA7A73">
      <w:pPr>
        <w:jc w:val="both"/>
      </w:pPr>
      <w:r w:rsidRPr="00395595">
        <w:rPr>
          <w:vertAlign w:val="superscript"/>
        </w:rPr>
        <w:t>1</w:t>
      </w:r>
      <w:r w:rsidR="00FE0784" w:rsidRPr="00395595">
        <w:t>H</w:t>
      </w:r>
      <w:r w:rsidRPr="00395595">
        <w:t xml:space="preserve"> NMR Spectrum of Compound </w:t>
      </w:r>
      <w:r w:rsidR="00B34D0E" w:rsidRPr="00395595">
        <w:t>20</w:t>
      </w:r>
    </w:p>
    <w:p w:rsidR="00BA7A73" w:rsidRPr="00395595" w:rsidRDefault="00B34D0E" w:rsidP="00BA7A73">
      <w:pPr>
        <w:jc w:val="center"/>
      </w:pPr>
      <w:r w:rsidRPr="00395595">
        <w:rPr>
          <w:noProof/>
        </w:rPr>
        <w:drawing>
          <wp:inline distT="0" distB="0" distL="0" distR="0">
            <wp:extent cx="5601600" cy="396000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4">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1D481D" w:rsidRPr="00395595" w:rsidRDefault="001D481D" w:rsidP="001D481D">
      <w:r w:rsidRPr="00395595">
        <w:rPr>
          <w:vertAlign w:val="superscript"/>
        </w:rPr>
        <w:t>13</w:t>
      </w:r>
      <w:r w:rsidRPr="00395595">
        <w:t>C NMR Spectrum of Compound 20</w:t>
      </w:r>
    </w:p>
    <w:p w:rsidR="001D481D" w:rsidRPr="00395595" w:rsidRDefault="001D481D" w:rsidP="001D481D">
      <w:pPr>
        <w:jc w:val="center"/>
        <w:rPr>
          <w:vertAlign w:val="superscript"/>
        </w:rPr>
      </w:pPr>
      <w:r w:rsidRPr="00395595">
        <w:rPr>
          <w:noProof/>
          <w:vertAlign w:val="superscript"/>
        </w:rPr>
        <w:drawing>
          <wp:inline distT="0" distB="0" distL="0" distR="0">
            <wp:extent cx="5605200" cy="396000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00" cy="3960000"/>
                    </a:xfrm>
                    <a:prstGeom prst="rect">
                      <a:avLst/>
                    </a:prstGeom>
                    <a:noFill/>
                    <a:ln>
                      <a:noFill/>
                    </a:ln>
                  </pic:spPr>
                </pic:pic>
              </a:graphicData>
            </a:graphic>
          </wp:inline>
        </w:drawing>
      </w:r>
    </w:p>
    <w:p w:rsidR="00BA7A73" w:rsidRPr="00395595" w:rsidRDefault="00BA7A73" w:rsidP="00BA7A73">
      <w:pPr>
        <w:jc w:val="both"/>
      </w:pPr>
      <w:r w:rsidRPr="00395595">
        <w:rPr>
          <w:vertAlign w:val="superscript"/>
        </w:rPr>
        <w:t>1</w:t>
      </w:r>
      <w:r w:rsidR="00FE0784" w:rsidRPr="00395595">
        <w:t>H</w:t>
      </w:r>
      <w:r w:rsidRPr="00395595">
        <w:t xml:space="preserve"> NMR Spectrum of Compound </w:t>
      </w:r>
      <w:r w:rsidR="00B34D0E" w:rsidRPr="00395595">
        <w:t>21</w:t>
      </w:r>
    </w:p>
    <w:p w:rsidR="00BA7A73" w:rsidRPr="00395595" w:rsidRDefault="00B34D0E" w:rsidP="00BA7A73">
      <w:pPr>
        <w:jc w:val="center"/>
      </w:pPr>
      <w:r w:rsidRPr="00395595">
        <w:rPr>
          <w:noProof/>
        </w:rPr>
        <w:drawing>
          <wp:inline distT="0" distB="0" distL="0" distR="0">
            <wp:extent cx="5601600" cy="396000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7">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BA7A73" w:rsidRPr="00395595" w:rsidRDefault="00FE0784" w:rsidP="00BA7A73">
      <w:r w:rsidRPr="00395595">
        <w:rPr>
          <w:vertAlign w:val="superscript"/>
        </w:rPr>
        <w:t>13</w:t>
      </w:r>
      <w:r w:rsidRPr="00395595">
        <w:t>C</w:t>
      </w:r>
      <w:r w:rsidR="00BA7A73" w:rsidRPr="00395595">
        <w:t xml:space="preserve"> NMR Spectrum of Compound </w:t>
      </w:r>
      <w:r w:rsidR="00B34D0E" w:rsidRPr="00395595">
        <w:t>21</w:t>
      </w:r>
    </w:p>
    <w:p w:rsidR="00BA7A73" w:rsidRPr="00395595" w:rsidRDefault="00B34D0E" w:rsidP="00BA7A73">
      <w:pPr>
        <w:jc w:val="center"/>
      </w:pPr>
      <w:r w:rsidRPr="00395595">
        <w:rPr>
          <w:noProof/>
        </w:rPr>
        <w:drawing>
          <wp:inline distT="0" distB="0" distL="0" distR="0">
            <wp:extent cx="5601600" cy="396000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9">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BA7A73" w:rsidRPr="00395595" w:rsidRDefault="00BA7A73" w:rsidP="00BA7A73">
      <w:pPr>
        <w:jc w:val="both"/>
      </w:pPr>
      <w:r w:rsidRPr="00395595">
        <w:rPr>
          <w:vertAlign w:val="superscript"/>
        </w:rPr>
        <w:t>1</w:t>
      </w:r>
      <w:r w:rsidR="00FE0784" w:rsidRPr="00395595">
        <w:t>H</w:t>
      </w:r>
      <w:r w:rsidRPr="00395595">
        <w:t xml:space="preserve"> NMR Spectrum of Compound </w:t>
      </w:r>
      <w:r w:rsidR="00B34D0E" w:rsidRPr="00395595">
        <w:t>22</w:t>
      </w:r>
    </w:p>
    <w:p w:rsidR="00FE0784" w:rsidRPr="00395595" w:rsidRDefault="00B34D0E" w:rsidP="00B34D0E">
      <w:pPr>
        <w:jc w:val="center"/>
      </w:pPr>
      <w:r w:rsidRPr="00395595">
        <w:rPr>
          <w:noProof/>
        </w:rPr>
        <w:drawing>
          <wp:inline distT="0" distB="0" distL="0" distR="0">
            <wp:extent cx="5601600" cy="396000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61">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FE0784" w:rsidRPr="00395595" w:rsidRDefault="00B34D0E" w:rsidP="00FE0784">
      <w:pPr>
        <w:jc w:val="both"/>
      </w:pPr>
      <w:r w:rsidRPr="00395595">
        <w:rPr>
          <w:vertAlign w:val="superscript"/>
        </w:rPr>
        <w:t>13</w:t>
      </w:r>
      <w:r w:rsidRPr="00395595">
        <w:t>C</w:t>
      </w:r>
      <w:r w:rsidR="00FE0784" w:rsidRPr="00395595">
        <w:t xml:space="preserve"> NMR Spectrum of Compound </w:t>
      </w:r>
      <w:r w:rsidRPr="00395595">
        <w:t>22</w:t>
      </w:r>
    </w:p>
    <w:p w:rsidR="00FE0784" w:rsidRPr="00395595" w:rsidRDefault="00B34D0E" w:rsidP="00B34D0E">
      <w:pPr>
        <w:jc w:val="center"/>
      </w:pPr>
      <w:r w:rsidRPr="00395595">
        <w:rPr>
          <w:noProof/>
        </w:rPr>
        <w:drawing>
          <wp:inline distT="0" distB="0" distL="0" distR="0">
            <wp:extent cx="5601600" cy="396000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63">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600" cy="3960000"/>
                    </a:xfrm>
                    <a:prstGeom prst="rect">
                      <a:avLst/>
                    </a:prstGeom>
                    <a:noFill/>
                    <a:ln>
                      <a:noFill/>
                    </a:ln>
                  </pic:spPr>
                </pic:pic>
              </a:graphicData>
            </a:graphic>
          </wp:inline>
        </w:drawing>
      </w:r>
    </w:p>
    <w:p w:rsidR="00DC64EF" w:rsidRPr="00395595" w:rsidRDefault="00DC64EF" w:rsidP="00DC64EF">
      <w:pPr>
        <w:autoSpaceDE w:val="0"/>
        <w:autoSpaceDN w:val="0"/>
        <w:adjustRightInd w:val="0"/>
        <w:spacing w:line="360" w:lineRule="auto"/>
        <w:rPr>
          <w:rFonts w:ascii="Times New Roman" w:hAnsi="Times New Roman" w:cs="Times New Roman"/>
          <w:sz w:val="24"/>
          <w:szCs w:val="24"/>
        </w:rPr>
      </w:pPr>
      <w:r w:rsidRPr="00395595">
        <w:rPr>
          <w:rFonts w:ascii="Times New Roman" w:hAnsi="Times New Roman" w:cs="Times New Roman"/>
          <w:sz w:val="24"/>
          <w:szCs w:val="24"/>
        </w:rPr>
        <w:t xml:space="preserve">The 2D and 3D ligand interactions of </w:t>
      </w:r>
      <w:r w:rsidRPr="00395595">
        <w:rPr>
          <w:rFonts w:ascii="Times New Roman" w:hAnsi="Times New Roman" w:cs="Times New Roman"/>
          <w:b/>
          <w:bCs/>
          <w:sz w:val="24"/>
          <w:szCs w:val="24"/>
        </w:rPr>
        <w:t>9a</w:t>
      </w:r>
      <w:r w:rsidRPr="00395595">
        <w:rPr>
          <w:rFonts w:ascii="Times New Roman" w:hAnsi="Times New Roman" w:cs="Times New Roman"/>
          <w:sz w:val="24"/>
          <w:szCs w:val="24"/>
        </w:rPr>
        <w:t xml:space="preserve"> with</w:t>
      </w:r>
      <w:r w:rsidRPr="00395595">
        <w:rPr>
          <w:rFonts w:asciiTheme="majorBidi" w:eastAsia="Times New Roman" w:hAnsiTheme="majorBidi" w:cstheme="majorBidi"/>
          <w:kern w:val="1"/>
          <w:sz w:val="24"/>
          <w:szCs w:val="24"/>
          <w:lang w:eastAsia="ar-SA"/>
        </w:rPr>
        <w:t xml:space="preserve"> </w:t>
      </w:r>
      <w:r w:rsidRPr="00395595">
        <w:rPr>
          <w:rFonts w:ascii="Times New Roman" w:eastAsia="Calibri" w:hAnsi="Times New Roman" w:cs="Times New Roman"/>
          <w:sz w:val="24"/>
          <w:szCs w:val="24"/>
        </w:rPr>
        <w:t xml:space="preserve">pim-1 kinase </w:t>
      </w:r>
      <w:r w:rsidRPr="00395595">
        <w:rPr>
          <w:rFonts w:ascii="Times New Roman" w:hAnsi="Times New Roman" w:cs="Times New Roman"/>
          <w:sz w:val="24"/>
          <w:szCs w:val="24"/>
        </w:rPr>
        <w:t>(2OBJ).</w:t>
      </w:r>
    </w:p>
    <w:p w:rsidR="00AE2E4D" w:rsidRPr="00395595" w:rsidRDefault="00DC64EF" w:rsidP="00DC64EF">
      <w:r w:rsidRPr="00395595">
        <w:rPr>
          <w:noProof/>
        </w:rPr>
        <w:drawing>
          <wp:inline distT="0" distB="0" distL="0" distR="0">
            <wp:extent cx="2880000" cy="245393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453931"/>
                    </a:xfrm>
                    <a:prstGeom prst="rect">
                      <a:avLst/>
                    </a:prstGeom>
                    <a:noFill/>
                    <a:ln>
                      <a:noFill/>
                    </a:ln>
                  </pic:spPr>
                </pic:pic>
              </a:graphicData>
            </a:graphic>
          </wp:inline>
        </w:drawing>
      </w:r>
      <w:r w:rsidRPr="00395595">
        <w:t xml:space="preserve">          </w:t>
      </w:r>
      <w:r w:rsidRPr="00395595">
        <w:rPr>
          <w:noProof/>
        </w:rPr>
        <w:drawing>
          <wp:inline distT="0" distB="0" distL="0" distR="0">
            <wp:extent cx="2880000" cy="28010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801096"/>
                    </a:xfrm>
                    <a:prstGeom prst="rect">
                      <a:avLst/>
                    </a:prstGeom>
                    <a:noFill/>
                    <a:ln>
                      <a:noFill/>
                    </a:ln>
                  </pic:spPr>
                </pic:pic>
              </a:graphicData>
            </a:graphic>
          </wp:inline>
        </w:drawing>
      </w:r>
      <w:r w:rsidRPr="00395595">
        <w:t xml:space="preserve">                </w:t>
      </w:r>
    </w:p>
    <w:p w:rsidR="00DC64EF" w:rsidRPr="00395595" w:rsidRDefault="00DC64EF" w:rsidP="00DC64EF">
      <w:pPr>
        <w:rPr>
          <w:rFonts w:ascii="Times New Roman" w:hAnsi="Times New Roman" w:cs="Times New Roman"/>
          <w:sz w:val="24"/>
          <w:szCs w:val="24"/>
        </w:rPr>
      </w:pPr>
    </w:p>
    <w:p w:rsidR="00DC64EF" w:rsidRPr="00395595" w:rsidRDefault="00DC64EF" w:rsidP="00DC64EF">
      <w:pPr>
        <w:rPr>
          <w:rFonts w:ascii="Times New Roman" w:hAnsi="Times New Roman" w:cs="Times New Roman"/>
          <w:sz w:val="24"/>
          <w:szCs w:val="24"/>
        </w:rPr>
      </w:pPr>
    </w:p>
    <w:p w:rsidR="00201F51" w:rsidRPr="00395595" w:rsidRDefault="00DC64EF" w:rsidP="00DC64EF">
      <w:r w:rsidRPr="00395595">
        <w:rPr>
          <w:rFonts w:ascii="Times New Roman" w:hAnsi="Times New Roman" w:cs="Times New Roman"/>
          <w:sz w:val="24"/>
          <w:szCs w:val="24"/>
        </w:rPr>
        <w:t xml:space="preserve">The 2D and 3D ligand interactions of </w:t>
      </w:r>
      <w:r w:rsidRPr="00395595">
        <w:rPr>
          <w:rFonts w:ascii="Times New Roman" w:hAnsi="Times New Roman" w:cs="Times New Roman"/>
          <w:b/>
          <w:bCs/>
          <w:sz w:val="24"/>
          <w:szCs w:val="24"/>
        </w:rPr>
        <w:t>9b</w:t>
      </w:r>
      <w:r w:rsidRPr="00395595">
        <w:rPr>
          <w:rFonts w:ascii="Times New Roman" w:hAnsi="Times New Roman" w:cs="Times New Roman"/>
          <w:sz w:val="24"/>
          <w:szCs w:val="24"/>
        </w:rPr>
        <w:t xml:space="preserve"> with</w:t>
      </w:r>
      <w:r w:rsidRPr="00395595">
        <w:rPr>
          <w:rFonts w:asciiTheme="majorBidi" w:eastAsia="Times New Roman" w:hAnsiTheme="majorBidi" w:cstheme="majorBidi"/>
          <w:kern w:val="1"/>
          <w:sz w:val="24"/>
          <w:szCs w:val="24"/>
          <w:lang w:eastAsia="ar-SA"/>
        </w:rPr>
        <w:t xml:space="preserve"> </w:t>
      </w:r>
      <w:r w:rsidRPr="00395595">
        <w:rPr>
          <w:rFonts w:ascii="Times New Roman" w:eastAsia="Calibri" w:hAnsi="Times New Roman" w:cs="Times New Roman"/>
          <w:sz w:val="24"/>
          <w:szCs w:val="24"/>
        </w:rPr>
        <w:t xml:space="preserve">pim-1 kinase </w:t>
      </w:r>
      <w:r w:rsidRPr="00395595">
        <w:rPr>
          <w:rFonts w:ascii="Times New Roman" w:hAnsi="Times New Roman" w:cs="Times New Roman"/>
          <w:sz w:val="24"/>
          <w:szCs w:val="24"/>
        </w:rPr>
        <w:t>(2OBJ).</w:t>
      </w:r>
    </w:p>
    <w:p w:rsidR="00B617AC" w:rsidRPr="00395595" w:rsidRDefault="00DC64EF" w:rsidP="00DC64EF">
      <w:r w:rsidRPr="00395595">
        <w:rPr>
          <w:noProof/>
        </w:rPr>
        <w:drawing>
          <wp:inline distT="0" distB="0" distL="0" distR="0">
            <wp:extent cx="2880000" cy="23459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345978"/>
                    </a:xfrm>
                    <a:prstGeom prst="rect">
                      <a:avLst/>
                    </a:prstGeom>
                    <a:noFill/>
                    <a:ln>
                      <a:noFill/>
                    </a:ln>
                  </pic:spPr>
                </pic:pic>
              </a:graphicData>
            </a:graphic>
          </wp:inline>
        </w:drawing>
      </w:r>
      <w:r w:rsidRPr="00395595">
        <w:t xml:space="preserve">              </w:t>
      </w:r>
      <w:r w:rsidRPr="00395595">
        <w:rPr>
          <w:noProof/>
        </w:rPr>
        <w:drawing>
          <wp:inline distT="0" distB="0" distL="0" distR="0">
            <wp:extent cx="2880000" cy="199702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997026"/>
                    </a:xfrm>
                    <a:prstGeom prst="rect">
                      <a:avLst/>
                    </a:prstGeom>
                    <a:noFill/>
                    <a:ln>
                      <a:noFill/>
                    </a:ln>
                  </pic:spPr>
                </pic:pic>
              </a:graphicData>
            </a:graphic>
          </wp:inline>
        </w:drawing>
      </w:r>
    </w:p>
    <w:p w:rsidR="005E225F" w:rsidRPr="00395595" w:rsidRDefault="005E225F" w:rsidP="005E225F"/>
    <w:p w:rsidR="005E225F" w:rsidRPr="00395595" w:rsidRDefault="005E225F" w:rsidP="005E225F"/>
    <w:p w:rsidR="00DC64EF" w:rsidRPr="00395595" w:rsidRDefault="00DC64EF" w:rsidP="005E225F"/>
    <w:p w:rsidR="00DC64EF" w:rsidRPr="00395595" w:rsidRDefault="00DC64EF" w:rsidP="005E225F"/>
    <w:p w:rsidR="00DC64EF" w:rsidRPr="00395595" w:rsidRDefault="00DC64EF" w:rsidP="005E225F"/>
    <w:p w:rsidR="00DC64EF" w:rsidRPr="00395595" w:rsidRDefault="00DC64EF" w:rsidP="005E225F"/>
    <w:p w:rsidR="00DC64EF" w:rsidRPr="00395595" w:rsidRDefault="00DC64EF" w:rsidP="005E225F"/>
    <w:p w:rsidR="005E225F" w:rsidRPr="00395595" w:rsidRDefault="005E225F" w:rsidP="005E225F"/>
    <w:p w:rsidR="00DC64EF" w:rsidRPr="00395595" w:rsidRDefault="00DC64EF" w:rsidP="00DC64EF">
      <w:r w:rsidRPr="00395595">
        <w:rPr>
          <w:rFonts w:ascii="Times New Roman" w:hAnsi="Times New Roman" w:cs="Times New Roman"/>
          <w:sz w:val="24"/>
          <w:szCs w:val="24"/>
        </w:rPr>
        <w:t xml:space="preserve">The 2D and 3D ligand interactions of </w:t>
      </w:r>
      <w:r w:rsidRPr="00395595">
        <w:rPr>
          <w:rFonts w:ascii="Times New Roman" w:hAnsi="Times New Roman" w:cs="Times New Roman"/>
          <w:b/>
          <w:bCs/>
          <w:sz w:val="24"/>
          <w:szCs w:val="24"/>
        </w:rPr>
        <w:t>11a</w:t>
      </w:r>
      <w:r w:rsidRPr="00395595">
        <w:rPr>
          <w:rFonts w:ascii="Times New Roman" w:hAnsi="Times New Roman" w:cs="Times New Roman"/>
          <w:sz w:val="24"/>
          <w:szCs w:val="24"/>
        </w:rPr>
        <w:t xml:space="preserve"> with</w:t>
      </w:r>
      <w:r w:rsidRPr="00395595">
        <w:rPr>
          <w:rFonts w:asciiTheme="majorBidi" w:eastAsia="Times New Roman" w:hAnsiTheme="majorBidi" w:cstheme="majorBidi"/>
          <w:kern w:val="1"/>
          <w:sz w:val="24"/>
          <w:szCs w:val="24"/>
          <w:lang w:eastAsia="ar-SA"/>
        </w:rPr>
        <w:t xml:space="preserve"> </w:t>
      </w:r>
      <w:r w:rsidRPr="00395595">
        <w:rPr>
          <w:rFonts w:ascii="Times New Roman" w:eastAsia="Calibri" w:hAnsi="Times New Roman" w:cs="Times New Roman"/>
          <w:sz w:val="24"/>
          <w:szCs w:val="24"/>
        </w:rPr>
        <w:t xml:space="preserve">pim-1 kinase </w:t>
      </w:r>
      <w:r w:rsidRPr="00395595">
        <w:rPr>
          <w:rFonts w:ascii="Times New Roman" w:hAnsi="Times New Roman" w:cs="Times New Roman"/>
          <w:sz w:val="24"/>
          <w:szCs w:val="24"/>
        </w:rPr>
        <w:t>(2OBJ).</w:t>
      </w:r>
    </w:p>
    <w:p w:rsidR="00B617AC" w:rsidRPr="00395595" w:rsidRDefault="00DC64EF" w:rsidP="00DC64EF">
      <w:r w:rsidRPr="00395595">
        <w:rPr>
          <w:noProof/>
        </w:rPr>
        <w:drawing>
          <wp:inline distT="0" distB="0" distL="0" distR="0">
            <wp:extent cx="2880000" cy="334801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3348010"/>
                    </a:xfrm>
                    <a:prstGeom prst="rect">
                      <a:avLst/>
                    </a:prstGeom>
                    <a:noFill/>
                    <a:ln>
                      <a:noFill/>
                    </a:ln>
                  </pic:spPr>
                </pic:pic>
              </a:graphicData>
            </a:graphic>
          </wp:inline>
        </w:drawing>
      </w:r>
      <w:r w:rsidRPr="00395595">
        <w:t xml:space="preserve">                  </w:t>
      </w:r>
      <w:r w:rsidRPr="00395595">
        <w:rPr>
          <w:noProof/>
        </w:rPr>
        <w:drawing>
          <wp:inline distT="0" distB="0" distL="0" distR="0">
            <wp:extent cx="2880000" cy="270083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700838"/>
                    </a:xfrm>
                    <a:prstGeom prst="rect">
                      <a:avLst/>
                    </a:prstGeom>
                    <a:noFill/>
                    <a:ln>
                      <a:noFill/>
                    </a:ln>
                  </pic:spPr>
                </pic:pic>
              </a:graphicData>
            </a:graphic>
          </wp:inline>
        </w:drawing>
      </w:r>
    </w:p>
    <w:p w:rsidR="00B617AC" w:rsidRPr="00395595" w:rsidRDefault="00B617AC" w:rsidP="00BA7A73">
      <w:pPr>
        <w:jc w:val="center"/>
      </w:pPr>
    </w:p>
    <w:p w:rsidR="00DC64EF" w:rsidRPr="00395595" w:rsidRDefault="00DC64EF" w:rsidP="00DC64EF">
      <w:r w:rsidRPr="00395595">
        <w:rPr>
          <w:rFonts w:ascii="Times New Roman" w:hAnsi="Times New Roman" w:cs="Times New Roman"/>
          <w:sz w:val="24"/>
          <w:szCs w:val="24"/>
        </w:rPr>
        <w:t xml:space="preserve">The 2D and 3D ligand interactions of </w:t>
      </w:r>
      <w:r w:rsidRPr="00395595">
        <w:rPr>
          <w:rFonts w:ascii="Times New Roman" w:hAnsi="Times New Roman" w:cs="Times New Roman"/>
          <w:b/>
          <w:bCs/>
          <w:sz w:val="24"/>
          <w:szCs w:val="24"/>
        </w:rPr>
        <w:t>11b</w:t>
      </w:r>
      <w:r w:rsidRPr="00395595">
        <w:rPr>
          <w:rFonts w:ascii="Times New Roman" w:hAnsi="Times New Roman" w:cs="Times New Roman"/>
          <w:sz w:val="24"/>
          <w:szCs w:val="24"/>
        </w:rPr>
        <w:t xml:space="preserve"> with</w:t>
      </w:r>
      <w:r w:rsidRPr="00395595">
        <w:rPr>
          <w:rFonts w:asciiTheme="majorBidi" w:eastAsia="Times New Roman" w:hAnsiTheme="majorBidi" w:cstheme="majorBidi"/>
          <w:kern w:val="1"/>
          <w:sz w:val="24"/>
          <w:szCs w:val="24"/>
          <w:lang w:eastAsia="ar-SA"/>
        </w:rPr>
        <w:t xml:space="preserve"> </w:t>
      </w:r>
      <w:r w:rsidRPr="00395595">
        <w:rPr>
          <w:rFonts w:ascii="Times New Roman" w:eastAsia="Calibri" w:hAnsi="Times New Roman" w:cs="Times New Roman"/>
          <w:sz w:val="24"/>
          <w:szCs w:val="24"/>
        </w:rPr>
        <w:t xml:space="preserve">pim-1 kinase </w:t>
      </w:r>
      <w:r w:rsidRPr="00395595">
        <w:rPr>
          <w:rFonts w:ascii="Times New Roman" w:hAnsi="Times New Roman" w:cs="Times New Roman"/>
          <w:sz w:val="24"/>
          <w:szCs w:val="24"/>
        </w:rPr>
        <w:t>(2OBJ).</w:t>
      </w:r>
    </w:p>
    <w:p w:rsidR="00B617AC" w:rsidRPr="00395595" w:rsidRDefault="00DC64EF" w:rsidP="00DC64EF">
      <w:r w:rsidRPr="00395595">
        <w:rPr>
          <w:noProof/>
        </w:rPr>
        <w:drawing>
          <wp:inline distT="0" distB="0" distL="0" distR="0">
            <wp:extent cx="2880000" cy="215166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151664"/>
                    </a:xfrm>
                    <a:prstGeom prst="rect">
                      <a:avLst/>
                    </a:prstGeom>
                    <a:noFill/>
                    <a:ln>
                      <a:noFill/>
                    </a:ln>
                  </pic:spPr>
                </pic:pic>
              </a:graphicData>
            </a:graphic>
          </wp:inline>
        </w:drawing>
      </w:r>
      <w:r w:rsidR="00B617AC" w:rsidRPr="00395595">
        <w:tab/>
      </w:r>
      <w:r w:rsidRPr="00395595">
        <w:t xml:space="preserve">          </w:t>
      </w:r>
      <w:r w:rsidRPr="00395595">
        <w:rPr>
          <w:noProof/>
        </w:rPr>
        <w:drawing>
          <wp:inline distT="0" distB="0" distL="0" distR="0">
            <wp:extent cx="2880000" cy="2706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706035"/>
                    </a:xfrm>
                    <a:prstGeom prst="rect">
                      <a:avLst/>
                    </a:prstGeom>
                    <a:noFill/>
                    <a:ln>
                      <a:noFill/>
                    </a:ln>
                  </pic:spPr>
                </pic:pic>
              </a:graphicData>
            </a:graphic>
          </wp:inline>
        </w:drawing>
      </w:r>
    </w:p>
    <w:p w:rsidR="005E225F" w:rsidRPr="00395595" w:rsidRDefault="005E225F" w:rsidP="005E225F"/>
    <w:p w:rsidR="00B617AC" w:rsidRPr="00395595" w:rsidRDefault="00B617AC" w:rsidP="00BA7A73">
      <w:pPr>
        <w:jc w:val="center"/>
      </w:pPr>
    </w:p>
    <w:p w:rsidR="00B617AC" w:rsidRPr="00395595" w:rsidRDefault="00B617AC" w:rsidP="00BA7A73">
      <w:pPr>
        <w:jc w:val="center"/>
      </w:pPr>
      <w:r w:rsidRPr="00395595">
        <w:tab/>
      </w:r>
    </w:p>
    <w:p w:rsidR="00586D6D" w:rsidRPr="00395595" w:rsidRDefault="00586D6D" w:rsidP="00BA7A73">
      <w:pPr>
        <w:jc w:val="center"/>
      </w:pPr>
    </w:p>
    <w:p w:rsidR="00B34E2C" w:rsidRPr="00395595" w:rsidRDefault="00B34E2C" w:rsidP="00B34E2C">
      <w:pPr>
        <w:autoSpaceDE w:val="0"/>
        <w:autoSpaceDN w:val="0"/>
        <w:adjustRightInd w:val="0"/>
        <w:spacing w:line="360" w:lineRule="auto"/>
        <w:jc w:val="center"/>
        <w:rPr>
          <w:rFonts w:asciiTheme="majorBidi" w:hAnsiTheme="majorBidi" w:cstheme="majorBidi"/>
          <w:sz w:val="24"/>
          <w:szCs w:val="24"/>
        </w:rPr>
      </w:pPr>
      <w:r w:rsidRPr="00395595">
        <w:rPr>
          <w:rFonts w:asciiTheme="majorBidi" w:hAnsiTheme="majorBidi" w:cstheme="majorBidi"/>
          <w:b/>
          <w:bCs/>
          <w:sz w:val="24"/>
          <w:szCs w:val="24"/>
        </w:rPr>
        <w:t xml:space="preserve">Figure 1. </w:t>
      </w:r>
      <w:r w:rsidRPr="00395595">
        <w:rPr>
          <w:rFonts w:asciiTheme="majorBidi" w:hAnsiTheme="majorBidi" w:cstheme="majorBidi"/>
          <w:sz w:val="24"/>
          <w:szCs w:val="24"/>
        </w:rPr>
        <w:t xml:space="preserve">Cell viability% of </w:t>
      </w:r>
      <w:r w:rsidRPr="00395595">
        <w:rPr>
          <w:rFonts w:ascii="Times New Roman" w:hAnsi="Times New Roman" w:cs="Times New Roman"/>
          <w:sz w:val="24"/>
          <w:szCs w:val="24"/>
        </w:rPr>
        <w:t>MCF-7 cell line</w:t>
      </w:r>
      <w:r w:rsidRPr="00395595">
        <w:rPr>
          <w:rFonts w:asciiTheme="majorBidi" w:hAnsiTheme="majorBidi" w:cstheme="majorBidi"/>
          <w:sz w:val="24"/>
          <w:szCs w:val="24"/>
        </w:rPr>
        <w:t xml:space="preserve"> after treatment with some novel </w:t>
      </w:r>
      <w:r w:rsidRPr="00395595">
        <w:rPr>
          <w:rFonts w:ascii="Times New Roman" w:eastAsia="Calibri" w:hAnsi="Times New Roman" w:cs="Times New Roman"/>
          <w:sz w:val="24"/>
          <w:szCs w:val="24"/>
        </w:rPr>
        <w:t xml:space="preserve">nicotinonitriles and thienopyridines </w:t>
      </w:r>
      <w:r w:rsidRPr="00395595">
        <w:rPr>
          <w:rFonts w:asciiTheme="majorBidi" w:hAnsiTheme="majorBidi" w:cstheme="majorBidi"/>
          <w:sz w:val="24"/>
          <w:szCs w:val="24"/>
        </w:rPr>
        <w:t>for 24 h.</w:t>
      </w:r>
    </w:p>
    <w:p w:rsidR="00B34E2C" w:rsidRPr="00395595" w:rsidRDefault="00B34E2C" w:rsidP="00B34E2C">
      <w:pPr>
        <w:jc w:val="center"/>
        <w:rPr>
          <w:b/>
          <w:bCs/>
          <w:sz w:val="24"/>
          <w:szCs w:val="24"/>
        </w:rPr>
      </w:pPr>
      <w:r w:rsidRPr="00395595">
        <w:rPr>
          <w:noProof/>
        </w:rPr>
        <w:drawing>
          <wp:inline distT="0" distB="0" distL="0" distR="0">
            <wp:extent cx="4572000" cy="3467100"/>
            <wp:effectExtent l="0" t="0" r="0" b="6350"/>
            <wp:docPr id="11" name="Chart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E11C226-02C1-4133-A67C-C9DE961E3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34E2C" w:rsidRPr="00395595" w:rsidRDefault="00B34E2C" w:rsidP="00B34E2C">
      <w:pPr>
        <w:autoSpaceDE w:val="0"/>
        <w:autoSpaceDN w:val="0"/>
        <w:adjustRightInd w:val="0"/>
        <w:spacing w:line="360" w:lineRule="auto"/>
        <w:jc w:val="center"/>
        <w:rPr>
          <w:rFonts w:asciiTheme="majorBidi" w:hAnsiTheme="majorBidi" w:cstheme="majorBidi"/>
          <w:sz w:val="24"/>
          <w:szCs w:val="24"/>
        </w:rPr>
      </w:pPr>
      <w:r w:rsidRPr="00395595">
        <w:rPr>
          <w:rFonts w:asciiTheme="majorBidi" w:hAnsiTheme="majorBidi" w:cstheme="majorBidi"/>
          <w:b/>
          <w:bCs/>
          <w:sz w:val="24"/>
          <w:szCs w:val="24"/>
        </w:rPr>
        <w:t xml:space="preserve">Figure 2. </w:t>
      </w:r>
      <w:r w:rsidRPr="00395595">
        <w:rPr>
          <w:rFonts w:asciiTheme="majorBidi" w:hAnsiTheme="majorBidi" w:cstheme="majorBidi"/>
          <w:sz w:val="24"/>
          <w:szCs w:val="24"/>
        </w:rPr>
        <w:t xml:space="preserve">Cell viability% of </w:t>
      </w:r>
      <w:r w:rsidRPr="00395595">
        <w:rPr>
          <w:rFonts w:ascii="Times New Roman" w:hAnsi="Times New Roman" w:cs="Times New Roman"/>
          <w:sz w:val="24"/>
          <w:szCs w:val="24"/>
        </w:rPr>
        <w:t>HEPG2 cell line</w:t>
      </w:r>
      <w:r w:rsidRPr="00395595">
        <w:rPr>
          <w:rFonts w:asciiTheme="majorBidi" w:hAnsiTheme="majorBidi" w:cstheme="majorBidi"/>
          <w:sz w:val="24"/>
          <w:szCs w:val="24"/>
        </w:rPr>
        <w:t xml:space="preserve"> after treatment with some novel </w:t>
      </w:r>
      <w:r w:rsidRPr="00395595">
        <w:rPr>
          <w:rFonts w:ascii="Times New Roman" w:eastAsia="Calibri" w:hAnsi="Times New Roman" w:cs="Times New Roman"/>
          <w:sz w:val="24"/>
          <w:szCs w:val="24"/>
        </w:rPr>
        <w:t xml:space="preserve">nicotinonitriles and thienopyridines </w:t>
      </w:r>
      <w:r w:rsidRPr="00395595">
        <w:rPr>
          <w:rFonts w:asciiTheme="majorBidi" w:hAnsiTheme="majorBidi" w:cstheme="majorBidi"/>
          <w:sz w:val="24"/>
          <w:szCs w:val="24"/>
        </w:rPr>
        <w:t>for 24 h.</w:t>
      </w:r>
    </w:p>
    <w:p w:rsidR="00B34E2C" w:rsidRPr="00395595" w:rsidRDefault="00B34E2C" w:rsidP="00B34E2C">
      <w:pPr>
        <w:jc w:val="center"/>
        <w:rPr>
          <w:b/>
          <w:bCs/>
          <w:sz w:val="24"/>
          <w:szCs w:val="24"/>
        </w:rPr>
      </w:pPr>
      <w:r w:rsidRPr="00395595">
        <w:tab/>
      </w:r>
      <w:r w:rsidRPr="00395595">
        <w:rPr>
          <w:noProof/>
        </w:rPr>
        <w:drawing>
          <wp:inline distT="0" distB="0" distL="0" distR="0">
            <wp:extent cx="4572000" cy="3574473"/>
            <wp:effectExtent l="0" t="0" r="0" b="6985"/>
            <wp:docPr id="12" name="Chart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D27B281-CCEF-4D1F-8B9A-91A66B098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86D6D" w:rsidRPr="00395595" w:rsidRDefault="00586D6D" w:rsidP="00962DA2"/>
    <w:sectPr w:rsidR="00586D6D" w:rsidRPr="00395595" w:rsidSect="00D24635">
      <w:footerReference w:type="default" r:id="rId74"/>
      <w:pgSz w:w="12240" w:h="15840"/>
      <w:pgMar w:top="851" w:right="851" w:bottom="851"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53D" w:rsidRDefault="00E1253D" w:rsidP="00E97EEE">
      <w:pPr>
        <w:spacing w:after="0" w:line="240" w:lineRule="auto"/>
      </w:pPr>
      <w:r>
        <w:separator/>
      </w:r>
    </w:p>
  </w:endnote>
  <w:endnote w:type="continuationSeparator" w:id="0">
    <w:p w:rsidR="00E1253D" w:rsidRDefault="00E1253D" w:rsidP="00E97E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257726"/>
      <w:docPartObj>
        <w:docPartGallery w:val="Page Numbers (Bottom of Page)"/>
        <w:docPartUnique/>
      </w:docPartObj>
    </w:sdtPr>
    <w:sdtEndPr>
      <w:rPr>
        <w:noProof/>
      </w:rPr>
    </w:sdtEndPr>
    <w:sdtContent>
      <w:p w:rsidR="00C506AE" w:rsidRDefault="00EB3425">
        <w:pPr>
          <w:pStyle w:val="Footer"/>
          <w:jc w:val="center"/>
        </w:pPr>
        <w:r>
          <w:fldChar w:fldCharType="begin"/>
        </w:r>
        <w:r w:rsidR="00C506AE">
          <w:instrText xml:space="preserve"> PAGE   \* MERGEFORMAT </w:instrText>
        </w:r>
        <w:r>
          <w:fldChar w:fldCharType="separate"/>
        </w:r>
        <w:r w:rsidR="00FB016E">
          <w:rPr>
            <w:noProof/>
          </w:rPr>
          <w:t>1</w:t>
        </w:r>
        <w:r>
          <w:rPr>
            <w:noProof/>
          </w:rPr>
          <w:fldChar w:fldCharType="end"/>
        </w:r>
      </w:p>
    </w:sdtContent>
  </w:sdt>
  <w:p w:rsidR="00C506AE" w:rsidRDefault="00C506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53D" w:rsidRDefault="00E1253D" w:rsidP="00E97EEE">
      <w:pPr>
        <w:spacing w:after="0" w:line="240" w:lineRule="auto"/>
      </w:pPr>
      <w:r>
        <w:separator/>
      </w:r>
    </w:p>
  </w:footnote>
  <w:footnote w:type="continuationSeparator" w:id="0">
    <w:p w:rsidR="00E1253D" w:rsidRDefault="00E1253D" w:rsidP="00E97EE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characterSpacingControl w:val="doNotCompress"/>
  <w:footnotePr>
    <w:footnote w:id="-1"/>
    <w:footnote w:id="0"/>
  </w:footnotePr>
  <w:endnotePr>
    <w:endnote w:id="-1"/>
    <w:endnote w:id="0"/>
  </w:endnotePr>
  <w:compat/>
  <w:rsids>
    <w:rsidRoot w:val="00C33644"/>
    <w:rsid w:val="00022F4C"/>
    <w:rsid w:val="00032D06"/>
    <w:rsid w:val="000370B8"/>
    <w:rsid w:val="00040B6A"/>
    <w:rsid w:val="000552E2"/>
    <w:rsid w:val="000A62DB"/>
    <w:rsid w:val="000B428D"/>
    <w:rsid w:val="000E1D60"/>
    <w:rsid w:val="001044C0"/>
    <w:rsid w:val="00172437"/>
    <w:rsid w:val="001D481D"/>
    <w:rsid w:val="00201F51"/>
    <w:rsid w:val="00205512"/>
    <w:rsid w:val="0023676E"/>
    <w:rsid w:val="0025286B"/>
    <w:rsid w:val="00265D10"/>
    <w:rsid w:val="00286F07"/>
    <w:rsid w:val="002A0882"/>
    <w:rsid w:val="002A4839"/>
    <w:rsid w:val="002D7567"/>
    <w:rsid w:val="002F7150"/>
    <w:rsid w:val="00312B07"/>
    <w:rsid w:val="003303E7"/>
    <w:rsid w:val="0038408D"/>
    <w:rsid w:val="00395595"/>
    <w:rsid w:val="003A60AC"/>
    <w:rsid w:val="003C474F"/>
    <w:rsid w:val="00410CCC"/>
    <w:rsid w:val="00462357"/>
    <w:rsid w:val="004751A5"/>
    <w:rsid w:val="004A3938"/>
    <w:rsid w:val="00503128"/>
    <w:rsid w:val="00527DF0"/>
    <w:rsid w:val="00583512"/>
    <w:rsid w:val="00586D6D"/>
    <w:rsid w:val="005C2B65"/>
    <w:rsid w:val="005D22AA"/>
    <w:rsid w:val="005E225F"/>
    <w:rsid w:val="005F6DC8"/>
    <w:rsid w:val="00607201"/>
    <w:rsid w:val="00614CD8"/>
    <w:rsid w:val="00624EF0"/>
    <w:rsid w:val="00662E98"/>
    <w:rsid w:val="00685EE5"/>
    <w:rsid w:val="007238C8"/>
    <w:rsid w:val="00780D96"/>
    <w:rsid w:val="007B494B"/>
    <w:rsid w:val="00822E8F"/>
    <w:rsid w:val="00933A03"/>
    <w:rsid w:val="00962DA2"/>
    <w:rsid w:val="00996690"/>
    <w:rsid w:val="009E4D16"/>
    <w:rsid w:val="00A35176"/>
    <w:rsid w:val="00A433A5"/>
    <w:rsid w:val="00AA39CB"/>
    <w:rsid w:val="00AB4A79"/>
    <w:rsid w:val="00AE2E4D"/>
    <w:rsid w:val="00B21D6C"/>
    <w:rsid w:val="00B26307"/>
    <w:rsid w:val="00B34D0E"/>
    <w:rsid w:val="00B34E2C"/>
    <w:rsid w:val="00B617AC"/>
    <w:rsid w:val="00B627D6"/>
    <w:rsid w:val="00BA7A73"/>
    <w:rsid w:val="00BA7F80"/>
    <w:rsid w:val="00BB22E7"/>
    <w:rsid w:val="00BE62C1"/>
    <w:rsid w:val="00C33644"/>
    <w:rsid w:val="00C46C2E"/>
    <w:rsid w:val="00C506AE"/>
    <w:rsid w:val="00C86C61"/>
    <w:rsid w:val="00C94CEF"/>
    <w:rsid w:val="00C959D5"/>
    <w:rsid w:val="00CA19E9"/>
    <w:rsid w:val="00CD28AA"/>
    <w:rsid w:val="00D24635"/>
    <w:rsid w:val="00D249FA"/>
    <w:rsid w:val="00D90226"/>
    <w:rsid w:val="00DA36A4"/>
    <w:rsid w:val="00DC64EF"/>
    <w:rsid w:val="00DD5CB5"/>
    <w:rsid w:val="00DF3712"/>
    <w:rsid w:val="00E1253D"/>
    <w:rsid w:val="00E13387"/>
    <w:rsid w:val="00E37902"/>
    <w:rsid w:val="00E97EEE"/>
    <w:rsid w:val="00EB3425"/>
    <w:rsid w:val="00EE5EC3"/>
    <w:rsid w:val="00EF624F"/>
    <w:rsid w:val="00F06C3F"/>
    <w:rsid w:val="00F11030"/>
    <w:rsid w:val="00F41FD2"/>
    <w:rsid w:val="00F844F0"/>
    <w:rsid w:val="00FB016E"/>
    <w:rsid w:val="00FB741F"/>
    <w:rsid w:val="00FE07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4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qFormat/>
    <w:rsid w:val="00B26307"/>
    <w:pPr>
      <w:spacing w:after="0" w:line="480" w:lineRule="auto"/>
      <w:jc w:val="center"/>
    </w:pPr>
    <w:rPr>
      <w:rFonts w:ascii="Times New Roman" w:hAnsi="Times New Roman"/>
      <w:color w:val="000000" w:themeColor="text1"/>
      <w:sz w:val="24"/>
    </w:rPr>
  </w:style>
  <w:style w:type="paragraph" w:styleId="Header">
    <w:name w:val="header"/>
    <w:basedOn w:val="Normal"/>
    <w:link w:val="HeaderChar"/>
    <w:uiPriority w:val="99"/>
    <w:unhideWhenUsed/>
    <w:rsid w:val="00E97E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EEE"/>
  </w:style>
  <w:style w:type="paragraph" w:styleId="Footer">
    <w:name w:val="footer"/>
    <w:basedOn w:val="Normal"/>
    <w:link w:val="FooterChar"/>
    <w:uiPriority w:val="99"/>
    <w:unhideWhenUsed/>
    <w:rsid w:val="00E97E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EE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microsoft.com/office/2007/relationships/hdphoto" Target="media/hdphoto12.wdp"/><Relationship Id="rId21" Type="http://schemas.microsoft.com/office/2007/relationships/hdphoto" Target="media/hdphoto5.wdp"/><Relationship Id="rId34" Type="http://schemas.microsoft.com/office/2007/relationships/hdphoto" Target="media/hdphoto10.wdp"/><Relationship Id="rId42" Type="http://schemas.microsoft.com/office/2007/relationships/hdphoto" Target="media/hdphoto13.wdp"/><Relationship Id="rId47" Type="http://schemas.openxmlformats.org/officeDocument/2006/relationships/image" Target="media/image26.png"/><Relationship Id="rId50" Type="http://schemas.microsoft.com/office/2007/relationships/hdphoto" Target="media/hdphoto17.wdp"/><Relationship Id="rId55" Type="http://schemas.openxmlformats.org/officeDocument/2006/relationships/image" Target="media/image30.png"/><Relationship Id="rId63" Type="http://schemas.microsoft.com/office/2007/relationships/hdphoto" Target="media/hdphoto23.wdp"/><Relationship Id="rId68" Type="http://schemas.openxmlformats.org/officeDocument/2006/relationships/image" Target="media/image39.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2.png"/><Relationship Id="rId32" Type="http://schemas.microsoft.com/office/2007/relationships/hdphoto" Target="media/hdphoto9.wdp"/><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image" Target="media/image37.pn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6.wdp"/><Relationship Id="rId28" Type="http://schemas.microsoft.com/office/2007/relationships/hdphoto" Target="media/hdphoto7.wdp"/><Relationship Id="rId36" Type="http://schemas.microsoft.com/office/2007/relationships/hdphoto" Target="media/hdphoto11.wdp"/><Relationship Id="rId49" Type="http://schemas.openxmlformats.org/officeDocument/2006/relationships/image" Target="media/image27.png"/><Relationship Id="rId57" Type="http://schemas.microsoft.com/office/2007/relationships/hdphoto" Target="media/hdphoto20.wdp"/><Relationship Id="rId61" Type="http://schemas.microsoft.com/office/2007/relationships/hdphoto" Target="media/hdphoto22.wdp"/><Relationship Id="rId10" Type="http://schemas.microsoft.com/office/2007/relationships/hdphoto" Target="media/hdphoto2.wdp"/><Relationship Id="rId19" Type="http://schemas.microsoft.com/office/2007/relationships/hdphoto" Target="media/hdphoto4.wdp"/><Relationship Id="rId31" Type="http://schemas.openxmlformats.org/officeDocument/2006/relationships/image" Target="media/image17.png"/><Relationship Id="rId44" Type="http://schemas.microsoft.com/office/2007/relationships/hdphoto" Target="media/hdphoto14.wdp"/><Relationship Id="rId52" Type="http://schemas.microsoft.com/office/2007/relationships/hdphoto" Target="media/hdphoto18.wdp"/><Relationship Id="rId60" Type="http://schemas.openxmlformats.org/officeDocument/2006/relationships/image" Target="media/image33.png"/><Relationship Id="rId65" Type="http://schemas.openxmlformats.org/officeDocument/2006/relationships/image" Target="media/image36.jpeg"/><Relationship Id="rId73"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microsoft.com/office/2007/relationships/hdphoto" Target="media/hdphoto8.wdp"/><Relationship Id="rId35" Type="http://schemas.openxmlformats.org/officeDocument/2006/relationships/image" Target="media/image19.png"/><Relationship Id="rId43" Type="http://schemas.openxmlformats.org/officeDocument/2006/relationships/image" Target="media/image24.png"/><Relationship Id="rId48" Type="http://schemas.microsoft.com/office/2007/relationships/hdphoto" Target="media/hdphoto16.wdp"/><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image" Target="media/image40.jpeg"/><Relationship Id="rId8" Type="http://schemas.microsoft.com/office/2007/relationships/hdphoto" Target="media/hdphoto1.wdp"/><Relationship Id="rId51" Type="http://schemas.openxmlformats.org/officeDocument/2006/relationships/image" Target="media/image28.png"/><Relationship Id="rId72" Type="http://schemas.openxmlformats.org/officeDocument/2006/relationships/chart" Target="charts/chart1.xml"/><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png"/><Relationship Id="rId46" Type="http://schemas.microsoft.com/office/2007/relationships/hdphoto" Target="media/hdphoto15.wdp"/><Relationship Id="rId59" Type="http://schemas.microsoft.com/office/2007/relationships/hdphoto" Target="media/hdphoto21.wdp"/><Relationship Id="rId67" Type="http://schemas.openxmlformats.org/officeDocument/2006/relationships/image" Target="media/image38.jpeg"/><Relationship Id="rId20" Type="http://schemas.openxmlformats.org/officeDocument/2006/relationships/image" Target="media/image10.png"/><Relationship Id="rId41" Type="http://schemas.openxmlformats.org/officeDocument/2006/relationships/image" Target="media/image23.png"/><Relationship Id="rId54" Type="http://schemas.microsoft.com/office/2007/relationships/hdphoto" Target="media/hdphoto19.wdp"/><Relationship Id="rId62" Type="http://schemas.openxmlformats.org/officeDocument/2006/relationships/image" Target="media/image34.png"/><Relationship Id="rId70" Type="http://schemas.openxmlformats.org/officeDocument/2006/relationships/image" Target="media/image4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E:\1%20sherif\1Ongoig%20Articles\Ahmed%20Youssif%20Said\Book%20MCF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20sherif\1Ongoig%20Articles\Ahmed%20Youssif%20Said\Book%20Liv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680555555555555"/>
          <c:y val="2.0894119004355238E-2"/>
          <c:w val="0.85319444444444481"/>
          <c:h val="0.5530433917865204"/>
        </c:manualLayout>
      </c:layout>
      <c:lineChart>
        <c:grouping val="standard"/>
        <c:ser>
          <c:idx val="0"/>
          <c:order val="0"/>
          <c:tx>
            <c:v>9a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Sheet1!$A$12:$A$16</c:f>
              <c:numCache>
                <c:formatCode>General</c:formatCode>
                <c:ptCount val="5"/>
                <c:pt idx="0">
                  <c:v>0</c:v>
                </c:pt>
                <c:pt idx="1">
                  <c:v>5</c:v>
                </c:pt>
                <c:pt idx="2">
                  <c:v>25</c:v>
                </c:pt>
                <c:pt idx="3">
                  <c:v>50</c:v>
                </c:pt>
                <c:pt idx="4">
                  <c:v>75</c:v>
                </c:pt>
              </c:numCache>
            </c:numRef>
          </c:cat>
          <c:val>
            <c:numRef>
              <c:f>Sheet1!$B$12:$B$16</c:f>
              <c:numCache>
                <c:formatCode>General</c:formatCode>
                <c:ptCount val="5"/>
                <c:pt idx="0">
                  <c:v>100</c:v>
                </c:pt>
                <c:pt idx="1">
                  <c:v>62.5</c:v>
                </c:pt>
                <c:pt idx="2">
                  <c:v>35.1</c:v>
                </c:pt>
                <c:pt idx="3">
                  <c:v>9.6</c:v>
                </c:pt>
                <c:pt idx="4">
                  <c:v>7.7</c:v>
                </c:pt>
              </c:numCache>
            </c:numRef>
          </c:val>
          <c:extLst xmlns:c16r2="http://schemas.microsoft.com/office/drawing/2015/06/chart">
            <c:ext xmlns:c16="http://schemas.microsoft.com/office/drawing/2014/chart" uri="{C3380CC4-5D6E-409C-BE32-E72D297353CC}">
              <c16:uniqueId val="{00000000-D5F1-48D6-A9B9-7A75EC98D66B}"/>
            </c:ext>
          </c:extLst>
        </c:ser>
        <c:ser>
          <c:idx val="1"/>
          <c:order val="1"/>
          <c:tx>
            <c:v>9b</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Sheet1!$A$12:$A$16</c:f>
              <c:numCache>
                <c:formatCode>General</c:formatCode>
                <c:ptCount val="5"/>
                <c:pt idx="0">
                  <c:v>0</c:v>
                </c:pt>
                <c:pt idx="1">
                  <c:v>5</c:v>
                </c:pt>
                <c:pt idx="2">
                  <c:v>25</c:v>
                </c:pt>
                <c:pt idx="3">
                  <c:v>50</c:v>
                </c:pt>
                <c:pt idx="4">
                  <c:v>75</c:v>
                </c:pt>
              </c:numCache>
            </c:numRef>
          </c:cat>
          <c:val>
            <c:numRef>
              <c:f>Sheet1!$C$12:$C$16</c:f>
              <c:numCache>
                <c:formatCode>General</c:formatCode>
                <c:ptCount val="5"/>
                <c:pt idx="0">
                  <c:v>100</c:v>
                </c:pt>
                <c:pt idx="1">
                  <c:v>60.2</c:v>
                </c:pt>
                <c:pt idx="2">
                  <c:v>40.6</c:v>
                </c:pt>
                <c:pt idx="3">
                  <c:v>13</c:v>
                </c:pt>
                <c:pt idx="4">
                  <c:v>7.8</c:v>
                </c:pt>
              </c:numCache>
            </c:numRef>
          </c:val>
          <c:extLst xmlns:c16r2="http://schemas.microsoft.com/office/drawing/2015/06/chart">
            <c:ext xmlns:c16="http://schemas.microsoft.com/office/drawing/2014/chart" uri="{C3380CC4-5D6E-409C-BE32-E72D297353CC}">
              <c16:uniqueId val="{00000001-D5F1-48D6-A9B9-7A75EC98D66B}"/>
            </c:ext>
          </c:extLst>
        </c:ser>
        <c:ser>
          <c:idx val="2"/>
          <c:order val="2"/>
          <c:tx>
            <c:v>11a</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Sheet1!$A$12:$A$16</c:f>
              <c:numCache>
                <c:formatCode>General</c:formatCode>
                <c:ptCount val="5"/>
                <c:pt idx="0">
                  <c:v>0</c:v>
                </c:pt>
                <c:pt idx="1">
                  <c:v>5</c:v>
                </c:pt>
                <c:pt idx="2">
                  <c:v>25</c:v>
                </c:pt>
                <c:pt idx="3">
                  <c:v>50</c:v>
                </c:pt>
                <c:pt idx="4">
                  <c:v>75</c:v>
                </c:pt>
              </c:numCache>
            </c:numRef>
          </c:cat>
          <c:val>
            <c:numRef>
              <c:f>Sheet1!$D$12:$D$16</c:f>
              <c:numCache>
                <c:formatCode>General</c:formatCode>
                <c:ptCount val="5"/>
                <c:pt idx="0">
                  <c:v>100</c:v>
                </c:pt>
                <c:pt idx="1">
                  <c:v>67.3</c:v>
                </c:pt>
                <c:pt idx="2">
                  <c:v>30.7</c:v>
                </c:pt>
                <c:pt idx="3">
                  <c:v>12.5</c:v>
                </c:pt>
                <c:pt idx="4">
                  <c:v>8.9</c:v>
                </c:pt>
              </c:numCache>
            </c:numRef>
          </c:val>
          <c:extLst xmlns:c16r2="http://schemas.microsoft.com/office/drawing/2015/06/chart">
            <c:ext xmlns:c16="http://schemas.microsoft.com/office/drawing/2014/chart" uri="{C3380CC4-5D6E-409C-BE32-E72D297353CC}">
              <c16:uniqueId val="{00000002-D5F1-48D6-A9B9-7A75EC98D66B}"/>
            </c:ext>
          </c:extLst>
        </c:ser>
        <c:ser>
          <c:idx val="3"/>
          <c:order val="3"/>
          <c:tx>
            <c:v>11b</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Sheet1!$A$12:$A$16</c:f>
              <c:numCache>
                <c:formatCode>General</c:formatCode>
                <c:ptCount val="5"/>
                <c:pt idx="0">
                  <c:v>0</c:v>
                </c:pt>
                <c:pt idx="1">
                  <c:v>5</c:v>
                </c:pt>
                <c:pt idx="2">
                  <c:v>25</c:v>
                </c:pt>
                <c:pt idx="3">
                  <c:v>50</c:v>
                </c:pt>
                <c:pt idx="4">
                  <c:v>75</c:v>
                </c:pt>
              </c:numCache>
            </c:numRef>
          </c:cat>
          <c:val>
            <c:numRef>
              <c:f>Sheet1!$E$12:$E$16</c:f>
              <c:numCache>
                <c:formatCode>General</c:formatCode>
                <c:ptCount val="5"/>
                <c:pt idx="0">
                  <c:v>100</c:v>
                </c:pt>
                <c:pt idx="1">
                  <c:v>65.3</c:v>
                </c:pt>
                <c:pt idx="2">
                  <c:v>44.8</c:v>
                </c:pt>
                <c:pt idx="3">
                  <c:v>22.4</c:v>
                </c:pt>
                <c:pt idx="4">
                  <c:v>16.8</c:v>
                </c:pt>
              </c:numCache>
            </c:numRef>
          </c:val>
          <c:extLst xmlns:c16r2="http://schemas.microsoft.com/office/drawing/2015/06/chart">
            <c:ext xmlns:c16="http://schemas.microsoft.com/office/drawing/2014/chart" uri="{C3380CC4-5D6E-409C-BE32-E72D297353CC}">
              <c16:uniqueId val="{00000003-D5F1-48D6-A9B9-7A75EC98D66B}"/>
            </c:ext>
          </c:extLst>
        </c:ser>
        <c:ser>
          <c:idx val="4"/>
          <c:order val="4"/>
          <c:tx>
            <c:v>15a</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Sheet1!$A$12:$A$16</c:f>
              <c:numCache>
                <c:formatCode>General</c:formatCode>
                <c:ptCount val="5"/>
                <c:pt idx="0">
                  <c:v>0</c:v>
                </c:pt>
                <c:pt idx="1">
                  <c:v>5</c:v>
                </c:pt>
                <c:pt idx="2">
                  <c:v>25</c:v>
                </c:pt>
                <c:pt idx="3">
                  <c:v>50</c:v>
                </c:pt>
                <c:pt idx="4">
                  <c:v>75</c:v>
                </c:pt>
              </c:numCache>
            </c:numRef>
          </c:cat>
          <c:val>
            <c:numRef>
              <c:f>Sheet1!$F$12:$F$16</c:f>
              <c:numCache>
                <c:formatCode>General</c:formatCode>
                <c:ptCount val="5"/>
                <c:pt idx="0">
                  <c:v>100</c:v>
                </c:pt>
                <c:pt idx="1">
                  <c:v>71.2</c:v>
                </c:pt>
                <c:pt idx="2">
                  <c:v>55.8</c:v>
                </c:pt>
                <c:pt idx="3">
                  <c:v>46.4</c:v>
                </c:pt>
                <c:pt idx="4">
                  <c:v>48.7</c:v>
                </c:pt>
              </c:numCache>
            </c:numRef>
          </c:val>
          <c:extLst xmlns:c16r2="http://schemas.microsoft.com/office/drawing/2015/06/chart">
            <c:ext xmlns:c16="http://schemas.microsoft.com/office/drawing/2014/chart" uri="{C3380CC4-5D6E-409C-BE32-E72D297353CC}">
              <c16:uniqueId val="{00000004-D5F1-48D6-A9B9-7A75EC98D66B}"/>
            </c:ext>
          </c:extLst>
        </c:ser>
        <c:ser>
          <c:idx val="5"/>
          <c:order val="5"/>
          <c:tx>
            <c:v>17a</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Sheet1!$A$12:$A$16</c:f>
              <c:numCache>
                <c:formatCode>General</c:formatCode>
                <c:ptCount val="5"/>
                <c:pt idx="0">
                  <c:v>0</c:v>
                </c:pt>
                <c:pt idx="1">
                  <c:v>5</c:v>
                </c:pt>
                <c:pt idx="2">
                  <c:v>25</c:v>
                </c:pt>
                <c:pt idx="3">
                  <c:v>50</c:v>
                </c:pt>
                <c:pt idx="4">
                  <c:v>75</c:v>
                </c:pt>
              </c:numCache>
            </c:numRef>
          </c:cat>
          <c:val>
            <c:numRef>
              <c:f>Sheet1!$G$12:$G$16</c:f>
              <c:numCache>
                <c:formatCode>General</c:formatCode>
                <c:ptCount val="5"/>
                <c:pt idx="0">
                  <c:v>100</c:v>
                </c:pt>
                <c:pt idx="1">
                  <c:v>66</c:v>
                </c:pt>
                <c:pt idx="2">
                  <c:v>48.3</c:v>
                </c:pt>
                <c:pt idx="3">
                  <c:v>40.4</c:v>
                </c:pt>
                <c:pt idx="4">
                  <c:v>45.8</c:v>
                </c:pt>
              </c:numCache>
            </c:numRef>
          </c:val>
          <c:extLst xmlns:c16r2="http://schemas.microsoft.com/office/drawing/2015/06/chart">
            <c:ext xmlns:c16="http://schemas.microsoft.com/office/drawing/2014/chart" uri="{C3380CC4-5D6E-409C-BE32-E72D297353CC}">
              <c16:uniqueId val="{00000005-D5F1-48D6-A9B9-7A75EC98D66B}"/>
            </c:ext>
          </c:extLst>
        </c:ser>
        <c:marker val="1"/>
        <c:axId val="182776576"/>
        <c:axId val="182778496"/>
      </c:lineChart>
      <c:catAx>
        <c:axId val="1827765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rPr>
                  <a:t>Concentration (µg/mL)</a:t>
                </a:r>
                <a:endParaRPr lang="en-US" sz="1200">
                  <a:effectLst/>
                </a:endParaRPr>
              </a:p>
            </c:rich>
          </c:tx>
          <c:layout>
            <c:manualLayout>
              <c:xMode val="edge"/>
              <c:yMode val="edge"/>
              <c:x val="0.32042366579177622"/>
              <c:y val="0.9328577197081136"/>
            </c:manualLayout>
          </c:layout>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78496"/>
        <c:crosses val="autoZero"/>
        <c:auto val="1"/>
        <c:lblAlgn val="ctr"/>
        <c:lblOffset val="100"/>
      </c:catAx>
      <c:valAx>
        <c:axId val="1827784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rPr>
                  <a:t>Cell viability%</a:t>
                </a:r>
                <a:endParaRPr lang="en-US" sz="1200">
                  <a:effectLst/>
                </a:endParaRPr>
              </a:p>
            </c:rich>
          </c:tx>
          <c:layout>
            <c:manualLayout>
              <c:xMode val="edge"/>
              <c:yMode val="edge"/>
              <c:x val="2.7777777777777801E-2"/>
              <c:y val="0.25106274891328834"/>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76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9a</c:v>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Sheet1!$A$12:$A$16</c:f>
              <c:numCache>
                <c:formatCode>General</c:formatCode>
                <c:ptCount val="5"/>
                <c:pt idx="0">
                  <c:v>0</c:v>
                </c:pt>
                <c:pt idx="1">
                  <c:v>5</c:v>
                </c:pt>
                <c:pt idx="2">
                  <c:v>25</c:v>
                </c:pt>
                <c:pt idx="3">
                  <c:v>50</c:v>
                </c:pt>
                <c:pt idx="4">
                  <c:v>75</c:v>
                </c:pt>
              </c:numCache>
            </c:numRef>
          </c:cat>
          <c:val>
            <c:numRef>
              <c:f>Sheet1!$B$12:$B$16</c:f>
              <c:numCache>
                <c:formatCode>General</c:formatCode>
                <c:ptCount val="5"/>
                <c:pt idx="0">
                  <c:v>100</c:v>
                </c:pt>
                <c:pt idx="1">
                  <c:v>55.8</c:v>
                </c:pt>
                <c:pt idx="2">
                  <c:v>42.4</c:v>
                </c:pt>
                <c:pt idx="3">
                  <c:v>15.1</c:v>
                </c:pt>
                <c:pt idx="4">
                  <c:v>16.5</c:v>
                </c:pt>
              </c:numCache>
            </c:numRef>
          </c:val>
          <c:extLst xmlns:c16r2="http://schemas.microsoft.com/office/drawing/2015/06/chart">
            <c:ext xmlns:c16="http://schemas.microsoft.com/office/drawing/2014/chart" uri="{C3380CC4-5D6E-409C-BE32-E72D297353CC}">
              <c16:uniqueId val="{00000000-6270-42F5-B0AD-1760AEBE344A}"/>
            </c:ext>
          </c:extLst>
        </c:ser>
        <c:ser>
          <c:idx val="1"/>
          <c:order val="1"/>
          <c:tx>
            <c:v>9b</c:v>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Sheet1!$A$12:$A$16</c:f>
              <c:numCache>
                <c:formatCode>General</c:formatCode>
                <c:ptCount val="5"/>
                <c:pt idx="0">
                  <c:v>0</c:v>
                </c:pt>
                <c:pt idx="1">
                  <c:v>5</c:v>
                </c:pt>
                <c:pt idx="2">
                  <c:v>25</c:v>
                </c:pt>
                <c:pt idx="3">
                  <c:v>50</c:v>
                </c:pt>
                <c:pt idx="4">
                  <c:v>75</c:v>
                </c:pt>
              </c:numCache>
            </c:numRef>
          </c:cat>
          <c:val>
            <c:numRef>
              <c:f>Sheet1!$C$12:$C$16</c:f>
              <c:numCache>
                <c:formatCode>General</c:formatCode>
                <c:ptCount val="5"/>
                <c:pt idx="0">
                  <c:v>100</c:v>
                </c:pt>
                <c:pt idx="1">
                  <c:v>59.8</c:v>
                </c:pt>
                <c:pt idx="2">
                  <c:v>38</c:v>
                </c:pt>
                <c:pt idx="3">
                  <c:v>28.2</c:v>
                </c:pt>
                <c:pt idx="4">
                  <c:v>16.600000000000001</c:v>
                </c:pt>
              </c:numCache>
            </c:numRef>
          </c:val>
          <c:extLst xmlns:c16r2="http://schemas.microsoft.com/office/drawing/2015/06/chart">
            <c:ext xmlns:c16="http://schemas.microsoft.com/office/drawing/2014/chart" uri="{C3380CC4-5D6E-409C-BE32-E72D297353CC}">
              <c16:uniqueId val="{00000001-6270-42F5-B0AD-1760AEBE344A}"/>
            </c:ext>
          </c:extLst>
        </c:ser>
        <c:ser>
          <c:idx val="2"/>
          <c:order val="2"/>
          <c:tx>
            <c:v>11a</c:v>
          </c:tx>
          <c:spPr>
            <a:ln w="19050" cap="rnd">
              <a:solidFill>
                <a:schemeClr val="accent3"/>
              </a:solidFill>
              <a:round/>
            </a:ln>
            <a:effectLst/>
          </c:spPr>
          <c:marker>
            <c:symbol val="circle"/>
            <c:size val="5"/>
            <c:spPr>
              <a:solidFill>
                <a:schemeClr val="accent3"/>
              </a:solidFill>
              <a:ln w="9525">
                <a:solidFill>
                  <a:schemeClr val="accent3"/>
                </a:solidFill>
              </a:ln>
              <a:effectLst/>
            </c:spPr>
          </c:marker>
          <c:cat>
            <c:numRef>
              <c:f>Sheet1!$A$12:$A$16</c:f>
              <c:numCache>
                <c:formatCode>General</c:formatCode>
                <c:ptCount val="5"/>
                <c:pt idx="0">
                  <c:v>0</c:v>
                </c:pt>
                <c:pt idx="1">
                  <c:v>5</c:v>
                </c:pt>
                <c:pt idx="2">
                  <c:v>25</c:v>
                </c:pt>
                <c:pt idx="3">
                  <c:v>50</c:v>
                </c:pt>
                <c:pt idx="4">
                  <c:v>75</c:v>
                </c:pt>
              </c:numCache>
            </c:numRef>
          </c:cat>
          <c:val>
            <c:numRef>
              <c:f>Sheet1!$D$12:$D$16</c:f>
              <c:numCache>
                <c:formatCode>General</c:formatCode>
                <c:ptCount val="5"/>
                <c:pt idx="0">
                  <c:v>100</c:v>
                </c:pt>
                <c:pt idx="1">
                  <c:v>60.4</c:v>
                </c:pt>
                <c:pt idx="2">
                  <c:v>39.800000000000004</c:v>
                </c:pt>
                <c:pt idx="3">
                  <c:v>19.399999999999999</c:v>
                </c:pt>
                <c:pt idx="4">
                  <c:v>11.8</c:v>
                </c:pt>
              </c:numCache>
            </c:numRef>
          </c:val>
          <c:extLst xmlns:c16r2="http://schemas.microsoft.com/office/drawing/2015/06/chart">
            <c:ext xmlns:c16="http://schemas.microsoft.com/office/drawing/2014/chart" uri="{C3380CC4-5D6E-409C-BE32-E72D297353CC}">
              <c16:uniqueId val="{00000002-6270-42F5-B0AD-1760AEBE344A}"/>
            </c:ext>
          </c:extLst>
        </c:ser>
        <c:ser>
          <c:idx val="3"/>
          <c:order val="3"/>
          <c:tx>
            <c:v>11b</c:v>
          </c:tx>
          <c:spPr>
            <a:ln w="19050" cap="rnd">
              <a:solidFill>
                <a:schemeClr val="accent4"/>
              </a:solidFill>
              <a:round/>
            </a:ln>
            <a:effectLst/>
          </c:spPr>
          <c:marker>
            <c:symbol val="circle"/>
            <c:size val="5"/>
            <c:spPr>
              <a:solidFill>
                <a:schemeClr val="accent4"/>
              </a:solidFill>
              <a:ln w="9525">
                <a:solidFill>
                  <a:schemeClr val="accent4"/>
                </a:solidFill>
              </a:ln>
              <a:effectLst/>
            </c:spPr>
          </c:marker>
          <c:cat>
            <c:numRef>
              <c:f>Sheet1!$A$12:$A$16</c:f>
              <c:numCache>
                <c:formatCode>General</c:formatCode>
                <c:ptCount val="5"/>
                <c:pt idx="0">
                  <c:v>0</c:v>
                </c:pt>
                <c:pt idx="1">
                  <c:v>5</c:v>
                </c:pt>
                <c:pt idx="2">
                  <c:v>25</c:v>
                </c:pt>
                <c:pt idx="3">
                  <c:v>50</c:v>
                </c:pt>
                <c:pt idx="4">
                  <c:v>75</c:v>
                </c:pt>
              </c:numCache>
            </c:numRef>
          </c:cat>
          <c:val>
            <c:numRef>
              <c:f>Sheet1!$E$12:$E$16</c:f>
              <c:numCache>
                <c:formatCode>General</c:formatCode>
                <c:ptCount val="5"/>
                <c:pt idx="0">
                  <c:v>100</c:v>
                </c:pt>
                <c:pt idx="1">
                  <c:v>62</c:v>
                </c:pt>
                <c:pt idx="2">
                  <c:v>44.7</c:v>
                </c:pt>
                <c:pt idx="3">
                  <c:v>29.8</c:v>
                </c:pt>
                <c:pt idx="4">
                  <c:v>33.200000000000003</c:v>
                </c:pt>
              </c:numCache>
            </c:numRef>
          </c:val>
          <c:extLst xmlns:c16r2="http://schemas.microsoft.com/office/drawing/2015/06/chart">
            <c:ext xmlns:c16="http://schemas.microsoft.com/office/drawing/2014/chart" uri="{C3380CC4-5D6E-409C-BE32-E72D297353CC}">
              <c16:uniqueId val="{00000003-6270-42F5-B0AD-1760AEBE344A}"/>
            </c:ext>
          </c:extLst>
        </c:ser>
        <c:ser>
          <c:idx val="4"/>
          <c:order val="4"/>
          <c:tx>
            <c:v>15a</c:v>
          </c:tx>
          <c:spPr>
            <a:ln w="19050" cap="rnd">
              <a:solidFill>
                <a:schemeClr val="accent5"/>
              </a:solidFill>
              <a:round/>
            </a:ln>
            <a:effectLst/>
          </c:spPr>
          <c:marker>
            <c:symbol val="circle"/>
            <c:size val="5"/>
            <c:spPr>
              <a:solidFill>
                <a:schemeClr val="accent5"/>
              </a:solidFill>
              <a:ln w="9525">
                <a:solidFill>
                  <a:schemeClr val="accent5"/>
                </a:solidFill>
              </a:ln>
              <a:effectLst/>
            </c:spPr>
          </c:marker>
          <c:cat>
            <c:numRef>
              <c:f>Sheet1!$A$12:$A$16</c:f>
              <c:numCache>
                <c:formatCode>General</c:formatCode>
                <c:ptCount val="5"/>
                <c:pt idx="0">
                  <c:v>0</c:v>
                </c:pt>
                <c:pt idx="1">
                  <c:v>5</c:v>
                </c:pt>
                <c:pt idx="2">
                  <c:v>25</c:v>
                </c:pt>
                <c:pt idx="3">
                  <c:v>50</c:v>
                </c:pt>
                <c:pt idx="4">
                  <c:v>75</c:v>
                </c:pt>
              </c:numCache>
            </c:numRef>
          </c:cat>
          <c:val>
            <c:numRef>
              <c:f>Sheet1!$F$12:$F$16</c:f>
              <c:numCache>
                <c:formatCode>General</c:formatCode>
                <c:ptCount val="5"/>
                <c:pt idx="0">
                  <c:v>100</c:v>
                </c:pt>
                <c:pt idx="1">
                  <c:v>79.3</c:v>
                </c:pt>
                <c:pt idx="2">
                  <c:v>64.400000000000006</c:v>
                </c:pt>
                <c:pt idx="3">
                  <c:v>44.4</c:v>
                </c:pt>
                <c:pt idx="4">
                  <c:v>40.6</c:v>
                </c:pt>
              </c:numCache>
            </c:numRef>
          </c:val>
          <c:extLst xmlns:c16r2="http://schemas.microsoft.com/office/drawing/2015/06/chart">
            <c:ext xmlns:c16="http://schemas.microsoft.com/office/drawing/2014/chart" uri="{C3380CC4-5D6E-409C-BE32-E72D297353CC}">
              <c16:uniqueId val="{00000004-6270-42F5-B0AD-1760AEBE344A}"/>
            </c:ext>
          </c:extLst>
        </c:ser>
        <c:ser>
          <c:idx val="5"/>
          <c:order val="5"/>
          <c:tx>
            <c:v>17a</c:v>
          </c:tx>
          <c:spPr>
            <a:ln w="19050" cap="rnd">
              <a:solidFill>
                <a:schemeClr val="accent6"/>
              </a:solidFill>
              <a:round/>
            </a:ln>
            <a:effectLst/>
          </c:spPr>
          <c:marker>
            <c:symbol val="circle"/>
            <c:size val="5"/>
            <c:spPr>
              <a:solidFill>
                <a:schemeClr val="accent6"/>
              </a:solidFill>
              <a:ln w="9525">
                <a:solidFill>
                  <a:schemeClr val="accent6"/>
                </a:solidFill>
              </a:ln>
              <a:effectLst/>
            </c:spPr>
          </c:marker>
          <c:cat>
            <c:numRef>
              <c:f>Sheet1!$A$12:$A$16</c:f>
              <c:numCache>
                <c:formatCode>General</c:formatCode>
                <c:ptCount val="5"/>
                <c:pt idx="0">
                  <c:v>0</c:v>
                </c:pt>
                <c:pt idx="1">
                  <c:v>5</c:v>
                </c:pt>
                <c:pt idx="2">
                  <c:v>25</c:v>
                </c:pt>
                <c:pt idx="3">
                  <c:v>50</c:v>
                </c:pt>
                <c:pt idx="4">
                  <c:v>75</c:v>
                </c:pt>
              </c:numCache>
            </c:numRef>
          </c:cat>
          <c:val>
            <c:numRef>
              <c:f>Sheet1!$G$12:$G$16</c:f>
              <c:numCache>
                <c:formatCode>General</c:formatCode>
                <c:ptCount val="5"/>
                <c:pt idx="0">
                  <c:v>100</c:v>
                </c:pt>
                <c:pt idx="1">
                  <c:v>73.5</c:v>
                </c:pt>
                <c:pt idx="2">
                  <c:v>59.2</c:v>
                </c:pt>
                <c:pt idx="3">
                  <c:v>33.5</c:v>
                </c:pt>
                <c:pt idx="4">
                  <c:v>39.4</c:v>
                </c:pt>
              </c:numCache>
            </c:numRef>
          </c:val>
          <c:extLst xmlns:c16r2="http://schemas.microsoft.com/office/drawing/2015/06/chart">
            <c:ext xmlns:c16="http://schemas.microsoft.com/office/drawing/2014/chart" uri="{C3380CC4-5D6E-409C-BE32-E72D297353CC}">
              <c16:uniqueId val="{00000005-6270-42F5-B0AD-1760AEBE344A}"/>
            </c:ext>
          </c:extLst>
        </c:ser>
        <c:marker val="1"/>
        <c:axId val="182985472"/>
        <c:axId val="182987392"/>
      </c:lineChart>
      <c:catAx>
        <c:axId val="18298547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Concentration (µg/mL</a:t>
                </a:r>
                <a:endParaRPr lang="en-US"/>
              </a:p>
            </c:rich>
          </c:tx>
          <c:layout>
            <c:manualLayout>
              <c:xMode val="edge"/>
              <c:yMode val="edge"/>
              <c:x val="0.36278477690288741"/>
              <c:y val="0.92995904995904999"/>
            </c:manualLayout>
          </c:layout>
          <c:spPr>
            <a:noFill/>
            <a:ln>
              <a:noFill/>
            </a:ln>
            <a:effectLst/>
          </c:spPr>
        </c:title>
        <c:numFmt formatCode="General" sourceLinked="1"/>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87392"/>
        <c:crosses val="autoZero"/>
        <c:auto val="1"/>
        <c:lblAlgn val="ctr"/>
        <c:lblOffset val="100"/>
      </c:catAx>
      <c:valAx>
        <c:axId val="1829873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rPr>
                  <a:t>Cell viability%</a:t>
                </a:r>
                <a:endParaRPr lang="en-US" sz="1200">
                  <a:effectLst/>
                </a:endParaRPr>
              </a:p>
            </c:rich>
          </c:tx>
          <c:layout>
            <c:manualLayout>
              <c:xMode val="edge"/>
              <c:yMode val="edge"/>
              <c:x val="3.6111111111111122E-2"/>
              <c:y val="0.18245042465514913"/>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85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08E9F-7821-4E56-8485-21D39C98E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4235</Words>
  <Characters>24143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ChemTech</dc:creator>
  <cp:lastModifiedBy>chandiran, Manikandan</cp:lastModifiedBy>
  <cp:revision>2</cp:revision>
  <cp:lastPrinted>2020-02-04T12:03:00Z</cp:lastPrinted>
  <dcterms:created xsi:type="dcterms:W3CDTF">2020-06-08T05:55:00Z</dcterms:created>
  <dcterms:modified xsi:type="dcterms:W3CDTF">2020-06-08T05:55:00Z</dcterms:modified>
</cp:coreProperties>
</file>