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4016" w:rsidRPr="00AD6EB0" w:rsidRDefault="002510DD" w:rsidP="00C24016">
      <w:pPr>
        <w:jc w:val="center"/>
        <w:rPr>
          <w:rFonts w:ascii="Arial" w:eastAsia="Times New Roman" w:hAnsi="Arial" w:cs="Arial"/>
          <w:b/>
          <w:szCs w:val="24"/>
          <w:lang w:eastAsia="ar-SA"/>
        </w:rPr>
      </w:pPr>
      <w:r>
        <w:rPr>
          <w:rFonts w:ascii="Arial" w:hAnsi="Arial" w:cs="Arial"/>
          <w:b/>
          <w:szCs w:val="24"/>
        </w:rPr>
        <w:t xml:space="preserve">MM-GBSA </w:t>
      </w:r>
      <w:r w:rsidR="00C24016" w:rsidRPr="00AD6EB0">
        <w:rPr>
          <w:rFonts w:ascii="Arial" w:hAnsi="Arial" w:cs="Arial"/>
          <w:b/>
          <w:szCs w:val="24"/>
        </w:rPr>
        <w:t>calculations</w:t>
      </w:r>
    </w:p>
    <w:p w:rsidR="00C24016" w:rsidRPr="00AD6EB0" w:rsidRDefault="00C24016" w:rsidP="00C24016">
      <w:pPr>
        <w:autoSpaceDE w:val="0"/>
        <w:autoSpaceDN w:val="0"/>
        <w:adjustRightInd w:val="0"/>
        <w:rPr>
          <w:rFonts w:ascii="Arial" w:hAnsi="Arial" w:cs="Arial"/>
          <w:b/>
          <w:bCs/>
          <w:szCs w:val="24"/>
          <w:lang w:eastAsia="ar-SA"/>
        </w:rPr>
      </w:pPr>
      <w:r w:rsidRPr="00AD6EB0">
        <w:rPr>
          <w:rFonts w:ascii="Arial" w:hAnsi="Arial" w:cs="Arial"/>
          <w:b/>
          <w:bCs/>
          <w:szCs w:val="24"/>
          <w:lang w:eastAsia="ar-SA"/>
        </w:rPr>
        <w:t>Method</w:t>
      </w:r>
    </w:p>
    <w:p w:rsidR="00C24016" w:rsidRPr="00AD6EB0" w:rsidRDefault="00C24016" w:rsidP="00C24016">
      <w:pPr>
        <w:autoSpaceDE w:val="0"/>
        <w:autoSpaceDN w:val="0"/>
        <w:adjustRightInd w:val="0"/>
        <w:rPr>
          <w:rFonts w:ascii="Arial" w:eastAsia="AdvP641C" w:hAnsi="Arial" w:cs="Arial"/>
          <w:szCs w:val="24"/>
          <w:lang w:eastAsia="hi-IN"/>
        </w:rPr>
      </w:pPr>
      <w:r w:rsidRPr="00AD6EB0">
        <w:rPr>
          <w:rFonts w:ascii="Arial" w:hAnsi="Arial" w:cs="Arial"/>
          <w:szCs w:val="24"/>
          <w:lang w:eastAsia="ar-SA"/>
        </w:rPr>
        <w:t>The binding affinity of PDE4B-inhibitor complexes are studied using binding free energy calculations which were estimated using the MM-GBSA (</w:t>
      </w:r>
      <w:r w:rsidRPr="00AD6EB0">
        <w:rPr>
          <w:rFonts w:ascii="Arial" w:hAnsi="Arial" w:cs="Arial"/>
          <w:szCs w:val="24"/>
        </w:rPr>
        <w:t>Molecular Mechanics Generalized Born Surface Area</w:t>
      </w:r>
      <w:r w:rsidRPr="00AD6EB0">
        <w:rPr>
          <w:rFonts w:ascii="Arial" w:hAnsi="Arial" w:cs="Arial"/>
          <w:szCs w:val="24"/>
          <w:lang w:eastAsia="ar-SA"/>
        </w:rPr>
        <w:t xml:space="preserve">) method </w:t>
      </w:r>
      <w:r w:rsidRPr="00AD6EB0">
        <w:rPr>
          <w:rFonts w:ascii="Arial" w:hAnsi="Arial" w:cs="Arial"/>
          <w:szCs w:val="24"/>
          <w:lang w:eastAsia="ar-SA"/>
        </w:rPr>
        <w:fldChar w:fldCharType="begin"/>
      </w:r>
      <w:r w:rsidR="0011463D">
        <w:rPr>
          <w:rFonts w:ascii="Arial" w:hAnsi="Arial" w:cs="Arial"/>
          <w:szCs w:val="24"/>
          <w:lang w:eastAsia="ar-SA"/>
        </w:rPr>
        <w:instrText xml:space="preserve"> ADDIN EN.CITE &lt;EndNote&gt;&lt;Cite&gt;&lt;Author&gt;Genheden&lt;/Author&gt;&lt;Year&gt;2015&lt;/Year&gt;&lt;RecNum&gt;0&lt;/RecNum&gt;&lt;IDText&gt;The MM/PBSA and MM/GBSA methods to estimate ligand-binding affinities&lt;/IDText&gt;&lt;DisplayText&gt;(Genheden &amp;amp; Ryde 2015)&lt;/DisplayText&gt;&lt;record&gt;&lt;dates&gt;&lt;pub-dates&gt;&lt;date&gt;May&lt;/date&gt;&lt;/pub-dates&gt;&lt;year&gt;2015&lt;/year&gt;&lt;/dates&gt;&lt;keywords&gt;&lt;keyword&gt;Binding Sites&lt;/keyword&gt;&lt;keyword&gt;*Drug Design&lt;/keyword&gt;&lt;keyword&gt;Entropy&lt;/keyword&gt;&lt;keyword&gt;Humans&lt;/keyword&gt;&lt;keyword&gt;Ligands&lt;/keyword&gt;&lt;keyword&gt;*Molecular Dynamics Simulation&lt;/keyword&gt;&lt;keyword&gt;Pharmaceutical Preparations/*metabolism&lt;/keyword&gt;&lt;keyword&gt;Protein Binding&lt;/keyword&gt;&lt;keyword&gt;Water/chemistry&lt;/keyword&gt;&lt;keyword&gt;drug design&lt;/keyword&gt;&lt;keyword&gt;electrostatics&lt;/keyword&gt;&lt;keyword&gt;entropy&lt;/keyword&gt;&lt;keyword&gt;free energy perturbation&lt;/keyword&gt;&lt;keyword&gt;linear interaction energy&lt;/keyword&gt;&lt;keyword&gt;non-polar solvation&lt;/keyword&gt;&lt;keyword&gt;solvation&lt;/keyword&gt;&lt;/keywords&gt;&lt;urls&gt;&lt;related-urls&gt;&lt;url&gt;http://dx.doi.org/10.1517/17460441.2015.1032936&lt;/url&gt;&lt;/related-urls&gt;&lt;/urls&gt;&lt;isbn&gt;1746-0441&lt;/isbn&gt;&lt;custom2&gt;PMC4487606&lt;/custom2&gt;&lt;titles&gt;&lt;title&gt;The MM/PBSA and MM/GBSA methods to estimate ligand-binding affinities&lt;/title&gt;&lt;secondary-title&gt;Expert Opin Drug Discov&lt;/secondary-title&gt;&lt;alt-title&gt;Expert opinion on drug discovery&lt;/alt-title&gt;&lt;/titles&gt;&lt;pages&gt;449-61&lt;/pages&gt;&lt;number&gt;5&lt;/number&gt;&lt;contributors&gt;&lt;authors&gt;&lt;author&gt;Genheden, S.&lt;/author&gt;&lt;author&gt;Ryde, U.&lt;/author&gt;&lt;/authors&gt;&lt;/contributors&gt;&lt;edition&gt;2015/04/04&lt;/edition&gt;&lt;language&gt;eng&lt;/language&gt;&lt;added-date format="utc"&gt;1531436594&lt;/added-date&gt;&lt;ref-type name="Journal Article"&gt;17&lt;/ref-type&gt;&lt;auth-address&gt;University of Southampton, School of Chemistry , Highfield, SO17 1BJ, Southampton , UK.&lt;/auth-address&gt;&lt;remote-database-provider&gt;NLM&lt;/remote-database-provider&gt;&lt;rec-number&gt;2129&lt;/rec-number&gt;&lt;last-updated-date format="utc"&gt;1531436594&lt;/last-updated-date&gt;&lt;accession-num&gt;25835573&lt;/accession-num&gt;&lt;electronic-resource-num&gt;10.1517/17460441.2015.1032936&lt;/electronic-resource-num&gt;&lt;volume&gt;10&lt;/volume&gt;&lt;/record&gt;&lt;/Cite&gt;&lt;/EndNote&gt;</w:instrText>
      </w:r>
      <w:r w:rsidRPr="00AD6EB0">
        <w:rPr>
          <w:rFonts w:ascii="Arial" w:hAnsi="Arial" w:cs="Arial"/>
          <w:szCs w:val="24"/>
          <w:lang w:eastAsia="ar-SA"/>
        </w:rPr>
        <w:fldChar w:fldCharType="separate"/>
      </w:r>
      <w:r w:rsidR="0011463D">
        <w:rPr>
          <w:rFonts w:ascii="Arial" w:hAnsi="Arial" w:cs="Arial"/>
          <w:noProof/>
          <w:szCs w:val="24"/>
          <w:lang w:eastAsia="ar-SA"/>
        </w:rPr>
        <w:t>(Genheden &amp; Ryde 2015)</w:t>
      </w:r>
      <w:r w:rsidRPr="00AD6EB0">
        <w:rPr>
          <w:rFonts w:ascii="Arial" w:hAnsi="Arial" w:cs="Arial"/>
          <w:szCs w:val="24"/>
          <w:lang w:eastAsia="ar-SA"/>
        </w:rPr>
        <w:fldChar w:fldCharType="end"/>
      </w:r>
      <w:r w:rsidRPr="00AD6EB0">
        <w:rPr>
          <w:rFonts w:ascii="Arial" w:hAnsi="Arial" w:cs="Arial"/>
          <w:szCs w:val="24"/>
          <w:lang w:eastAsia="ar-SA"/>
        </w:rPr>
        <w:t xml:space="preserve">. Additionally, different components of the interaction energy that contribute to the binding were estimated. The entropy was not calculated, as we were interested in the comparative analysis of interaction parameters important to the inhibitor binding. </w:t>
      </w:r>
      <w:r w:rsidRPr="00AD6EB0">
        <w:rPr>
          <w:rFonts w:ascii="Arial" w:eastAsia="AdvP641C" w:hAnsi="Arial" w:cs="Arial"/>
          <w:szCs w:val="24"/>
          <w:lang w:eastAsia="hi-IN"/>
        </w:rPr>
        <w:t>Binding free energies (</w:t>
      </w:r>
      <w:proofErr w:type="spellStart"/>
      <w:r w:rsidRPr="00AD6EB0">
        <w:rPr>
          <w:rFonts w:ascii="Arial" w:eastAsia="AdvP641C" w:hAnsi="Arial" w:cs="Arial"/>
          <w:szCs w:val="24"/>
          <w:lang w:eastAsia="hi-IN"/>
        </w:rPr>
        <w:t>Δ</w:t>
      </w:r>
      <w:r w:rsidRPr="00AD6EB0">
        <w:rPr>
          <w:rFonts w:ascii="Arial" w:eastAsia="AdvP641C" w:hAnsi="Arial" w:cs="Arial"/>
          <w:iCs/>
          <w:szCs w:val="24"/>
          <w:lang w:eastAsia="hi-IN"/>
        </w:rPr>
        <w:t>G</w:t>
      </w:r>
      <w:r w:rsidRPr="00AD6EB0">
        <w:rPr>
          <w:rFonts w:ascii="Arial" w:eastAsia="AdvP641C" w:hAnsi="Arial" w:cs="Arial"/>
          <w:szCs w:val="24"/>
          <w:vertAlign w:val="subscript"/>
          <w:lang w:eastAsia="hi-IN"/>
        </w:rPr>
        <w:t>Bind</w:t>
      </w:r>
      <w:proofErr w:type="spellEnd"/>
      <w:r w:rsidRPr="00AD6EB0">
        <w:rPr>
          <w:rFonts w:ascii="Arial" w:eastAsia="AdvP641C" w:hAnsi="Arial" w:cs="Arial"/>
          <w:szCs w:val="24"/>
          <w:lang w:eastAsia="hi-IN"/>
        </w:rPr>
        <w:t>) of Ligands at catalytic cavity of protein was calculated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552"/>
        <w:gridCol w:w="1404"/>
      </w:tblGrid>
      <w:tr w:rsidR="00C24016" w:rsidRPr="00AD6EB0" w:rsidTr="00846F71">
        <w:tc>
          <w:tcPr>
            <w:tcW w:w="750" w:type="pct"/>
          </w:tcPr>
          <w:p w:rsidR="00C24016" w:rsidRPr="00AD6EB0" w:rsidRDefault="00C24016" w:rsidP="00846F71">
            <w:pPr>
              <w:widowControl w:val="0"/>
              <w:suppressAutoHyphens/>
              <w:overflowPunct w:val="0"/>
              <w:autoSpaceDE w:val="0"/>
              <w:textAlignment w:val="baseline"/>
              <w:rPr>
                <w:rFonts w:ascii="Arial" w:eastAsia="AdvP641C" w:hAnsi="Arial" w:cs="Arial"/>
                <w:szCs w:val="24"/>
                <w:lang w:eastAsia="hi-IN"/>
              </w:rPr>
            </w:pPr>
          </w:p>
        </w:tc>
        <w:tc>
          <w:tcPr>
            <w:tcW w:w="3500" w:type="pct"/>
          </w:tcPr>
          <w:p w:rsidR="00C24016" w:rsidRPr="00AD6EB0" w:rsidRDefault="00FD10A5" w:rsidP="00846F71">
            <w:pPr>
              <w:widowControl w:val="0"/>
              <w:suppressAutoHyphens/>
              <w:overflowPunct w:val="0"/>
              <w:autoSpaceDE w:val="0"/>
              <w:textAlignment w:val="baseline"/>
              <w:rPr>
                <w:rFonts w:ascii="Arial" w:eastAsia="AdvP641C" w:hAnsi="Arial" w:cs="Arial"/>
                <w:b/>
                <w:i/>
                <w:szCs w:val="24"/>
                <w:lang w:eastAsia="hi-IN"/>
              </w:rPr>
            </w:pPr>
            <m:oMathPara>
              <m:oMath>
                <m:sSub>
                  <m:sSubPr>
                    <m:ctrlPr>
                      <w:rPr>
                        <w:rFonts w:ascii="Cambria Math" w:eastAsia="AdvP641C" w:hAnsi="Cambria Math" w:cs="Arial"/>
                        <w:b/>
                        <w:i/>
                        <w:szCs w:val="24"/>
                        <w:lang w:eastAsia="hi-IN"/>
                      </w:rPr>
                    </m:ctrlPr>
                  </m:sSubPr>
                  <m:e>
                    <m:r>
                      <m:rPr>
                        <m:sty m:val="bi"/>
                      </m:rPr>
                      <w:rPr>
                        <w:rFonts w:ascii="Cambria Math" w:eastAsia="AdvP641C" w:hAnsi="Cambria Math" w:cs="Arial"/>
                        <w:szCs w:val="24"/>
                        <w:lang w:eastAsia="hi-IN"/>
                      </w:rPr>
                      <m:t>∆G</m:t>
                    </m:r>
                  </m:e>
                  <m:sub>
                    <m:r>
                      <m:rPr>
                        <m:sty m:val="bi"/>
                      </m:rPr>
                      <w:rPr>
                        <w:rFonts w:ascii="Cambria Math" w:eastAsia="AdvP641C" w:hAnsi="Cambria Math" w:cs="Arial"/>
                        <w:szCs w:val="24"/>
                        <w:lang w:eastAsia="hi-IN"/>
                      </w:rPr>
                      <m:t>Bind</m:t>
                    </m:r>
                  </m:sub>
                </m:sSub>
                <m:r>
                  <m:rPr>
                    <m:sty m:val="bi"/>
                  </m:rPr>
                  <w:rPr>
                    <w:rFonts w:ascii="Cambria Math" w:eastAsia="AdvP641C" w:hAnsi="Cambria Math" w:cs="Arial"/>
                    <w:szCs w:val="24"/>
                    <w:lang w:eastAsia="hi-IN"/>
                  </w:rPr>
                  <m:t>=</m:t>
                </m:r>
                <m:sSub>
                  <m:sSubPr>
                    <m:ctrlPr>
                      <w:rPr>
                        <w:rFonts w:ascii="Cambria Math" w:eastAsia="AdvP641C" w:hAnsi="Cambria Math" w:cs="Arial"/>
                        <w:b/>
                        <w:i/>
                        <w:szCs w:val="24"/>
                        <w:lang w:eastAsia="hi-IN"/>
                      </w:rPr>
                    </m:ctrlPr>
                  </m:sSubPr>
                  <m:e>
                    <m:r>
                      <m:rPr>
                        <m:sty m:val="bi"/>
                      </m:rPr>
                      <w:rPr>
                        <w:rFonts w:ascii="Cambria Math" w:eastAsia="AdvP641C" w:hAnsi="Cambria Math" w:cs="Arial"/>
                        <w:szCs w:val="24"/>
                        <w:lang w:eastAsia="hi-IN"/>
                      </w:rPr>
                      <m:t>G</m:t>
                    </m:r>
                  </m:e>
                  <m:sub>
                    <m:r>
                      <m:rPr>
                        <m:sty m:val="bi"/>
                      </m:rPr>
                      <w:rPr>
                        <w:rFonts w:ascii="Cambria Math" w:eastAsia="AdvP641C" w:hAnsi="Cambria Math" w:cs="Arial"/>
                        <w:szCs w:val="24"/>
                        <w:lang w:eastAsia="hi-IN"/>
                      </w:rPr>
                      <m:t>Complex</m:t>
                    </m:r>
                  </m:sub>
                </m:sSub>
                <m:r>
                  <m:rPr>
                    <m:sty m:val="bi"/>
                  </m:rPr>
                  <w:rPr>
                    <w:rFonts w:ascii="Cambria Math" w:eastAsia="AdvP641C" w:hAnsi="Cambria Math" w:cs="Arial"/>
                    <w:szCs w:val="24"/>
                    <w:lang w:eastAsia="hi-IN"/>
                  </w:rPr>
                  <m:t>-</m:t>
                </m:r>
                <m:sSub>
                  <m:sSubPr>
                    <m:ctrlPr>
                      <w:rPr>
                        <w:rFonts w:ascii="Cambria Math" w:eastAsia="AdvP641C" w:hAnsi="Cambria Math" w:cs="Arial"/>
                        <w:b/>
                        <w:i/>
                        <w:szCs w:val="24"/>
                        <w:lang w:eastAsia="hi-IN"/>
                      </w:rPr>
                    </m:ctrlPr>
                  </m:sSubPr>
                  <m:e>
                    <m:r>
                      <m:rPr>
                        <m:sty m:val="bi"/>
                      </m:rPr>
                      <w:rPr>
                        <w:rFonts w:ascii="Cambria Math" w:eastAsia="AdvP641C" w:hAnsi="Cambria Math" w:cs="Arial"/>
                        <w:szCs w:val="24"/>
                        <w:lang w:eastAsia="hi-IN"/>
                      </w:rPr>
                      <m:t>G</m:t>
                    </m:r>
                  </m:e>
                  <m:sub>
                    <m:r>
                      <m:rPr>
                        <m:sty m:val="bi"/>
                      </m:rPr>
                      <w:rPr>
                        <w:rFonts w:ascii="Cambria Math" w:eastAsia="AdvP641C" w:hAnsi="Cambria Math" w:cs="Arial"/>
                        <w:szCs w:val="24"/>
                        <w:lang w:eastAsia="hi-IN"/>
                      </w:rPr>
                      <m:t>Protein</m:t>
                    </m:r>
                  </m:sub>
                </m:sSub>
                <m:r>
                  <m:rPr>
                    <m:sty m:val="bi"/>
                  </m:rPr>
                  <w:rPr>
                    <w:rFonts w:ascii="Cambria Math" w:eastAsia="AdvP641C" w:hAnsi="Cambria Math" w:cs="Arial"/>
                    <w:szCs w:val="24"/>
                    <w:lang w:eastAsia="hi-IN"/>
                  </w:rPr>
                  <m:t>-</m:t>
                </m:r>
                <m:sSub>
                  <m:sSubPr>
                    <m:ctrlPr>
                      <w:rPr>
                        <w:rFonts w:ascii="Cambria Math" w:eastAsia="AdvP641C" w:hAnsi="Cambria Math" w:cs="Arial"/>
                        <w:b/>
                        <w:i/>
                        <w:szCs w:val="24"/>
                        <w:lang w:eastAsia="hi-IN"/>
                      </w:rPr>
                    </m:ctrlPr>
                  </m:sSubPr>
                  <m:e>
                    <m:r>
                      <m:rPr>
                        <m:sty m:val="bi"/>
                      </m:rPr>
                      <w:rPr>
                        <w:rFonts w:ascii="Cambria Math" w:eastAsia="AdvP641C" w:hAnsi="Cambria Math" w:cs="Arial"/>
                        <w:szCs w:val="24"/>
                        <w:lang w:eastAsia="hi-IN"/>
                      </w:rPr>
                      <m:t>G</m:t>
                    </m:r>
                  </m:e>
                  <m:sub>
                    <m:r>
                      <m:rPr>
                        <m:sty m:val="bi"/>
                      </m:rPr>
                      <w:rPr>
                        <w:rFonts w:ascii="Cambria Math" w:eastAsia="AdvP641C" w:hAnsi="Cambria Math" w:cs="Arial"/>
                        <w:szCs w:val="24"/>
                        <w:lang w:eastAsia="hi-IN"/>
                      </w:rPr>
                      <m:t>Ligand</m:t>
                    </m:r>
                  </m:sub>
                </m:sSub>
              </m:oMath>
            </m:oMathPara>
          </w:p>
        </w:tc>
        <w:tc>
          <w:tcPr>
            <w:tcW w:w="750" w:type="pct"/>
            <w:vAlign w:val="center"/>
          </w:tcPr>
          <w:p w:rsidR="00C24016" w:rsidRPr="00AD6EB0" w:rsidRDefault="00C24016" w:rsidP="00846F71">
            <w:pPr>
              <w:widowControl w:val="0"/>
              <w:suppressAutoHyphens/>
              <w:overflowPunct w:val="0"/>
              <w:autoSpaceDE w:val="0"/>
              <w:textAlignment w:val="baseline"/>
              <w:rPr>
                <w:rFonts w:ascii="Arial" w:eastAsia="AdvP641C" w:hAnsi="Arial" w:cs="Arial"/>
                <w:b/>
                <w:szCs w:val="24"/>
                <w:lang w:eastAsia="hi-IN"/>
              </w:rPr>
            </w:pPr>
            <w:r w:rsidRPr="00AD6EB0">
              <w:rPr>
                <w:rFonts w:ascii="Arial" w:eastAsia="AdvP641C" w:hAnsi="Arial" w:cs="Arial"/>
                <w:b/>
                <w:szCs w:val="24"/>
                <w:lang w:eastAsia="hi-IN"/>
              </w:rPr>
              <w:t>(1)</w:t>
            </w:r>
          </w:p>
        </w:tc>
      </w:tr>
    </w:tbl>
    <w:p w:rsidR="00C24016" w:rsidRPr="00AD6EB0" w:rsidRDefault="00C24016" w:rsidP="00C24016">
      <w:pPr>
        <w:rPr>
          <w:rFonts w:ascii="Arial" w:hAnsi="Arial" w:cs="Arial"/>
          <w:szCs w:val="24"/>
          <w:lang w:eastAsia="hi-IN"/>
        </w:rPr>
      </w:pPr>
      <w:r w:rsidRPr="00AD6EB0">
        <w:rPr>
          <w:rFonts w:ascii="Arial" w:hAnsi="Arial" w:cs="Arial"/>
          <w:szCs w:val="24"/>
          <w:lang w:eastAsia="hi-IN"/>
        </w:rPr>
        <w:t xml:space="preserve">Where, </w:t>
      </w:r>
      <w:proofErr w:type="spellStart"/>
      <w:r w:rsidRPr="00AD6EB0">
        <w:rPr>
          <w:rFonts w:ascii="Arial" w:hAnsi="Arial" w:cs="Arial"/>
          <w:szCs w:val="24"/>
          <w:lang w:eastAsia="hi-IN"/>
        </w:rPr>
        <w:t>G</w:t>
      </w:r>
      <w:r w:rsidRPr="00AD6EB0">
        <w:rPr>
          <w:rFonts w:ascii="Arial" w:hAnsi="Arial" w:cs="Arial"/>
          <w:szCs w:val="24"/>
          <w:vertAlign w:val="subscript"/>
          <w:lang w:eastAsia="hi-IN"/>
        </w:rPr>
        <w:t>Complex</w:t>
      </w:r>
      <w:proofErr w:type="spellEnd"/>
      <w:r w:rsidRPr="00AD6EB0">
        <w:rPr>
          <w:rFonts w:ascii="Arial" w:hAnsi="Arial" w:cs="Arial"/>
          <w:szCs w:val="24"/>
          <w:lang w:eastAsia="hi-IN"/>
        </w:rPr>
        <w:t xml:space="preserve"> </w:t>
      </w:r>
      <w:proofErr w:type="spellStart"/>
      <w:r w:rsidRPr="00AD6EB0">
        <w:rPr>
          <w:rFonts w:ascii="Arial" w:hAnsi="Arial" w:cs="Arial"/>
          <w:szCs w:val="24"/>
          <w:lang w:eastAsia="hi-IN"/>
        </w:rPr>
        <w:t>G</w:t>
      </w:r>
      <w:r w:rsidRPr="00AD6EB0">
        <w:rPr>
          <w:rFonts w:ascii="Arial" w:hAnsi="Arial" w:cs="Arial"/>
          <w:szCs w:val="24"/>
          <w:vertAlign w:val="subscript"/>
          <w:lang w:eastAsia="hi-IN"/>
        </w:rPr>
        <w:t>Protein</w:t>
      </w:r>
      <w:proofErr w:type="spellEnd"/>
      <w:r w:rsidRPr="00AD6EB0">
        <w:rPr>
          <w:rFonts w:ascii="Arial" w:hAnsi="Arial" w:cs="Arial"/>
          <w:szCs w:val="24"/>
          <w:lang w:eastAsia="hi-IN"/>
        </w:rPr>
        <w:t xml:space="preserve"> and </w:t>
      </w:r>
      <w:proofErr w:type="spellStart"/>
      <w:r w:rsidRPr="00AD6EB0">
        <w:rPr>
          <w:rFonts w:ascii="Arial" w:hAnsi="Arial" w:cs="Arial"/>
          <w:szCs w:val="24"/>
          <w:lang w:eastAsia="hi-IN"/>
        </w:rPr>
        <w:t>G</w:t>
      </w:r>
      <w:r w:rsidRPr="00AD6EB0">
        <w:rPr>
          <w:rFonts w:ascii="Arial" w:hAnsi="Arial" w:cs="Arial"/>
          <w:szCs w:val="24"/>
          <w:vertAlign w:val="subscript"/>
          <w:lang w:eastAsia="hi-IN"/>
        </w:rPr>
        <w:t>Ligand</w:t>
      </w:r>
      <w:proofErr w:type="spellEnd"/>
      <w:r w:rsidRPr="00AD6EB0">
        <w:rPr>
          <w:rFonts w:ascii="Arial" w:hAnsi="Arial" w:cs="Arial"/>
          <w:szCs w:val="24"/>
          <w:lang w:eastAsia="hi-IN"/>
        </w:rPr>
        <w:t xml:space="preserve"> is the free energy of complex, protein (PDE4B), and ligand, respectively. Free energy (ΔG) of each state was calculated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552"/>
        <w:gridCol w:w="1404"/>
      </w:tblGrid>
      <w:tr w:rsidR="00C24016" w:rsidRPr="00AD6EB0" w:rsidTr="00846F71">
        <w:tc>
          <w:tcPr>
            <w:tcW w:w="750" w:type="pct"/>
          </w:tcPr>
          <w:p w:rsidR="00C24016" w:rsidRPr="00AD6EB0" w:rsidRDefault="00C24016" w:rsidP="00846F71">
            <w:pPr>
              <w:widowControl w:val="0"/>
              <w:suppressAutoHyphens/>
              <w:overflowPunct w:val="0"/>
              <w:autoSpaceDE w:val="0"/>
              <w:textAlignment w:val="baseline"/>
              <w:rPr>
                <w:rFonts w:ascii="Arial" w:eastAsia="AdvP641C" w:hAnsi="Arial" w:cs="Arial"/>
                <w:szCs w:val="24"/>
                <w:lang w:eastAsia="hi-IN"/>
              </w:rPr>
            </w:pPr>
          </w:p>
        </w:tc>
        <w:tc>
          <w:tcPr>
            <w:tcW w:w="3500" w:type="pct"/>
          </w:tcPr>
          <w:p w:rsidR="00C24016" w:rsidRPr="00AD6EB0" w:rsidRDefault="00C24016" w:rsidP="00846F71">
            <w:pPr>
              <w:widowControl w:val="0"/>
              <w:suppressAutoHyphens/>
              <w:overflowPunct w:val="0"/>
              <w:autoSpaceDE w:val="0"/>
              <w:textAlignment w:val="baseline"/>
              <w:rPr>
                <w:rFonts w:ascii="Arial" w:eastAsia="AdvP641C" w:hAnsi="Arial" w:cs="Arial"/>
                <w:b/>
                <w:i/>
                <w:szCs w:val="24"/>
                <w:lang w:eastAsia="hi-IN"/>
              </w:rPr>
            </w:pPr>
            <m:oMathPara>
              <m:oMath>
                <m:r>
                  <m:rPr>
                    <m:sty m:val="bi"/>
                  </m:rPr>
                  <w:rPr>
                    <w:rFonts w:ascii="Cambria Math" w:eastAsia="AdvP641C" w:hAnsi="Cambria Math" w:cs="Arial"/>
                    <w:szCs w:val="24"/>
                    <w:vertAlign w:val="subscript"/>
                    <w:lang w:eastAsia="hi-IN"/>
                  </w:rPr>
                  <m:t>G=</m:t>
                </m:r>
                <m:sSub>
                  <m:sSubPr>
                    <m:ctrlPr>
                      <w:rPr>
                        <w:rFonts w:ascii="Cambria Math" w:eastAsia="AdvP641C" w:hAnsi="Cambria Math" w:cs="Arial"/>
                        <w:b/>
                        <w:i/>
                        <w:szCs w:val="24"/>
                        <w:vertAlign w:val="subscript"/>
                        <w:lang w:eastAsia="hi-IN"/>
                      </w:rPr>
                    </m:ctrlPr>
                  </m:sSubPr>
                  <m:e>
                    <m:r>
                      <m:rPr>
                        <m:sty m:val="bi"/>
                      </m:rPr>
                      <w:rPr>
                        <w:rFonts w:ascii="Cambria Math" w:eastAsia="AdvP641C" w:hAnsi="Cambria Math" w:cs="Arial"/>
                        <w:szCs w:val="24"/>
                        <w:vertAlign w:val="subscript"/>
                        <w:lang w:eastAsia="hi-IN"/>
                      </w:rPr>
                      <m:t>E</m:t>
                    </m:r>
                  </m:e>
                  <m:sub>
                    <m:r>
                      <m:rPr>
                        <m:sty m:val="bi"/>
                      </m:rPr>
                      <w:rPr>
                        <w:rFonts w:ascii="Cambria Math" w:eastAsia="AdvP641C" w:hAnsi="Cambria Math" w:cs="Arial"/>
                        <w:szCs w:val="24"/>
                        <w:vertAlign w:val="subscript"/>
                        <w:lang w:eastAsia="hi-IN"/>
                      </w:rPr>
                      <m:t>MM</m:t>
                    </m:r>
                  </m:sub>
                </m:sSub>
                <m:r>
                  <m:rPr>
                    <m:sty m:val="bi"/>
                  </m:rPr>
                  <w:rPr>
                    <w:rFonts w:ascii="Cambria Math" w:eastAsia="AdvP641C" w:hAnsi="Cambria Math" w:cs="Arial"/>
                    <w:szCs w:val="24"/>
                    <w:vertAlign w:val="subscript"/>
                    <w:lang w:eastAsia="hi-IN"/>
                  </w:rPr>
                  <m:t>+</m:t>
                </m:r>
                <m:sSub>
                  <m:sSubPr>
                    <m:ctrlPr>
                      <w:rPr>
                        <w:rFonts w:ascii="Cambria Math" w:eastAsia="AdvP641C" w:hAnsi="Cambria Math" w:cs="Arial"/>
                        <w:b/>
                        <w:i/>
                        <w:szCs w:val="24"/>
                        <w:vertAlign w:val="subscript"/>
                        <w:lang w:eastAsia="hi-IN"/>
                      </w:rPr>
                    </m:ctrlPr>
                  </m:sSubPr>
                  <m:e>
                    <m:r>
                      <m:rPr>
                        <m:sty m:val="bi"/>
                      </m:rPr>
                      <w:rPr>
                        <w:rFonts w:ascii="Cambria Math" w:eastAsia="AdvP641C" w:hAnsi="Cambria Math" w:cs="Arial"/>
                        <w:szCs w:val="24"/>
                        <w:vertAlign w:val="subscript"/>
                        <w:lang w:eastAsia="hi-IN"/>
                      </w:rPr>
                      <m:t>G</m:t>
                    </m:r>
                  </m:e>
                  <m:sub>
                    <m:r>
                      <m:rPr>
                        <m:sty m:val="bi"/>
                      </m:rPr>
                      <w:rPr>
                        <w:rFonts w:ascii="Cambria Math" w:eastAsia="AdvP641C" w:hAnsi="Cambria Math" w:cs="Arial"/>
                        <w:szCs w:val="24"/>
                        <w:vertAlign w:val="subscript"/>
                        <w:lang w:eastAsia="hi-IN"/>
                      </w:rPr>
                      <m:t>GB</m:t>
                    </m:r>
                  </m:sub>
                </m:sSub>
                <m:r>
                  <m:rPr>
                    <m:sty m:val="bi"/>
                  </m:rPr>
                  <w:rPr>
                    <w:rFonts w:ascii="Cambria Math" w:eastAsia="AdvP641C" w:hAnsi="Cambria Math" w:cs="Arial"/>
                    <w:szCs w:val="24"/>
                    <w:vertAlign w:val="subscript"/>
                    <w:lang w:eastAsia="hi-IN"/>
                  </w:rPr>
                  <m:t>+</m:t>
                </m:r>
                <m:sSub>
                  <m:sSubPr>
                    <m:ctrlPr>
                      <w:rPr>
                        <w:rFonts w:ascii="Cambria Math" w:eastAsia="AdvP641C" w:hAnsi="Cambria Math" w:cs="Arial"/>
                        <w:b/>
                        <w:i/>
                        <w:szCs w:val="24"/>
                        <w:vertAlign w:val="subscript"/>
                        <w:lang w:eastAsia="hi-IN"/>
                      </w:rPr>
                    </m:ctrlPr>
                  </m:sSubPr>
                  <m:e>
                    <m:r>
                      <m:rPr>
                        <m:sty m:val="bi"/>
                      </m:rPr>
                      <w:rPr>
                        <w:rFonts w:ascii="Cambria Math" w:eastAsia="AdvP641C" w:hAnsi="Cambria Math" w:cs="Arial"/>
                        <w:szCs w:val="24"/>
                        <w:vertAlign w:val="subscript"/>
                        <w:lang w:eastAsia="hi-IN"/>
                      </w:rPr>
                      <m:t>G</m:t>
                    </m:r>
                  </m:e>
                  <m:sub>
                    <m:r>
                      <m:rPr>
                        <m:sty m:val="bi"/>
                      </m:rPr>
                      <w:rPr>
                        <w:rFonts w:ascii="Cambria Math" w:eastAsia="AdvP641C" w:hAnsi="Cambria Math" w:cs="Arial"/>
                        <w:szCs w:val="24"/>
                        <w:vertAlign w:val="subscript"/>
                        <w:lang w:eastAsia="hi-IN"/>
                      </w:rPr>
                      <m:t>SA</m:t>
                    </m:r>
                  </m:sub>
                </m:sSub>
                <m:r>
                  <m:rPr>
                    <m:sty m:val="bi"/>
                  </m:rPr>
                  <w:rPr>
                    <w:rFonts w:ascii="Cambria Math" w:eastAsia="AdvP641C" w:hAnsi="Cambria Math" w:cs="Arial"/>
                    <w:szCs w:val="24"/>
                    <w:vertAlign w:val="subscript"/>
                    <w:lang w:eastAsia="hi-IN"/>
                  </w:rPr>
                  <m:t>-TS</m:t>
                </m:r>
              </m:oMath>
            </m:oMathPara>
          </w:p>
        </w:tc>
        <w:tc>
          <w:tcPr>
            <w:tcW w:w="750" w:type="pct"/>
            <w:vAlign w:val="center"/>
          </w:tcPr>
          <w:p w:rsidR="00C24016" w:rsidRPr="00AD6EB0" w:rsidRDefault="00C24016" w:rsidP="00846F71">
            <w:pPr>
              <w:widowControl w:val="0"/>
              <w:suppressAutoHyphens/>
              <w:overflowPunct w:val="0"/>
              <w:autoSpaceDE w:val="0"/>
              <w:textAlignment w:val="baseline"/>
              <w:rPr>
                <w:rFonts w:ascii="Arial" w:eastAsia="AdvP641C" w:hAnsi="Arial" w:cs="Arial"/>
                <w:b/>
                <w:szCs w:val="24"/>
                <w:lang w:eastAsia="hi-IN"/>
              </w:rPr>
            </w:pPr>
            <w:r w:rsidRPr="00AD6EB0">
              <w:rPr>
                <w:rFonts w:ascii="Arial" w:eastAsia="AdvP641C" w:hAnsi="Arial" w:cs="Arial"/>
                <w:b/>
                <w:szCs w:val="24"/>
                <w:lang w:eastAsia="hi-IN"/>
              </w:rPr>
              <w:t>(2)</w:t>
            </w:r>
          </w:p>
        </w:tc>
      </w:tr>
      <w:tr w:rsidR="00C24016" w:rsidRPr="00AD6EB0" w:rsidTr="00846F71">
        <w:tc>
          <w:tcPr>
            <w:tcW w:w="750" w:type="pct"/>
          </w:tcPr>
          <w:p w:rsidR="00C24016" w:rsidRPr="00AD6EB0" w:rsidRDefault="00C24016" w:rsidP="00846F71">
            <w:pPr>
              <w:widowControl w:val="0"/>
              <w:suppressAutoHyphens/>
              <w:overflowPunct w:val="0"/>
              <w:autoSpaceDE w:val="0"/>
              <w:textAlignment w:val="baseline"/>
              <w:rPr>
                <w:rFonts w:ascii="Arial" w:eastAsia="AdvP641C" w:hAnsi="Arial" w:cs="Arial"/>
                <w:szCs w:val="24"/>
                <w:lang w:eastAsia="hi-IN"/>
              </w:rPr>
            </w:pPr>
          </w:p>
        </w:tc>
        <w:tc>
          <w:tcPr>
            <w:tcW w:w="3500" w:type="pct"/>
          </w:tcPr>
          <w:p w:rsidR="00C24016" w:rsidRPr="00AD6EB0" w:rsidRDefault="00FD10A5" w:rsidP="00846F71">
            <w:pPr>
              <w:widowControl w:val="0"/>
              <w:suppressAutoHyphens/>
              <w:overflowPunct w:val="0"/>
              <w:autoSpaceDE w:val="0"/>
              <w:textAlignment w:val="baseline"/>
              <w:rPr>
                <w:rFonts w:ascii="Arial" w:eastAsia="AdvP641C" w:hAnsi="Arial" w:cs="Arial"/>
                <w:b/>
                <w:i/>
                <w:szCs w:val="24"/>
                <w:lang w:eastAsia="hi-IN"/>
              </w:rPr>
            </w:pPr>
            <m:oMathPara>
              <m:oMath>
                <m:sSub>
                  <m:sSubPr>
                    <m:ctrlPr>
                      <w:rPr>
                        <w:rFonts w:ascii="Cambria Math" w:eastAsia="AdvP641C" w:hAnsi="Cambria Math" w:cs="Arial"/>
                        <w:b/>
                        <w:szCs w:val="24"/>
                        <w:vertAlign w:val="subscript"/>
                        <w:lang w:eastAsia="hi-IN"/>
                      </w:rPr>
                    </m:ctrlPr>
                  </m:sSubPr>
                  <m:e>
                    <m:r>
                      <m:rPr>
                        <m:sty m:val="b"/>
                      </m:rPr>
                      <w:rPr>
                        <w:rFonts w:ascii="Cambria Math" w:eastAsia="AdvP641C" w:hAnsi="Cambria Math" w:cs="Arial"/>
                        <w:szCs w:val="24"/>
                        <w:vertAlign w:val="subscript"/>
                        <w:lang w:eastAsia="hi-IN"/>
                      </w:rPr>
                      <m:t>E</m:t>
                    </m:r>
                  </m:e>
                  <m:sub>
                    <m:r>
                      <m:rPr>
                        <m:sty m:val="b"/>
                      </m:rPr>
                      <w:rPr>
                        <w:rFonts w:ascii="Cambria Math" w:eastAsia="AdvP641C" w:hAnsi="Cambria Math" w:cs="Arial"/>
                        <w:szCs w:val="24"/>
                        <w:vertAlign w:val="subscript"/>
                        <w:lang w:eastAsia="hi-IN"/>
                      </w:rPr>
                      <m:t>MM</m:t>
                    </m:r>
                  </m:sub>
                </m:sSub>
                <m:r>
                  <m:rPr>
                    <m:sty m:val="b"/>
                  </m:rPr>
                  <w:rPr>
                    <w:rFonts w:ascii="Cambria Math" w:eastAsia="AdvP641C" w:hAnsi="Cambria Math" w:cs="Arial"/>
                    <w:szCs w:val="24"/>
                    <w:vertAlign w:val="subscript"/>
                    <w:lang w:eastAsia="hi-IN"/>
                  </w:rPr>
                  <m:t>=</m:t>
                </m:r>
                <m:sSub>
                  <m:sSubPr>
                    <m:ctrlPr>
                      <w:rPr>
                        <w:rFonts w:ascii="Cambria Math" w:eastAsia="AdvP641C" w:hAnsi="Cambria Math" w:cs="Arial"/>
                        <w:b/>
                        <w:szCs w:val="24"/>
                        <w:vertAlign w:val="subscript"/>
                        <w:lang w:eastAsia="hi-IN"/>
                      </w:rPr>
                    </m:ctrlPr>
                  </m:sSubPr>
                  <m:e>
                    <m:r>
                      <m:rPr>
                        <m:sty m:val="b"/>
                      </m:rPr>
                      <w:rPr>
                        <w:rFonts w:ascii="Cambria Math" w:eastAsia="AdvP641C" w:hAnsi="Cambria Math" w:cs="Arial"/>
                        <w:szCs w:val="24"/>
                        <w:vertAlign w:val="subscript"/>
                        <w:lang w:eastAsia="hi-IN"/>
                      </w:rPr>
                      <m:t>E</m:t>
                    </m:r>
                  </m:e>
                  <m:sub>
                    <m:r>
                      <m:rPr>
                        <m:sty m:val="b"/>
                      </m:rPr>
                      <w:rPr>
                        <w:rFonts w:ascii="Cambria Math" w:eastAsia="AdvP641C" w:hAnsi="Cambria Math" w:cs="Arial"/>
                        <w:szCs w:val="24"/>
                        <w:vertAlign w:val="subscript"/>
                        <w:lang w:eastAsia="hi-IN"/>
                      </w:rPr>
                      <m:t>vdw</m:t>
                    </m:r>
                  </m:sub>
                </m:sSub>
                <m:r>
                  <m:rPr>
                    <m:sty m:val="b"/>
                  </m:rPr>
                  <w:rPr>
                    <w:rFonts w:ascii="Cambria Math" w:eastAsia="AdvP641C" w:hAnsi="Cambria Math" w:cs="Arial"/>
                    <w:szCs w:val="24"/>
                    <w:vertAlign w:val="subscript"/>
                    <w:lang w:eastAsia="hi-IN"/>
                  </w:rPr>
                  <m:t>+</m:t>
                </m:r>
                <m:sSub>
                  <m:sSubPr>
                    <m:ctrlPr>
                      <w:rPr>
                        <w:rFonts w:ascii="Cambria Math" w:eastAsia="AdvP641C" w:hAnsi="Cambria Math" w:cs="Arial"/>
                        <w:b/>
                        <w:szCs w:val="24"/>
                        <w:vertAlign w:val="subscript"/>
                        <w:lang w:eastAsia="hi-IN"/>
                      </w:rPr>
                    </m:ctrlPr>
                  </m:sSubPr>
                  <m:e>
                    <m:r>
                      <m:rPr>
                        <m:sty m:val="b"/>
                      </m:rPr>
                      <w:rPr>
                        <w:rFonts w:ascii="Cambria Math" w:eastAsia="AdvP641C" w:hAnsi="Cambria Math" w:cs="Arial"/>
                        <w:szCs w:val="24"/>
                        <w:vertAlign w:val="subscript"/>
                        <w:lang w:eastAsia="hi-IN"/>
                      </w:rPr>
                      <m:t>E</m:t>
                    </m:r>
                  </m:e>
                  <m:sub>
                    <m:r>
                      <m:rPr>
                        <m:sty m:val="b"/>
                      </m:rPr>
                      <w:rPr>
                        <w:rFonts w:ascii="Cambria Math" w:eastAsia="AdvP641C" w:hAnsi="Cambria Math" w:cs="Arial"/>
                        <w:szCs w:val="24"/>
                        <w:vertAlign w:val="subscript"/>
                        <w:lang w:eastAsia="hi-IN"/>
                      </w:rPr>
                      <m:t>ele</m:t>
                    </m:r>
                  </m:sub>
                </m:sSub>
                <m:r>
                  <m:rPr>
                    <m:sty m:val="b"/>
                  </m:rPr>
                  <w:rPr>
                    <w:rFonts w:ascii="Cambria Math" w:eastAsia="AdvP641C" w:hAnsi="Cambria Math" w:cs="Arial"/>
                    <w:szCs w:val="24"/>
                    <w:vertAlign w:val="subscript"/>
                    <w:lang w:eastAsia="hi-IN"/>
                  </w:rPr>
                  <m:t>+</m:t>
                </m:r>
                <m:sSub>
                  <m:sSubPr>
                    <m:ctrlPr>
                      <w:rPr>
                        <w:rFonts w:ascii="Cambria Math" w:eastAsia="AdvP641C" w:hAnsi="Cambria Math" w:cs="Arial"/>
                        <w:b/>
                        <w:szCs w:val="24"/>
                        <w:vertAlign w:val="subscript"/>
                        <w:lang w:eastAsia="hi-IN"/>
                      </w:rPr>
                    </m:ctrlPr>
                  </m:sSubPr>
                  <m:e>
                    <m:r>
                      <m:rPr>
                        <m:sty m:val="b"/>
                      </m:rPr>
                      <w:rPr>
                        <w:rFonts w:ascii="Cambria Math" w:eastAsia="AdvP641C" w:hAnsi="Cambria Math" w:cs="Arial"/>
                        <w:szCs w:val="24"/>
                        <w:vertAlign w:val="subscript"/>
                        <w:lang w:eastAsia="hi-IN"/>
                      </w:rPr>
                      <m:t>E</m:t>
                    </m:r>
                  </m:e>
                  <m:sub>
                    <m:r>
                      <m:rPr>
                        <m:sty m:val="b"/>
                      </m:rPr>
                      <w:rPr>
                        <w:rFonts w:ascii="Cambria Math" w:eastAsia="AdvP641C" w:hAnsi="Cambria Math" w:cs="Arial"/>
                        <w:szCs w:val="24"/>
                        <w:vertAlign w:val="subscript"/>
                        <w:lang w:eastAsia="hi-IN"/>
                      </w:rPr>
                      <m:t>int</m:t>
                    </m:r>
                  </m:sub>
                </m:sSub>
              </m:oMath>
            </m:oMathPara>
          </w:p>
        </w:tc>
        <w:tc>
          <w:tcPr>
            <w:tcW w:w="750" w:type="pct"/>
            <w:vAlign w:val="center"/>
          </w:tcPr>
          <w:p w:rsidR="00C24016" w:rsidRPr="00AD6EB0" w:rsidRDefault="00C24016" w:rsidP="00846F71">
            <w:pPr>
              <w:widowControl w:val="0"/>
              <w:suppressAutoHyphens/>
              <w:overflowPunct w:val="0"/>
              <w:autoSpaceDE w:val="0"/>
              <w:textAlignment w:val="baseline"/>
              <w:rPr>
                <w:rFonts w:ascii="Arial" w:eastAsia="AdvP641C" w:hAnsi="Arial" w:cs="Arial"/>
                <w:b/>
                <w:szCs w:val="24"/>
                <w:lang w:eastAsia="hi-IN"/>
              </w:rPr>
            </w:pPr>
            <w:r w:rsidRPr="00AD6EB0">
              <w:rPr>
                <w:rFonts w:ascii="Arial" w:eastAsia="AdvP641C" w:hAnsi="Arial" w:cs="Arial"/>
                <w:b/>
                <w:szCs w:val="24"/>
                <w:lang w:eastAsia="hi-IN"/>
              </w:rPr>
              <w:t>(3)</w:t>
            </w:r>
          </w:p>
        </w:tc>
      </w:tr>
    </w:tbl>
    <w:p w:rsidR="00C24016" w:rsidRPr="00AD6EB0" w:rsidRDefault="00C24016" w:rsidP="00C24016">
      <w:pPr>
        <w:rPr>
          <w:rFonts w:ascii="Arial" w:hAnsi="Arial" w:cs="Arial"/>
          <w:szCs w:val="24"/>
          <w:lang w:eastAsia="hi-IN"/>
        </w:rPr>
      </w:pPr>
      <w:r w:rsidRPr="00AD6EB0">
        <w:rPr>
          <w:rFonts w:ascii="Arial" w:hAnsi="Arial" w:cs="Arial"/>
          <w:szCs w:val="24"/>
          <w:lang w:eastAsia="hi-IN"/>
        </w:rPr>
        <w:t xml:space="preserve">Where </w:t>
      </w:r>
      <w:r w:rsidRPr="00AD6EB0">
        <w:rPr>
          <w:rFonts w:ascii="Arial" w:hAnsi="Arial" w:cs="Arial"/>
          <w:iCs/>
          <w:szCs w:val="24"/>
          <w:lang w:eastAsia="hi-IN"/>
        </w:rPr>
        <w:t>E</w:t>
      </w:r>
      <w:r w:rsidRPr="00AD6EB0">
        <w:rPr>
          <w:rFonts w:ascii="Arial" w:hAnsi="Arial" w:cs="Arial"/>
          <w:szCs w:val="24"/>
          <w:vertAlign w:val="subscript"/>
          <w:lang w:eastAsia="hi-IN"/>
        </w:rPr>
        <w:t>MM</w:t>
      </w:r>
      <w:r w:rsidRPr="00AD6EB0">
        <w:rPr>
          <w:rFonts w:ascii="Arial" w:hAnsi="Arial" w:cs="Arial"/>
          <w:szCs w:val="24"/>
          <w:lang w:eastAsia="hi-IN"/>
        </w:rPr>
        <w:t xml:space="preserve"> is the molecular mechanical energy, G</w:t>
      </w:r>
      <w:r w:rsidRPr="00AD6EB0">
        <w:rPr>
          <w:rFonts w:ascii="Arial" w:hAnsi="Arial" w:cs="Arial"/>
          <w:szCs w:val="24"/>
          <w:vertAlign w:val="subscript"/>
          <w:lang w:eastAsia="hi-IN"/>
        </w:rPr>
        <w:t>GB</w:t>
      </w:r>
      <w:r w:rsidRPr="00AD6EB0">
        <w:rPr>
          <w:rFonts w:ascii="Arial" w:hAnsi="Arial" w:cs="Arial"/>
          <w:szCs w:val="24"/>
          <w:lang w:eastAsia="hi-IN"/>
        </w:rPr>
        <w:t xml:space="preserve"> is polar contribution towards solvation energy calculated by Generalized Born (GB) method respectively. </w:t>
      </w:r>
      <w:r w:rsidRPr="00AD6EB0">
        <w:rPr>
          <w:rFonts w:ascii="Arial" w:hAnsi="Arial" w:cs="Arial"/>
          <w:iCs/>
          <w:szCs w:val="24"/>
          <w:lang w:eastAsia="hi-IN"/>
        </w:rPr>
        <w:t>G</w:t>
      </w:r>
      <w:r w:rsidRPr="00AD6EB0">
        <w:rPr>
          <w:rFonts w:ascii="Arial" w:hAnsi="Arial" w:cs="Arial"/>
          <w:iCs/>
          <w:szCs w:val="24"/>
          <w:vertAlign w:val="subscript"/>
          <w:lang w:eastAsia="hi-IN"/>
        </w:rPr>
        <w:t>SA</w:t>
      </w:r>
      <w:r w:rsidRPr="00AD6EB0">
        <w:rPr>
          <w:rFonts w:ascii="Arial" w:hAnsi="Arial" w:cs="Arial"/>
          <w:iCs/>
          <w:szCs w:val="24"/>
          <w:lang w:eastAsia="hi-IN"/>
        </w:rPr>
        <w:t xml:space="preserve"> is the contribution from nonpolar terms towards solvation energy, and TS is the entropic contribution of the inhibitor. </w:t>
      </w:r>
      <w:r w:rsidRPr="00AD6EB0">
        <w:rPr>
          <w:rFonts w:ascii="Arial" w:hAnsi="Arial" w:cs="Arial"/>
          <w:szCs w:val="24"/>
          <w:lang w:eastAsia="hi-IN"/>
        </w:rPr>
        <w:t>E</w:t>
      </w:r>
      <w:r w:rsidRPr="00AD6EB0">
        <w:rPr>
          <w:rFonts w:ascii="Arial" w:hAnsi="Arial" w:cs="Arial"/>
          <w:szCs w:val="24"/>
          <w:vertAlign w:val="subscript"/>
          <w:lang w:eastAsia="hi-IN"/>
        </w:rPr>
        <w:t>MM</w:t>
      </w:r>
      <w:r w:rsidRPr="00AD6EB0">
        <w:rPr>
          <w:rFonts w:ascii="Arial" w:hAnsi="Arial" w:cs="Arial"/>
          <w:szCs w:val="24"/>
          <w:lang w:eastAsia="hi-IN"/>
        </w:rPr>
        <w:t xml:space="preserve"> was obtained by summing contributions from, electrostatic energy (</w:t>
      </w:r>
      <w:proofErr w:type="spellStart"/>
      <w:r w:rsidRPr="00AD6EB0">
        <w:rPr>
          <w:rFonts w:ascii="Arial" w:hAnsi="Arial" w:cs="Arial"/>
          <w:iCs/>
          <w:szCs w:val="24"/>
          <w:lang w:eastAsia="hi-IN"/>
        </w:rPr>
        <w:t>E</w:t>
      </w:r>
      <w:r w:rsidRPr="00AD6EB0">
        <w:rPr>
          <w:rFonts w:ascii="Arial" w:hAnsi="Arial" w:cs="Arial"/>
          <w:szCs w:val="24"/>
          <w:vertAlign w:val="subscript"/>
          <w:lang w:eastAsia="hi-IN"/>
        </w:rPr>
        <w:t>ele</w:t>
      </w:r>
      <w:proofErr w:type="spellEnd"/>
      <w:r w:rsidRPr="00AD6EB0">
        <w:rPr>
          <w:rFonts w:ascii="Arial" w:hAnsi="Arial" w:cs="Arial"/>
          <w:szCs w:val="24"/>
          <w:lang w:eastAsia="hi-IN"/>
        </w:rPr>
        <w:t xml:space="preserve">), </w:t>
      </w:r>
      <w:proofErr w:type="spellStart"/>
      <w:r w:rsidRPr="00AD6EB0">
        <w:rPr>
          <w:rFonts w:ascii="Arial" w:hAnsi="Arial" w:cs="Arial"/>
          <w:szCs w:val="24"/>
          <w:lang w:eastAsia="hi-IN"/>
        </w:rPr>
        <w:t>vanderwaal</w:t>
      </w:r>
      <w:proofErr w:type="spellEnd"/>
      <w:r w:rsidRPr="00AD6EB0">
        <w:rPr>
          <w:rFonts w:ascii="Arial" w:hAnsi="Arial" w:cs="Arial"/>
          <w:szCs w:val="24"/>
          <w:lang w:eastAsia="hi-IN"/>
        </w:rPr>
        <w:t xml:space="preserve"> energy (</w:t>
      </w:r>
      <w:proofErr w:type="spellStart"/>
      <w:r w:rsidRPr="00AD6EB0">
        <w:rPr>
          <w:rFonts w:ascii="Arial" w:hAnsi="Arial" w:cs="Arial"/>
          <w:iCs/>
          <w:szCs w:val="24"/>
          <w:lang w:eastAsia="hi-IN"/>
        </w:rPr>
        <w:t>E</w:t>
      </w:r>
      <w:r w:rsidRPr="00AD6EB0">
        <w:rPr>
          <w:rFonts w:ascii="Arial" w:hAnsi="Arial" w:cs="Arial"/>
          <w:szCs w:val="24"/>
          <w:vertAlign w:val="subscript"/>
          <w:lang w:eastAsia="hi-IN"/>
        </w:rPr>
        <w:t>vdw</w:t>
      </w:r>
      <w:proofErr w:type="spellEnd"/>
      <w:r w:rsidRPr="00AD6EB0">
        <w:rPr>
          <w:rFonts w:ascii="Arial" w:hAnsi="Arial" w:cs="Arial"/>
          <w:szCs w:val="24"/>
          <w:lang w:eastAsia="hi-IN"/>
        </w:rPr>
        <w:t>), and internal energy including bond, angle, and torsional angle energy (</w:t>
      </w:r>
      <w:proofErr w:type="spellStart"/>
      <w:r w:rsidRPr="00AD6EB0">
        <w:rPr>
          <w:rFonts w:ascii="Arial" w:hAnsi="Arial" w:cs="Arial"/>
          <w:iCs/>
          <w:szCs w:val="24"/>
          <w:lang w:eastAsia="hi-IN"/>
        </w:rPr>
        <w:t>E</w:t>
      </w:r>
      <w:r w:rsidRPr="00AD6EB0">
        <w:rPr>
          <w:rFonts w:ascii="Arial" w:hAnsi="Arial" w:cs="Arial"/>
          <w:szCs w:val="24"/>
          <w:vertAlign w:val="subscript"/>
          <w:lang w:eastAsia="hi-IN"/>
        </w:rPr>
        <w:t>int</w:t>
      </w:r>
      <w:proofErr w:type="spellEnd"/>
      <w:r w:rsidRPr="00AD6EB0">
        <w:rPr>
          <w:rFonts w:ascii="Arial" w:hAnsi="Arial" w:cs="Arial"/>
          <w:szCs w:val="24"/>
          <w:lang w:eastAsia="hi-IN"/>
        </w:rPr>
        <w:t>) using the same force field as that of MD simulations. G</w:t>
      </w:r>
      <w:r w:rsidRPr="00AD6EB0">
        <w:rPr>
          <w:rFonts w:ascii="Arial" w:hAnsi="Arial" w:cs="Arial"/>
          <w:szCs w:val="24"/>
          <w:vertAlign w:val="subscript"/>
          <w:lang w:eastAsia="hi-IN"/>
        </w:rPr>
        <w:t>GB</w:t>
      </w:r>
      <w:r w:rsidRPr="00AD6EB0">
        <w:rPr>
          <w:rFonts w:ascii="Arial" w:hAnsi="Arial" w:cs="Arial"/>
          <w:szCs w:val="24"/>
          <w:lang w:eastAsia="hi-IN"/>
        </w:rPr>
        <w:t xml:space="preserve"> was calculated with </w:t>
      </w:r>
      <w:proofErr w:type="spellStart"/>
      <w:r w:rsidRPr="00AD6EB0">
        <w:rPr>
          <w:rFonts w:ascii="Arial" w:hAnsi="Arial" w:cs="Arial"/>
          <w:szCs w:val="24"/>
          <w:lang w:eastAsia="hi-IN"/>
        </w:rPr>
        <w:t>Onufriev's</w:t>
      </w:r>
      <w:proofErr w:type="spellEnd"/>
      <w:r w:rsidRPr="00AD6EB0">
        <w:rPr>
          <w:rFonts w:ascii="Arial" w:hAnsi="Arial" w:cs="Arial"/>
          <w:szCs w:val="24"/>
          <w:lang w:eastAsia="hi-IN"/>
        </w:rPr>
        <w:t xml:space="preserve"> method </w:t>
      </w:r>
      <w:r w:rsidRPr="00AD6EB0">
        <w:rPr>
          <w:rFonts w:ascii="Arial" w:hAnsi="Arial" w:cs="Arial"/>
          <w:szCs w:val="24"/>
          <w:lang w:eastAsia="hi-IN"/>
        </w:rPr>
        <w:fldChar w:fldCharType="begin"/>
      </w:r>
      <w:r w:rsidR="0011463D">
        <w:rPr>
          <w:rFonts w:ascii="Arial" w:hAnsi="Arial" w:cs="Arial"/>
          <w:szCs w:val="24"/>
          <w:lang w:eastAsia="hi-IN"/>
        </w:rPr>
        <w:instrText xml:space="preserve"> ADDIN EN.CITE &lt;EndNote&gt;&lt;Cite&gt;&lt;Author&gt;Onufriev&lt;/Author&gt;&lt;Year&gt;2004&lt;/Year&gt;&lt;RecNum&gt;0&lt;/RecNum&gt;&lt;IDText&gt;Exploring protein native states and large-scale conformational changes with a modified generalized born model&lt;/IDText&gt;&lt;DisplayText&gt;(Onufriev, Bashford &amp;amp; Case 2004)&lt;/DisplayText&gt;&lt;record&gt;&lt;dates&gt;&lt;pub-dates&gt;&lt;date&gt;May 1&lt;/date&gt;&lt;/pub-dates&gt;&lt;year&gt;2004&lt;/year&gt;&lt;/dates&gt;&lt;keywords&gt;&lt;keyword&gt;*Bacterial Proteins&lt;/keyword&gt;&lt;keyword&gt;*Computer Simulation&lt;/keyword&gt;&lt;keyword&gt;*Models, Molecular&lt;/keyword&gt;&lt;keyword&gt;Poisson Distribution&lt;/keyword&gt;&lt;keyword&gt;Protein Conformation&lt;/keyword&gt;&lt;keyword&gt;Protein Folding&lt;/keyword&gt;&lt;keyword&gt;Proteins/*chemistry/metabolism&lt;/keyword&gt;&lt;keyword&gt;Ribonucleases/chemistry/metabolism&lt;/keyword&gt;&lt;keyword&gt;Software&lt;/keyword&gt;&lt;keyword&gt;Solvents/chemistry&lt;/keyword&gt;&lt;keyword&gt;Staphylococcal Protein A/chemistry&lt;/keyword&gt;&lt;keyword&gt;Static Electricity&lt;/keyword&gt;&lt;keyword&gt;Thermodynamics&lt;/keyword&gt;&lt;keyword&gt;Thioredoxins/chemistry&lt;/keyword&gt;&lt;keyword&gt;Ubiquitin/chemistry&lt;/keyword&gt;&lt;/keywords&gt;&lt;urls&gt;&lt;related-urls&gt;&lt;url&gt;http://dx.doi.org/10.1002/prot.20033&lt;/url&gt;&lt;/related-urls&gt;&lt;/urls&gt;&lt;isbn&gt;0887-3585&lt;/isbn&gt;&lt;titles&gt;&lt;title&gt;Exploring protein native states and large-scale conformational changes with a modified generalized born model&lt;/title&gt;&lt;secondary-title&gt;Proteins&lt;/secondary-title&gt;&lt;alt-title&gt;Proteins&lt;/alt-title&gt;&lt;/titles&gt;&lt;pages&gt;383-94&lt;/pages&gt;&lt;number&gt;2&lt;/number&gt;&lt;contributors&gt;&lt;authors&gt;&lt;author&gt;Onufriev, A.&lt;/author&gt;&lt;author&gt;Bashford, D.&lt;/author&gt;&lt;author&gt;Case, D. A.&lt;/author&gt;&lt;/authors&gt;&lt;/contributors&gt;&lt;edition&gt;2004/03/30&lt;/edition&gt;&lt;language&gt;eng&lt;/language&gt;&lt;added-date format="utc"&gt;1531742510&lt;/added-date&gt;&lt;ref-type name="Journal Article"&gt;17&lt;/ref-type&gt;&lt;auth-address&gt;Department of Computer Science, Virginia Tech, Blacksburg, Virginia, USA.&lt;/auth-address&gt;&lt;remote-database-provider&gt;NLM&lt;/remote-database-provider&gt;&lt;rec-number&gt;2140&lt;/rec-number&gt;&lt;last-updated-date format="utc"&gt;1531742510&lt;/last-updated-date&gt;&lt;accession-num&gt;15048829&lt;/accession-num&gt;&lt;electronic-resource-num&gt;10.1002/prot.20033&lt;/electronic-resource-num&gt;&lt;volume&gt;55&lt;/volume&gt;&lt;/record&gt;&lt;/Cite&gt;&lt;/EndNote&gt;</w:instrText>
      </w:r>
      <w:r w:rsidRPr="00AD6EB0">
        <w:rPr>
          <w:rFonts w:ascii="Arial" w:hAnsi="Arial" w:cs="Arial"/>
          <w:szCs w:val="24"/>
          <w:lang w:eastAsia="hi-IN"/>
        </w:rPr>
        <w:fldChar w:fldCharType="separate"/>
      </w:r>
      <w:r w:rsidR="0011463D">
        <w:rPr>
          <w:rFonts w:ascii="Arial" w:hAnsi="Arial" w:cs="Arial"/>
          <w:noProof/>
          <w:szCs w:val="24"/>
          <w:lang w:eastAsia="hi-IN"/>
        </w:rPr>
        <w:t>(Onufriev, Bashford &amp; Case 2004)</w:t>
      </w:r>
      <w:r w:rsidRPr="00AD6EB0">
        <w:rPr>
          <w:rFonts w:ascii="Arial" w:hAnsi="Arial" w:cs="Arial"/>
          <w:szCs w:val="24"/>
          <w:lang w:eastAsia="hi-IN"/>
        </w:rPr>
        <w:fldChar w:fldCharType="end"/>
      </w:r>
      <w:r w:rsidRPr="00AD6EB0">
        <w:rPr>
          <w:rFonts w:ascii="Arial" w:hAnsi="Arial" w:cs="Arial"/>
          <w:szCs w:val="24"/>
          <w:lang w:eastAsia="hi-IN"/>
        </w:rPr>
        <w:t xml:space="preserve">). </w:t>
      </w:r>
      <w:r w:rsidRPr="00AD6EB0">
        <w:rPr>
          <w:rFonts w:ascii="Arial" w:hAnsi="Arial" w:cs="Arial"/>
          <w:iCs/>
          <w:szCs w:val="24"/>
          <w:lang w:eastAsia="hi-IN"/>
        </w:rPr>
        <w:t>G</w:t>
      </w:r>
      <w:r w:rsidRPr="00AD6EB0">
        <w:rPr>
          <w:rFonts w:ascii="Arial" w:hAnsi="Arial" w:cs="Arial"/>
          <w:szCs w:val="24"/>
          <w:vertAlign w:val="subscript"/>
          <w:lang w:eastAsia="hi-IN"/>
        </w:rPr>
        <w:t>SA</w:t>
      </w:r>
      <w:r w:rsidRPr="00AD6EB0">
        <w:rPr>
          <w:rFonts w:ascii="Arial" w:hAnsi="Arial" w:cs="Arial"/>
          <w:szCs w:val="24"/>
          <w:lang w:eastAsia="hi-IN"/>
        </w:rPr>
        <w:t xml:space="preserve"> in equation 2 is proportional to the solvent accessible surface area (SASA) and was computed by </w:t>
      </w:r>
      <w:proofErr w:type="spellStart"/>
      <w:r w:rsidRPr="00AD6EB0">
        <w:rPr>
          <w:rFonts w:ascii="Arial" w:hAnsi="Arial" w:cs="Arial"/>
          <w:szCs w:val="24"/>
          <w:lang w:eastAsia="hi-IN"/>
        </w:rPr>
        <w:t>molsurf</w:t>
      </w:r>
      <w:proofErr w:type="spellEnd"/>
      <w:r w:rsidRPr="00AD6EB0">
        <w:rPr>
          <w:rFonts w:ascii="Arial" w:hAnsi="Arial" w:cs="Arial"/>
          <w:szCs w:val="24"/>
          <w:lang w:eastAsia="hi-IN"/>
        </w:rPr>
        <w:t xml:space="preserve"> module using the equation 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552"/>
        <w:gridCol w:w="1404"/>
      </w:tblGrid>
      <w:tr w:rsidR="00C24016" w:rsidRPr="00AD6EB0" w:rsidTr="00846F71">
        <w:tc>
          <w:tcPr>
            <w:tcW w:w="750" w:type="pct"/>
          </w:tcPr>
          <w:p w:rsidR="00C24016" w:rsidRPr="00AD6EB0" w:rsidRDefault="00C24016" w:rsidP="00846F71">
            <w:pPr>
              <w:widowControl w:val="0"/>
              <w:suppressAutoHyphens/>
              <w:overflowPunct w:val="0"/>
              <w:autoSpaceDE w:val="0"/>
              <w:textAlignment w:val="baseline"/>
              <w:rPr>
                <w:rFonts w:ascii="Arial" w:eastAsia="AdvP641C" w:hAnsi="Arial" w:cs="Arial"/>
                <w:szCs w:val="24"/>
                <w:lang w:eastAsia="hi-IN"/>
              </w:rPr>
            </w:pPr>
          </w:p>
        </w:tc>
        <w:tc>
          <w:tcPr>
            <w:tcW w:w="3500" w:type="pct"/>
            <w:hideMark/>
          </w:tcPr>
          <w:p w:rsidR="00C24016" w:rsidRPr="00AD6EB0" w:rsidRDefault="00FD10A5" w:rsidP="00846F71">
            <w:pPr>
              <w:widowControl w:val="0"/>
              <w:suppressAutoHyphens/>
              <w:overflowPunct w:val="0"/>
              <w:autoSpaceDE w:val="0"/>
              <w:textAlignment w:val="baseline"/>
              <w:rPr>
                <w:rFonts w:ascii="Arial" w:eastAsia="AdvP641C" w:hAnsi="Arial" w:cs="Arial"/>
                <w:b/>
                <w:i/>
                <w:szCs w:val="24"/>
                <w:lang w:eastAsia="hi-IN"/>
              </w:rPr>
            </w:pPr>
            <m:oMathPara>
              <m:oMath>
                <m:sSub>
                  <m:sSubPr>
                    <m:ctrlPr>
                      <w:rPr>
                        <w:rFonts w:ascii="Cambria Math" w:eastAsia="AdvP641C" w:hAnsi="Cambria Math" w:cs="Arial"/>
                        <w:b/>
                        <w:i/>
                        <w:szCs w:val="24"/>
                        <w:vertAlign w:val="subscript"/>
                        <w:lang w:eastAsia="hi-IN"/>
                      </w:rPr>
                    </m:ctrlPr>
                  </m:sSubPr>
                  <m:e>
                    <m:r>
                      <m:rPr>
                        <m:sty m:val="bi"/>
                      </m:rPr>
                      <w:rPr>
                        <w:rFonts w:ascii="Cambria Math" w:eastAsia="AdvP641C" w:hAnsi="Cambria Math" w:cs="Arial"/>
                        <w:szCs w:val="24"/>
                        <w:vertAlign w:val="subscript"/>
                        <w:lang w:eastAsia="hi-IN"/>
                      </w:rPr>
                      <m:t>G</m:t>
                    </m:r>
                  </m:e>
                  <m:sub>
                    <m:r>
                      <m:rPr>
                        <m:sty m:val="bi"/>
                      </m:rPr>
                      <w:rPr>
                        <w:rFonts w:ascii="Cambria Math" w:eastAsia="AdvP641C" w:hAnsi="Cambria Math" w:cs="Arial"/>
                        <w:szCs w:val="24"/>
                        <w:vertAlign w:val="subscript"/>
                        <w:lang w:eastAsia="hi-IN"/>
                      </w:rPr>
                      <m:t>SA</m:t>
                    </m:r>
                  </m:sub>
                </m:sSub>
                <m:r>
                  <m:rPr>
                    <m:sty m:val="bi"/>
                  </m:rPr>
                  <w:rPr>
                    <w:rFonts w:ascii="Cambria Math" w:eastAsia="AdvP641C" w:hAnsi="Cambria Math" w:cs="Arial"/>
                    <w:szCs w:val="24"/>
                    <w:vertAlign w:val="subscript"/>
                    <w:lang w:eastAsia="hi-IN"/>
                  </w:rPr>
                  <m:t>=γ*SASA+b</m:t>
                </m:r>
              </m:oMath>
            </m:oMathPara>
          </w:p>
        </w:tc>
        <w:tc>
          <w:tcPr>
            <w:tcW w:w="750" w:type="pct"/>
            <w:vAlign w:val="center"/>
            <w:hideMark/>
          </w:tcPr>
          <w:p w:rsidR="00C24016" w:rsidRPr="00AD6EB0" w:rsidRDefault="00C24016" w:rsidP="00846F71">
            <w:pPr>
              <w:widowControl w:val="0"/>
              <w:suppressAutoHyphens/>
              <w:overflowPunct w:val="0"/>
              <w:autoSpaceDE w:val="0"/>
              <w:textAlignment w:val="baseline"/>
              <w:rPr>
                <w:rFonts w:ascii="Arial" w:eastAsia="AdvP641C" w:hAnsi="Arial" w:cs="Arial"/>
                <w:b/>
                <w:szCs w:val="24"/>
                <w:lang w:eastAsia="hi-IN"/>
              </w:rPr>
            </w:pPr>
            <w:r w:rsidRPr="00AD6EB0">
              <w:rPr>
                <w:rFonts w:ascii="Arial" w:eastAsia="AdvP641C" w:hAnsi="Arial" w:cs="Arial"/>
                <w:b/>
                <w:szCs w:val="24"/>
                <w:lang w:eastAsia="hi-IN"/>
              </w:rPr>
              <w:t>(4)</w:t>
            </w:r>
          </w:p>
        </w:tc>
      </w:tr>
    </w:tbl>
    <w:p w:rsidR="00C24016" w:rsidRPr="00AD6EB0" w:rsidRDefault="00C24016" w:rsidP="00C24016">
      <w:pPr>
        <w:pStyle w:val="EndNoteBibliography"/>
        <w:spacing w:line="360" w:lineRule="auto"/>
        <w:rPr>
          <w:rFonts w:ascii="Arial" w:hAnsi="Arial" w:cs="Arial"/>
          <w:szCs w:val="24"/>
          <w:lang w:eastAsia="hi-IN"/>
        </w:rPr>
      </w:pPr>
      <w:r w:rsidRPr="00AD6EB0">
        <w:rPr>
          <w:rFonts w:ascii="Arial" w:hAnsi="Arial" w:cs="Arial"/>
          <w:szCs w:val="24"/>
          <w:lang w:eastAsia="hi-IN"/>
        </w:rPr>
        <w:t>In equation 4, the surface tension proportionality constant (γ) was set to 0.0072 kcal/mol/Å</w:t>
      </w:r>
      <w:r w:rsidRPr="00AD6EB0">
        <w:rPr>
          <w:rFonts w:ascii="Arial" w:hAnsi="Arial" w:cs="Arial"/>
          <w:szCs w:val="24"/>
          <w:vertAlign w:val="superscript"/>
          <w:lang w:eastAsia="hi-IN"/>
        </w:rPr>
        <w:t>2</w:t>
      </w:r>
      <w:r w:rsidRPr="00AD6EB0">
        <w:rPr>
          <w:rFonts w:ascii="Arial" w:hAnsi="Arial" w:cs="Arial"/>
          <w:szCs w:val="24"/>
          <w:lang w:eastAsia="hi-IN"/>
        </w:rPr>
        <w:t xml:space="preserve">, while the free energy of nonpolar solvation for a point solute (b) was set to a default value. SASA was computed by molsurf using a fast algorithm called the Linear Combinations of Pairwise Overlaps (LCPO), which simply computes a surface area of two overlapping atoms by subtracting their overlapping region from the total area of their vdW surfaces </w:t>
      </w:r>
      <w:r w:rsidRPr="00AD6EB0">
        <w:rPr>
          <w:rFonts w:ascii="Arial" w:hAnsi="Arial" w:cs="Arial"/>
          <w:szCs w:val="24"/>
          <w:lang w:eastAsia="hi-IN"/>
        </w:rPr>
        <w:fldChar w:fldCharType="begin"/>
      </w:r>
      <w:r w:rsidR="0011463D">
        <w:rPr>
          <w:rFonts w:ascii="Arial" w:hAnsi="Arial" w:cs="Arial"/>
          <w:szCs w:val="24"/>
          <w:lang w:eastAsia="hi-IN"/>
        </w:rPr>
        <w:instrText xml:space="preserve"> ADDIN EN.CITE &lt;EndNote&gt;&lt;Cite&gt;&lt;Author&gt;Weiser&lt;/Author&gt;&lt;Year&gt;1999&lt;/Year&gt;&lt;RecNum&gt;0&lt;/RecNum&gt;&lt;IDText&gt;Approximate solvent-accessible surface areas from tetrahedrally directed neighbor densities&lt;/IDText&gt;&lt;DisplayText&gt;(Weiser, Shenkin &amp;amp; Still 1999)&lt;/DisplayText&gt;&lt;record&gt;&lt;dates&gt;&lt;pub-dates&gt;&lt;date&gt;Oct 5&lt;/date&gt;&lt;/pub-dates&gt;&lt;year&gt;1999&lt;/year&gt;&lt;/dates&gt;&lt;keywords&gt;&lt;keyword&gt;Molecular Structure&lt;/keyword&gt;&lt;keyword&gt;Normal Distribution&lt;/keyword&gt;&lt;keyword&gt;*Solvents&lt;/keyword&gt;&lt;keyword&gt;Surface Properties&lt;/keyword&gt;&lt;/keywords&gt;&lt;urls&gt;&lt;related-urls&gt;&lt;url&gt;http://dx.doi.org/10.1002/(sici)1097-0282(19991005)50:4&amp;lt;373::aid-bip3&amp;gt;3.0.co&lt;/url&gt;&lt;/related-urls&gt;&lt;/urls&gt;&lt;isbn&gt;0006-3525 (Print)0006-3525&lt;/isbn&gt;&lt;titles&gt;&lt;title&gt;Approximate solvent-accessible surface areas from tetrahedrally directed neighbor densities&lt;/title&gt;&lt;secondary-title&gt;Biopolymers&lt;/secondary-title&gt;&lt;alt-title&gt;Biopolymers&lt;/alt-title&gt;&lt;/titles&gt;&lt;pages&gt;373-80&lt;/pages&gt;&lt;number&gt;4&lt;/number&gt;&lt;contributors&gt;&lt;authors&gt;&lt;author&gt;Weiser, J.&lt;/author&gt;&lt;author&gt;Shenkin, P. S.&lt;/author&gt;&lt;author&gt;Still, W. C.&lt;/author&gt;&lt;/authors&gt;&lt;/contributors&gt;&lt;edition&gt;1999/07/29&lt;/edition&gt;&lt;language&gt;eng&lt;/language&gt;&lt;added-date format="utc"&gt;1531742779&lt;/added-date&gt;&lt;ref-type name="Journal Article"&gt;17&lt;/ref-type&gt;&lt;auth-address&gt;Anterio Consult &amp;amp; Research GmbH, Augustaanlage 26, D-68165 Mannheim, Germany. jweiser@anterio.com&lt;/auth-address&gt;&lt;remote-database-provider&gt;NLM&lt;/remote-database-provider&gt;&lt;rec-number&gt;2142&lt;/rec-number&gt;&lt;last-updated-date format="utc"&gt;1531742779&lt;/last-updated-date&gt;&lt;accession-num&gt;10423546&lt;/accession-num&gt;&lt;electronic-resource-num&gt;10.1002/(sici)1097-0282(19991005)50:4&amp;lt;373::aid-bip3&amp;gt;3.0.co;2-u&lt;/electronic-resource-num&gt;&lt;volume&gt;50&lt;/volume&gt;&lt;/record&gt;&lt;/Cite&gt;&lt;/EndNote&gt;</w:instrText>
      </w:r>
      <w:r w:rsidRPr="00AD6EB0">
        <w:rPr>
          <w:rFonts w:ascii="Arial" w:hAnsi="Arial" w:cs="Arial"/>
          <w:szCs w:val="24"/>
          <w:lang w:eastAsia="hi-IN"/>
        </w:rPr>
        <w:fldChar w:fldCharType="separate"/>
      </w:r>
      <w:r w:rsidR="0011463D">
        <w:rPr>
          <w:rFonts w:ascii="Arial" w:hAnsi="Arial" w:cs="Arial"/>
          <w:szCs w:val="24"/>
          <w:lang w:eastAsia="hi-IN"/>
        </w:rPr>
        <w:t>(Weiser, Shenkin &amp; Still 1999)</w:t>
      </w:r>
      <w:r w:rsidRPr="00AD6EB0">
        <w:rPr>
          <w:rFonts w:ascii="Arial" w:hAnsi="Arial" w:cs="Arial"/>
          <w:szCs w:val="24"/>
          <w:lang w:eastAsia="hi-IN"/>
        </w:rPr>
        <w:fldChar w:fldCharType="end"/>
      </w:r>
      <w:r w:rsidRPr="00AD6EB0">
        <w:rPr>
          <w:rFonts w:ascii="Arial" w:hAnsi="Arial" w:cs="Arial"/>
          <w:szCs w:val="24"/>
          <w:lang w:eastAsia="hi-IN"/>
        </w:rPr>
        <w:t xml:space="preserve">). vdW radii in AMBER and GAFF force fields were used to define solute atoms which were then augmented by a probe sphere of 1.4Å </w:t>
      </w:r>
      <w:r w:rsidRPr="00AD6EB0">
        <w:rPr>
          <w:rFonts w:ascii="Arial" w:hAnsi="Arial" w:cs="Arial"/>
          <w:szCs w:val="24"/>
          <w:lang w:eastAsia="hi-IN"/>
        </w:rPr>
        <w:lastRenderedPageBreak/>
        <w:t>for the molsurf computations. Binding free energy calculations were averaged over 500 frames taken at the interval of 100 ps over the last 50 ns of 100 ns production run.</w:t>
      </w:r>
      <w:bookmarkStart w:id="0" w:name="_Toc360631962"/>
      <w:bookmarkStart w:id="1" w:name="_Toc356832386"/>
      <w:bookmarkStart w:id="2" w:name="_Toc356830886"/>
      <w:bookmarkStart w:id="3" w:name="_Toc356830209"/>
      <w:bookmarkStart w:id="4" w:name="_Toc362020132"/>
      <w:bookmarkStart w:id="5" w:name="_Toc362020266"/>
      <w:bookmarkStart w:id="6" w:name="_Toc362104998"/>
    </w:p>
    <w:p w:rsidR="00C24016" w:rsidRPr="00AD6EB0" w:rsidRDefault="00C24016" w:rsidP="00C24016">
      <w:pPr>
        <w:pStyle w:val="EndNoteBibliography"/>
        <w:spacing w:line="360" w:lineRule="auto"/>
        <w:rPr>
          <w:rFonts w:ascii="Arial" w:hAnsi="Arial" w:cs="Arial"/>
          <w:b/>
          <w:bCs/>
          <w:szCs w:val="24"/>
          <w:lang w:eastAsia="hi-IN"/>
        </w:rPr>
      </w:pPr>
      <w:r w:rsidRPr="00AD6EB0">
        <w:rPr>
          <w:rFonts w:ascii="Arial" w:hAnsi="Arial" w:cs="Arial"/>
          <w:b/>
          <w:bCs/>
          <w:szCs w:val="24"/>
          <w:lang w:eastAsia="hi-IN"/>
        </w:rPr>
        <w:t>Results and discussion</w:t>
      </w:r>
    </w:p>
    <w:p w:rsidR="00C24016" w:rsidRPr="00AD6EB0" w:rsidRDefault="00C24016" w:rsidP="00C24016">
      <w:pPr>
        <w:autoSpaceDE w:val="0"/>
        <w:autoSpaceDN w:val="0"/>
        <w:adjustRightInd w:val="0"/>
        <w:rPr>
          <w:rFonts w:ascii="Arial" w:eastAsia="AdvP641C" w:hAnsi="Arial" w:cs="Arial"/>
          <w:szCs w:val="24"/>
          <w:lang w:val="en-IN"/>
        </w:rPr>
      </w:pPr>
      <w:r w:rsidRPr="00AD6EB0">
        <w:rPr>
          <w:rFonts w:ascii="Arial" w:eastAsia="AdvP641C" w:hAnsi="Arial" w:cs="Arial"/>
          <w:szCs w:val="24"/>
          <w:lang w:val="en-IN"/>
        </w:rPr>
        <w:t xml:space="preserve">To compare the binding free energies of NPV in PDE4B with, </w:t>
      </w:r>
      <w:r w:rsidRPr="00AD6EB0">
        <w:rPr>
          <w:rFonts w:ascii="Arial" w:eastAsia="AdvP641C" w:hAnsi="Arial" w:cs="Arial"/>
          <w:b/>
          <w:bCs/>
          <w:szCs w:val="24"/>
          <w:lang w:val="en-IN"/>
        </w:rPr>
        <w:t>U-Cat</w:t>
      </w:r>
      <w:r w:rsidRPr="00AD6EB0">
        <w:rPr>
          <w:rFonts w:ascii="Arial" w:eastAsia="AdvP641C" w:hAnsi="Arial" w:cs="Arial"/>
          <w:szCs w:val="24"/>
          <w:lang w:val="en-IN"/>
        </w:rPr>
        <w:t xml:space="preserve"> complex, or without </w:t>
      </w:r>
      <w:r w:rsidRPr="00AD6EB0">
        <w:rPr>
          <w:rFonts w:ascii="Arial" w:eastAsia="AdvP641C" w:hAnsi="Arial" w:cs="Arial"/>
          <w:bCs/>
          <w:szCs w:val="24"/>
          <w:lang w:val="en-IN"/>
        </w:rPr>
        <w:t>UCR2</w:t>
      </w:r>
      <w:r w:rsidRPr="00AD6EB0">
        <w:rPr>
          <w:rFonts w:ascii="Arial" w:eastAsia="AdvP641C" w:hAnsi="Arial" w:cs="Arial"/>
          <w:b/>
          <w:szCs w:val="24"/>
          <w:lang w:val="en-IN"/>
        </w:rPr>
        <w:t xml:space="preserve"> </w:t>
      </w:r>
      <w:r w:rsidRPr="00AD6EB0">
        <w:rPr>
          <w:rFonts w:ascii="Arial" w:eastAsia="AdvP641C" w:hAnsi="Arial" w:cs="Arial"/>
          <w:szCs w:val="24"/>
          <w:lang w:val="en-IN"/>
        </w:rPr>
        <w:t xml:space="preserve">domain </w:t>
      </w:r>
      <w:r w:rsidRPr="00AD6EB0">
        <w:rPr>
          <w:rFonts w:ascii="Arial" w:eastAsia="AdvP641C" w:hAnsi="Arial" w:cs="Arial"/>
          <w:i/>
          <w:szCs w:val="24"/>
          <w:lang w:val="en-IN"/>
        </w:rPr>
        <w:t>i.e.</w:t>
      </w:r>
      <w:r w:rsidRPr="00AD6EB0">
        <w:rPr>
          <w:rFonts w:ascii="Arial" w:eastAsia="AdvP641C" w:hAnsi="Arial" w:cs="Arial"/>
          <w:szCs w:val="24"/>
          <w:lang w:val="en-IN"/>
        </w:rPr>
        <w:t xml:space="preserve"> </w:t>
      </w:r>
      <w:r w:rsidRPr="00AD6EB0">
        <w:rPr>
          <w:rFonts w:ascii="Arial" w:eastAsia="AdvP641C" w:hAnsi="Arial" w:cs="Arial"/>
          <w:b/>
          <w:szCs w:val="24"/>
          <w:lang w:val="en-IN"/>
        </w:rPr>
        <w:t>Cat complex</w:t>
      </w:r>
      <w:r w:rsidRPr="00AD6EB0">
        <w:rPr>
          <w:rFonts w:ascii="Arial" w:eastAsia="AdvP641C" w:hAnsi="Arial" w:cs="Arial"/>
          <w:szCs w:val="24"/>
          <w:lang w:val="en-IN"/>
        </w:rPr>
        <w:t>, we calculated MM-GB/SA energies of the two systems. The current comparative analysis involves a common inhibitor, NPV and we assumed that entropy have similar effects on both the similar complex structures. Therefore, we did not calculate the entropies for both the cases (</w:t>
      </w:r>
      <w:r w:rsidRPr="00AD6EB0">
        <w:rPr>
          <w:rFonts w:ascii="Arial" w:eastAsia="AdvP641C" w:hAnsi="Arial" w:cs="Arial"/>
          <w:b/>
          <w:szCs w:val="24"/>
          <w:lang w:val="en-IN"/>
        </w:rPr>
        <w:t>Table 1</w:t>
      </w:r>
      <w:r w:rsidRPr="00AD6EB0">
        <w:rPr>
          <w:rFonts w:ascii="Arial" w:eastAsia="AdvP641C" w:hAnsi="Arial" w:cs="Arial"/>
          <w:szCs w:val="24"/>
          <w:lang w:val="en-IN"/>
        </w:rPr>
        <w:t xml:space="preserve">). </w:t>
      </w:r>
    </w:p>
    <w:p w:rsidR="00C24016" w:rsidRPr="00AD6EB0" w:rsidRDefault="00C24016" w:rsidP="00C24016">
      <w:pPr>
        <w:autoSpaceDE w:val="0"/>
        <w:autoSpaceDN w:val="0"/>
        <w:adjustRightInd w:val="0"/>
        <w:rPr>
          <w:rFonts w:ascii="Arial" w:hAnsi="Arial" w:cs="Arial"/>
          <w:color w:val="000000"/>
          <w:szCs w:val="24"/>
          <w:lang w:val="en-IN"/>
        </w:rPr>
      </w:pPr>
      <w:r w:rsidRPr="00AD6EB0">
        <w:rPr>
          <w:rFonts w:ascii="Arial" w:eastAsia="AdvP641C" w:hAnsi="Arial" w:cs="Arial"/>
          <w:szCs w:val="24"/>
          <w:lang w:val="en-IN"/>
        </w:rPr>
        <w:t>The relative binding free energy (</w:t>
      </w:r>
      <w:proofErr w:type="spellStart"/>
      <w:r w:rsidRPr="00AD6EB0">
        <w:rPr>
          <w:rFonts w:ascii="Arial" w:eastAsia="AdvP641C" w:hAnsi="Arial" w:cs="Arial"/>
          <w:szCs w:val="24"/>
          <w:lang w:val="en-IN"/>
        </w:rPr>
        <w:t>ΔG</w:t>
      </w:r>
      <w:r w:rsidRPr="00AD6EB0">
        <w:rPr>
          <w:rFonts w:ascii="Arial" w:eastAsia="AdvP641C" w:hAnsi="Arial" w:cs="Arial"/>
          <w:szCs w:val="24"/>
          <w:vertAlign w:val="subscript"/>
          <w:lang w:val="en-IN"/>
        </w:rPr>
        <w:t>Total</w:t>
      </w:r>
      <w:proofErr w:type="spellEnd"/>
      <w:r w:rsidRPr="00AD6EB0">
        <w:rPr>
          <w:rFonts w:ascii="Arial" w:eastAsia="AdvP641C" w:hAnsi="Arial" w:cs="Arial"/>
          <w:szCs w:val="24"/>
          <w:lang w:val="en-IN"/>
        </w:rPr>
        <w:t xml:space="preserve">) of the </w:t>
      </w:r>
      <w:r w:rsidRPr="00AD6EB0">
        <w:rPr>
          <w:rFonts w:ascii="Arial" w:eastAsia="AdvP641C" w:hAnsi="Arial" w:cs="Arial"/>
          <w:b/>
          <w:szCs w:val="24"/>
          <w:lang w:val="en-IN"/>
        </w:rPr>
        <w:t>U-Cat</w:t>
      </w:r>
      <w:r w:rsidRPr="00AD6EB0">
        <w:rPr>
          <w:rFonts w:ascii="Arial" w:eastAsia="AdvP641C" w:hAnsi="Arial" w:cs="Arial"/>
          <w:szCs w:val="24"/>
          <w:lang w:val="en-IN"/>
        </w:rPr>
        <w:t xml:space="preserve"> and </w:t>
      </w:r>
      <w:r w:rsidRPr="00AD6EB0">
        <w:rPr>
          <w:rFonts w:ascii="Arial" w:eastAsia="AdvP641C" w:hAnsi="Arial" w:cs="Arial"/>
          <w:b/>
          <w:szCs w:val="24"/>
          <w:lang w:val="en-IN"/>
        </w:rPr>
        <w:t>Cat</w:t>
      </w:r>
      <w:r w:rsidRPr="00AD6EB0">
        <w:rPr>
          <w:rFonts w:ascii="Arial" w:eastAsia="AdvP641C" w:hAnsi="Arial" w:cs="Arial"/>
          <w:szCs w:val="24"/>
          <w:lang w:val="en-IN"/>
        </w:rPr>
        <w:t xml:space="preserve"> complex are -35.54 (± 2.23) </w:t>
      </w:r>
      <w:r w:rsidRPr="00AD6EB0">
        <w:rPr>
          <w:rFonts w:ascii="Arial" w:hAnsi="Arial" w:cs="Arial"/>
          <w:szCs w:val="24"/>
        </w:rPr>
        <w:t>kcal/mol</w:t>
      </w:r>
      <w:r w:rsidRPr="00AD6EB0">
        <w:rPr>
          <w:rFonts w:ascii="Arial" w:eastAsia="AdvP641C" w:hAnsi="Arial" w:cs="Arial"/>
          <w:szCs w:val="24"/>
          <w:lang w:val="en-IN"/>
        </w:rPr>
        <w:t xml:space="preserve"> and -24.57 (± 2.6) </w:t>
      </w:r>
      <w:r w:rsidRPr="00AD6EB0">
        <w:rPr>
          <w:rFonts w:ascii="Arial" w:hAnsi="Arial" w:cs="Arial"/>
          <w:szCs w:val="24"/>
        </w:rPr>
        <w:t>kcal/mol</w:t>
      </w:r>
      <w:r w:rsidRPr="00AD6EB0">
        <w:rPr>
          <w:rFonts w:ascii="Arial" w:eastAsia="AdvP641C" w:hAnsi="Arial" w:cs="Arial"/>
          <w:szCs w:val="24"/>
          <w:lang w:val="en-IN"/>
        </w:rPr>
        <w:t xml:space="preserve"> respectively. It is encouraging to find that these energies were consistent with our MM-GBSA studies. </w:t>
      </w:r>
      <w:r w:rsidRPr="00AD6EB0">
        <w:rPr>
          <w:rFonts w:ascii="Arial" w:eastAsia="AdvP641C" w:hAnsi="Arial" w:cs="Arial"/>
          <w:szCs w:val="24"/>
          <w:lang w:val="en-IN"/>
        </w:rPr>
        <w:br/>
        <w:t>The electrostatic (</w:t>
      </w:r>
      <w:proofErr w:type="spellStart"/>
      <w:r w:rsidRPr="00AD6EB0">
        <w:rPr>
          <w:rFonts w:ascii="Arial" w:eastAsia="AdvP641C" w:hAnsi="Arial" w:cs="Arial"/>
          <w:szCs w:val="24"/>
          <w:lang w:val="en-IN"/>
        </w:rPr>
        <w:t>Δ</w:t>
      </w:r>
      <w:r w:rsidRPr="00AD6EB0">
        <w:rPr>
          <w:rFonts w:ascii="Arial" w:eastAsia="AdvP641C" w:hAnsi="Arial" w:cs="Arial"/>
          <w:b/>
          <w:szCs w:val="24"/>
          <w:lang w:val="en-IN"/>
        </w:rPr>
        <w:t>E</w:t>
      </w:r>
      <w:r w:rsidRPr="00AD6EB0">
        <w:rPr>
          <w:rFonts w:ascii="Arial" w:eastAsia="AdvP641C" w:hAnsi="Arial" w:cs="Arial"/>
          <w:szCs w:val="24"/>
          <w:vertAlign w:val="subscript"/>
          <w:lang w:val="en-IN"/>
        </w:rPr>
        <w:t>Eel</w:t>
      </w:r>
      <w:proofErr w:type="spellEnd"/>
      <w:r w:rsidRPr="00AD6EB0">
        <w:rPr>
          <w:rFonts w:ascii="Arial" w:eastAsia="AdvP641C" w:hAnsi="Arial" w:cs="Arial"/>
          <w:szCs w:val="24"/>
          <w:lang w:val="en-IN"/>
        </w:rPr>
        <w:t xml:space="preserve">), </w:t>
      </w:r>
      <w:r w:rsidRPr="00AD6EB0">
        <w:rPr>
          <w:rFonts w:ascii="Arial" w:eastAsia="AdvP641C" w:hAnsi="Arial" w:cs="Arial"/>
          <w:szCs w:val="24"/>
        </w:rPr>
        <w:t>van der Waals</w:t>
      </w:r>
      <w:r w:rsidRPr="00AD6EB0">
        <w:rPr>
          <w:rFonts w:ascii="Arial" w:eastAsia="AdvP641C" w:hAnsi="Arial" w:cs="Arial"/>
          <w:szCs w:val="24"/>
          <w:lang w:val="en-IN"/>
        </w:rPr>
        <w:t xml:space="preserve"> (</w:t>
      </w:r>
      <w:proofErr w:type="spellStart"/>
      <w:r w:rsidRPr="00AD6EB0">
        <w:rPr>
          <w:rFonts w:ascii="Arial" w:eastAsia="AdvP641C" w:hAnsi="Arial" w:cs="Arial"/>
          <w:szCs w:val="24"/>
          <w:lang w:val="en-IN"/>
        </w:rPr>
        <w:t>Δ</w:t>
      </w:r>
      <w:r w:rsidRPr="00AD6EB0">
        <w:rPr>
          <w:rFonts w:ascii="Arial" w:eastAsia="AdvP641C" w:hAnsi="Arial" w:cs="Arial"/>
          <w:b/>
          <w:szCs w:val="24"/>
          <w:lang w:val="en-IN"/>
        </w:rPr>
        <w:t>E</w:t>
      </w:r>
      <w:r w:rsidRPr="00AD6EB0">
        <w:rPr>
          <w:rFonts w:ascii="Arial" w:eastAsia="AdvP641C" w:hAnsi="Arial" w:cs="Arial"/>
          <w:szCs w:val="24"/>
          <w:vertAlign w:val="subscript"/>
          <w:lang w:val="en-IN"/>
        </w:rPr>
        <w:t>vdw</w:t>
      </w:r>
      <w:proofErr w:type="spellEnd"/>
      <w:r w:rsidRPr="00AD6EB0">
        <w:rPr>
          <w:rFonts w:ascii="Arial" w:eastAsia="AdvP641C" w:hAnsi="Arial" w:cs="Arial"/>
          <w:szCs w:val="24"/>
        </w:rPr>
        <w:t>)</w:t>
      </w:r>
      <w:r w:rsidRPr="00AD6EB0">
        <w:rPr>
          <w:rFonts w:ascii="Arial" w:eastAsia="AdvP641C" w:hAnsi="Arial" w:cs="Arial"/>
          <w:szCs w:val="24"/>
          <w:lang w:val="en-IN"/>
        </w:rPr>
        <w:t>, the nonpolar component of the solvation energy (</w:t>
      </w:r>
      <w:proofErr w:type="spellStart"/>
      <w:r w:rsidRPr="00AD6EB0">
        <w:rPr>
          <w:rFonts w:ascii="Arial" w:eastAsia="AdvP641C" w:hAnsi="Arial" w:cs="Arial"/>
          <w:szCs w:val="24"/>
          <w:lang w:val="en-IN"/>
        </w:rPr>
        <w:t>Δ</w:t>
      </w:r>
      <w:r w:rsidRPr="00AD6EB0">
        <w:rPr>
          <w:rFonts w:ascii="Arial" w:eastAsia="AdvP641C" w:hAnsi="Arial" w:cs="Arial"/>
          <w:b/>
          <w:szCs w:val="24"/>
          <w:lang w:val="en-IN"/>
        </w:rPr>
        <w:t>E</w:t>
      </w:r>
      <w:r w:rsidRPr="00AD6EB0">
        <w:rPr>
          <w:rFonts w:ascii="Arial" w:eastAsia="AdvP641C" w:hAnsi="Arial" w:cs="Arial"/>
          <w:szCs w:val="24"/>
          <w:vertAlign w:val="subscript"/>
          <w:lang w:val="en-IN"/>
        </w:rPr>
        <w:t>surf</w:t>
      </w:r>
      <w:proofErr w:type="spellEnd"/>
      <w:r w:rsidRPr="00AD6EB0">
        <w:rPr>
          <w:rFonts w:ascii="Arial" w:eastAsia="AdvP641C" w:hAnsi="Arial" w:cs="Arial"/>
          <w:szCs w:val="24"/>
          <w:lang w:val="en-IN"/>
        </w:rPr>
        <w:t xml:space="preserve">) and the polar </w:t>
      </w:r>
      <w:r w:rsidRPr="00AD6EB0">
        <w:rPr>
          <w:rFonts w:ascii="Arial" w:eastAsia="AdvP641C" w:hAnsi="Arial" w:cs="Arial"/>
          <w:szCs w:val="24"/>
        </w:rPr>
        <w:t xml:space="preserve">component </w:t>
      </w:r>
      <w:r w:rsidRPr="00AD6EB0">
        <w:rPr>
          <w:rFonts w:ascii="Arial" w:eastAsia="AdvP641C" w:hAnsi="Arial" w:cs="Arial"/>
          <w:szCs w:val="24"/>
          <w:lang w:val="en-IN"/>
        </w:rPr>
        <w:t>(Δ</w:t>
      </w:r>
      <w:r w:rsidRPr="00AD6EB0">
        <w:rPr>
          <w:rFonts w:ascii="Arial" w:eastAsia="AdvP641C" w:hAnsi="Arial" w:cs="Arial"/>
          <w:b/>
          <w:szCs w:val="24"/>
          <w:lang w:val="en-IN"/>
        </w:rPr>
        <w:t>E</w:t>
      </w:r>
      <w:r w:rsidRPr="00AD6EB0">
        <w:rPr>
          <w:rFonts w:ascii="Arial" w:eastAsia="AdvP641C" w:hAnsi="Arial" w:cs="Arial"/>
          <w:szCs w:val="24"/>
          <w:vertAlign w:val="subscript"/>
          <w:lang w:val="en-IN"/>
        </w:rPr>
        <w:t>GB</w:t>
      </w:r>
      <w:r w:rsidRPr="00AD6EB0">
        <w:rPr>
          <w:rFonts w:ascii="Arial" w:eastAsia="AdvP641C" w:hAnsi="Arial" w:cs="Arial"/>
          <w:szCs w:val="24"/>
          <w:lang w:val="en-IN"/>
        </w:rPr>
        <w:t xml:space="preserve">) </w:t>
      </w:r>
      <w:r w:rsidRPr="00AD6EB0">
        <w:rPr>
          <w:rFonts w:ascii="Arial" w:eastAsia="AdvP641C" w:hAnsi="Arial" w:cs="Arial"/>
          <w:szCs w:val="24"/>
        </w:rPr>
        <w:t xml:space="preserve">of </w:t>
      </w:r>
      <w:r w:rsidRPr="00AD6EB0">
        <w:rPr>
          <w:rFonts w:ascii="Arial" w:eastAsia="AdvP641C" w:hAnsi="Arial" w:cs="Arial"/>
          <w:szCs w:val="24"/>
          <w:lang w:val="en-IN"/>
        </w:rPr>
        <w:t xml:space="preserve">solvation </w:t>
      </w:r>
      <w:r w:rsidRPr="00AD6EB0">
        <w:rPr>
          <w:rFonts w:ascii="Arial" w:eastAsia="AdvP641C" w:hAnsi="Arial" w:cs="Arial"/>
          <w:szCs w:val="24"/>
        </w:rPr>
        <w:t xml:space="preserve">free </w:t>
      </w:r>
      <w:r w:rsidRPr="00AD6EB0">
        <w:rPr>
          <w:rFonts w:ascii="Arial" w:eastAsia="AdvP641C" w:hAnsi="Arial" w:cs="Arial"/>
          <w:szCs w:val="24"/>
          <w:lang w:val="en-IN"/>
        </w:rPr>
        <w:t>energy (</w:t>
      </w:r>
      <w:proofErr w:type="spellStart"/>
      <w:r w:rsidRPr="00AD6EB0">
        <w:rPr>
          <w:rFonts w:ascii="Arial" w:eastAsia="AdvP641C" w:hAnsi="Arial" w:cs="Arial"/>
          <w:szCs w:val="24"/>
          <w:lang w:val="en-IN"/>
        </w:rPr>
        <w:t>ΔG</w:t>
      </w:r>
      <w:r w:rsidRPr="00AD6EB0">
        <w:rPr>
          <w:rFonts w:ascii="Arial" w:eastAsia="AdvP641C" w:hAnsi="Arial" w:cs="Arial"/>
          <w:szCs w:val="24"/>
          <w:vertAlign w:val="subscript"/>
          <w:lang w:val="en-IN"/>
        </w:rPr>
        <w:t>solv</w:t>
      </w:r>
      <w:proofErr w:type="spellEnd"/>
      <w:r w:rsidRPr="00AD6EB0">
        <w:rPr>
          <w:rFonts w:ascii="Arial" w:eastAsia="AdvP641C" w:hAnsi="Arial" w:cs="Arial"/>
          <w:szCs w:val="24"/>
          <w:lang w:val="en-IN"/>
        </w:rPr>
        <w:t xml:space="preserve">), terms of the molecular mechanics energy were favourable for both the complex structures.  The van der Waals </w:t>
      </w:r>
      <w:r w:rsidRPr="00AD6EB0">
        <w:rPr>
          <w:rFonts w:ascii="Arial" w:eastAsia="AdvP641C" w:hAnsi="Arial" w:cs="Arial"/>
          <w:szCs w:val="24"/>
        </w:rPr>
        <w:t xml:space="preserve">component, </w:t>
      </w:r>
      <w:proofErr w:type="spellStart"/>
      <w:r w:rsidRPr="00AD6EB0">
        <w:rPr>
          <w:rFonts w:ascii="Arial" w:eastAsia="AdvP641C" w:hAnsi="Arial" w:cs="Arial"/>
          <w:b/>
          <w:szCs w:val="24"/>
          <w:lang w:val="en-IN"/>
        </w:rPr>
        <w:t>E</w:t>
      </w:r>
      <w:r w:rsidRPr="00AD6EB0">
        <w:rPr>
          <w:rFonts w:ascii="Arial" w:eastAsia="AdvP641C" w:hAnsi="Arial" w:cs="Arial"/>
          <w:szCs w:val="24"/>
          <w:vertAlign w:val="subscript"/>
          <w:lang w:val="en-IN"/>
        </w:rPr>
        <w:t>vdw</w:t>
      </w:r>
      <w:proofErr w:type="spellEnd"/>
      <w:r w:rsidRPr="00AD6EB0">
        <w:rPr>
          <w:rFonts w:ascii="Arial" w:eastAsia="AdvP641C" w:hAnsi="Arial" w:cs="Arial"/>
          <w:szCs w:val="24"/>
        </w:rPr>
        <w:t xml:space="preserve"> </w:t>
      </w:r>
      <w:r w:rsidRPr="00AD6EB0">
        <w:rPr>
          <w:rFonts w:ascii="Arial" w:eastAsia="AdvP641C" w:hAnsi="Arial" w:cs="Arial"/>
          <w:szCs w:val="24"/>
          <w:lang w:val="en-IN"/>
        </w:rPr>
        <w:t>(</w:t>
      </w:r>
      <w:r w:rsidRPr="00AD6EB0">
        <w:rPr>
          <w:rFonts w:ascii="Arial" w:eastAsia="AdvP641C" w:hAnsi="Arial" w:cs="Arial"/>
          <w:b/>
          <w:szCs w:val="24"/>
          <w:lang w:val="en-IN"/>
        </w:rPr>
        <w:t>U-Cat</w:t>
      </w:r>
      <w:r w:rsidRPr="00AD6EB0">
        <w:rPr>
          <w:rFonts w:ascii="Arial" w:eastAsia="AdvP641C" w:hAnsi="Arial" w:cs="Arial"/>
          <w:szCs w:val="24"/>
          <w:lang w:val="en-IN"/>
        </w:rPr>
        <w:t xml:space="preserve">: -53.49 and </w:t>
      </w:r>
      <w:r w:rsidRPr="00AD6EB0">
        <w:rPr>
          <w:rFonts w:ascii="Arial" w:eastAsia="AdvP641C" w:hAnsi="Arial" w:cs="Arial"/>
          <w:b/>
          <w:szCs w:val="24"/>
          <w:lang w:val="en-IN"/>
        </w:rPr>
        <w:t>Cat</w:t>
      </w:r>
      <w:r w:rsidRPr="00AD6EB0">
        <w:rPr>
          <w:rFonts w:ascii="Arial" w:eastAsia="AdvP641C" w:hAnsi="Arial" w:cs="Arial"/>
          <w:szCs w:val="24"/>
          <w:lang w:val="en-IN"/>
        </w:rPr>
        <w:t xml:space="preserve">: -44.21 </w:t>
      </w:r>
      <w:r w:rsidRPr="00AD6EB0">
        <w:rPr>
          <w:rFonts w:ascii="Arial" w:hAnsi="Arial" w:cs="Arial"/>
          <w:color w:val="000000"/>
          <w:szCs w:val="24"/>
        </w:rPr>
        <w:t>kcal/mol</w:t>
      </w:r>
      <w:r w:rsidRPr="00AD6EB0">
        <w:rPr>
          <w:rFonts w:ascii="Arial" w:eastAsia="AdvP641C" w:hAnsi="Arial" w:cs="Arial"/>
          <w:szCs w:val="24"/>
        </w:rPr>
        <w:t xml:space="preserve">), and the </w:t>
      </w:r>
      <w:r w:rsidRPr="00AD6EB0">
        <w:rPr>
          <w:rFonts w:ascii="Arial" w:eastAsia="AdvP641C" w:hAnsi="Arial" w:cs="Arial"/>
          <w:szCs w:val="24"/>
          <w:lang w:val="en-IN"/>
        </w:rPr>
        <w:t xml:space="preserve">nonpolar component of the solvation energy, </w:t>
      </w:r>
      <w:proofErr w:type="spellStart"/>
      <w:r w:rsidRPr="00AD6EB0">
        <w:rPr>
          <w:rFonts w:ascii="Arial" w:eastAsia="AdvP641C" w:hAnsi="Arial" w:cs="Arial"/>
          <w:b/>
          <w:szCs w:val="24"/>
          <w:lang w:val="en-IN"/>
        </w:rPr>
        <w:t>E</w:t>
      </w:r>
      <w:r w:rsidRPr="00AD6EB0">
        <w:rPr>
          <w:rFonts w:ascii="Arial" w:eastAsia="AdvP641C" w:hAnsi="Arial" w:cs="Arial"/>
          <w:szCs w:val="24"/>
          <w:vertAlign w:val="subscript"/>
          <w:lang w:val="en-IN"/>
        </w:rPr>
        <w:t>surf</w:t>
      </w:r>
      <w:proofErr w:type="spellEnd"/>
      <w:r w:rsidRPr="00AD6EB0">
        <w:rPr>
          <w:rFonts w:ascii="Arial" w:eastAsia="AdvP641C" w:hAnsi="Arial" w:cs="Arial"/>
          <w:szCs w:val="24"/>
          <w:lang w:val="en-IN"/>
        </w:rPr>
        <w:t xml:space="preserve"> (</w:t>
      </w:r>
      <w:r w:rsidRPr="00AD6EB0">
        <w:rPr>
          <w:rFonts w:ascii="Arial" w:eastAsia="AdvP641C" w:hAnsi="Arial" w:cs="Arial"/>
          <w:b/>
          <w:szCs w:val="24"/>
          <w:lang w:val="en-IN"/>
        </w:rPr>
        <w:t>U-Cat</w:t>
      </w:r>
      <w:r w:rsidRPr="00AD6EB0">
        <w:rPr>
          <w:rFonts w:ascii="Arial" w:hAnsi="Arial" w:cs="Arial"/>
          <w:color w:val="000000"/>
          <w:szCs w:val="24"/>
        </w:rPr>
        <w:t xml:space="preserve">: -6.65 and </w:t>
      </w:r>
      <w:r w:rsidRPr="00AD6EB0">
        <w:rPr>
          <w:rFonts w:ascii="Arial" w:hAnsi="Arial" w:cs="Arial"/>
          <w:b/>
          <w:bCs/>
          <w:color w:val="000000"/>
          <w:szCs w:val="24"/>
        </w:rPr>
        <w:t>Cat</w:t>
      </w:r>
      <w:r w:rsidRPr="00AD6EB0">
        <w:rPr>
          <w:rFonts w:ascii="Arial" w:hAnsi="Arial" w:cs="Arial"/>
          <w:color w:val="000000"/>
          <w:szCs w:val="24"/>
        </w:rPr>
        <w:t>: -5.52kcal/mol</w:t>
      </w:r>
      <w:r w:rsidRPr="00AD6EB0">
        <w:rPr>
          <w:rFonts w:ascii="Arial" w:eastAsia="AdvP641C" w:hAnsi="Arial" w:cs="Arial"/>
          <w:szCs w:val="24"/>
          <w:vertAlign w:val="subscript"/>
          <w:lang w:val="en-IN"/>
        </w:rPr>
        <w:t>)</w:t>
      </w:r>
      <w:r w:rsidRPr="00AD6EB0">
        <w:rPr>
          <w:rFonts w:ascii="Arial" w:eastAsia="AdvP641C" w:hAnsi="Arial" w:cs="Arial"/>
          <w:szCs w:val="24"/>
          <w:lang w:val="en-IN"/>
        </w:rPr>
        <w:t xml:space="preserve"> </w:t>
      </w:r>
      <w:r w:rsidRPr="00AD6EB0">
        <w:rPr>
          <w:rFonts w:ascii="Arial" w:eastAsia="AdvP641C" w:hAnsi="Arial" w:cs="Arial"/>
          <w:szCs w:val="24"/>
        </w:rPr>
        <w:t xml:space="preserve">showed the favorable contribution to the ligand protein complex formation. </w:t>
      </w:r>
      <w:r w:rsidRPr="00AD6EB0">
        <w:rPr>
          <w:rFonts w:ascii="Arial" w:eastAsia="AdvP641C" w:hAnsi="Arial" w:cs="Arial"/>
          <w:szCs w:val="24"/>
          <w:lang w:val="en-IN"/>
        </w:rPr>
        <w:t xml:space="preserve">The total </w:t>
      </w:r>
      <w:r w:rsidRPr="00AD6EB0">
        <w:rPr>
          <w:rFonts w:ascii="Arial" w:eastAsia="AdvP641C" w:hAnsi="Arial" w:cs="Arial"/>
          <w:szCs w:val="24"/>
        </w:rPr>
        <w:t xml:space="preserve">solvation energy, </w:t>
      </w:r>
      <w:r w:rsidRPr="00AD6EB0">
        <w:rPr>
          <w:rFonts w:ascii="Arial" w:eastAsia="AdvP641C" w:hAnsi="Arial" w:cs="Arial"/>
          <w:b/>
          <w:szCs w:val="24"/>
          <w:lang w:val="en-IN"/>
        </w:rPr>
        <w:t>ΔG</w:t>
      </w:r>
      <w:proofErr w:type="spellStart"/>
      <w:r w:rsidRPr="00AD6EB0">
        <w:rPr>
          <w:rFonts w:ascii="Arial" w:eastAsia="AdvP641C" w:hAnsi="Arial" w:cs="Arial"/>
          <w:b/>
          <w:szCs w:val="24"/>
          <w:vertAlign w:val="subscript"/>
        </w:rPr>
        <w:t>solv</w:t>
      </w:r>
      <w:proofErr w:type="spellEnd"/>
      <w:r w:rsidRPr="00AD6EB0">
        <w:rPr>
          <w:rFonts w:ascii="Arial" w:eastAsia="AdvP641C" w:hAnsi="Arial" w:cs="Arial"/>
          <w:szCs w:val="24"/>
        </w:rPr>
        <w:t xml:space="preserve"> (</w:t>
      </w:r>
      <w:r w:rsidRPr="00AD6EB0">
        <w:rPr>
          <w:rFonts w:ascii="Arial" w:eastAsia="AdvP641C" w:hAnsi="Arial" w:cs="Arial"/>
          <w:b/>
          <w:szCs w:val="24"/>
          <w:lang w:val="en-IN"/>
        </w:rPr>
        <w:t>U-Cat</w:t>
      </w:r>
      <w:r w:rsidRPr="00AD6EB0">
        <w:rPr>
          <w:rFonts w:ascii="Arial" w:eastAsia="AdvP641C" w:hAnsi="Arial" w:cs="Arial"/>
          <w:szCs w:val="24"/>
          <w:lang w:val="en-IN"/>
        </w:rPr>
        <w:t xml:space="preserve">: -211.70 and </w:t>
      </w:r>
      <w:r w:rsidRPr="00AD6EB0">
        <w:rPr>
          <w:rFonts w:ascii="Arial" w:eastAsia="AdvP641C" w:hAnsi="Arial" w:cs="Arial"/>
          <w:b/>
          <w:szCs w:val="24"/>
          <w:lang w:val="en-IN"/>
        </w:rPr>
        <w:t>Cat</w:t>
      </w:r>
      <w:r w:rsidRPr="00AD6EB0">
        <w:rPr>
          <w:rFonts w:ascii="Arial" w:eastAsia="AdvP641C" w:hAnsi="Arial" w:cs="Arial"/>
          <w:szCs w:val="24"/>
          <w:lang w:val="en-IN"/>
        </w:rPr>
        <w:t xml:space="preserve">: -131.76 </w:t>
      </w:r>
      <w:r w:rsidRPr="00AD6EB0">
        <w:rPr>
          <w:rFonts w:ascii="Arial" w:hAnsi="Arial" w:cs="Arial"/>
          <w:color w:val="000000"/>
          <w:szCs w:val="24"/>
        </w:rPr>
        <w:t>kcal/mol</w:t>
      </w:r>
      <w:r w:rsidRPr="00AD6EB0">
        <w:rPr>
          <w:rFonts w:ascii="Arial" w:eastAsia="AdvP641C" w:hAnsi="Arial" w:cs="Arial"/>
          <w:szCs w:val="24"/>
        </w:rPr>
        <w:t>)</w:t>
      </w:r>
      <w:r w:rsidRPr="00AD6EB0">
        <w:rPr>
          <w:rFonts w:ascii="Arial" w:eastAsia="AdvP641C" w:hAnsi="Arial" w:cs="Arial"/>
          <w:szCs w:val="24"/>
          <w:lang w:val="en-IN"/>
        </w:rPr>
        <w:t xml:space="preserve"> is strongly favourable at both complexes. Although the </w:t>
      </w:r>
      <w:r w:rsidRPr="00AD6EB0">
        <w:rPr>
          <w:rFonts w:ascii="Arial" w:hAnsi="Arial" w:cs="Arial"/>
          <w:color w:val="000000"/>
          <w:szCs w:val="24"/>
        </w:rPr>
        <w:t xml:space="preserve">hydrophobic contribution to solvation free energy is very less yet the polar component played very crucial role. </w:t>
      </w:r>
    </w:p>
    <w:p w:rsidR="00C24016" w:rsidRPr="00AD6EB0" w:rsidRDefault="00C24016" w:rsidP="00C24016">
      <w:pPr>
        <w:shd w:val="clear" w:color="auto" w:fill="FFFFFF"/>
        <w:textAlignment w:val="top"/>
        <w:rPr>
          <w:rFonts w:ascii="Arial" w:hAnsi="Arial" w:cs="Arial"/>
          <w:color w:val="000000" w:themeColor="text1"/>
          <w:szCs w:val="24"/>
          <w:lang w:val="en-IN"/>
        </w:rPr>
      </w:pPr>
      <w:r w:rsidRPr="00AD6EB0">
        <w:rPr>
          <w:rFonts w:ascii="Arial" w:eastAsia="AdvP641C" w:hAnsi="Arial" w:cs="Arial"/>
          <w:szCs w:val="24"/>
          <w:lang w:val="en-IN"/>
        </w:rPr>
        <w:t xml:space="preserve">Electrostatic interactions were supposed to play a foremost major role in the ligand and a protein interaction. But it is of high importance to consider the electrostatic component of the molecular mechanics energy together with the polar contribution to solvation while deciding the role of electrostatics in the ligand-protein complex formation. At both protein-ligand complexes, the nature of the polar component of the total solvation energy is similar and thus favourable for the bound state of the ligand but the on the contrary the electrostatic contribution, </w:t>
      </w:r>
      <w:proofErr w:type="spellStart"/>
      <w:r w:rsidRPr="00AD6EB0">
        <w:rPr>
          <w:rFonts w:ascii="Arial" w:eastAsia="AdvP641C" w:hAnsi="Arial" w:cs="Arial"/>
          <w:b/>
          <w:szCs w:val="24"/>
          <w:lang w:val="en-IN"/>
        </w:rPr>
        <w:t>E</w:t>
      </w:r>
      <w:r w:rsidRPr="00AD6EB0">
        <w:rPr>
          <w:rFonts w:ascii="Arial" w:eastAsia="AdvP641C" w:hAnsi="Arial" w:cs="Arial"/>
          <w:szCs w:val="24"/>
          <w:vertAlign w:val="subscript"/>
          <w:lang w:val="en-IN"/>
        </w:rPr>
        <w:t>Eel</w:t>
      </w:r>
      <w:proofErr w:type="spellEnd"/>
      <w:r w:rsidRPr="00AD6EB0">
        <w:rPr>
          <w:rFonts w:ascii="Arial" w:eastAsia="AdvP641C" w:hAnsi="Arial" w:cs="Arial"/>
          <w:szCs w:val="24"/>
          <w:lang w:val="en-IN"/>
        </w:rPr>
        <w:t xml:space="preserve"> (</w:t>
      </w:r>
      <w:r w:rsidRPr="00AD6EB0">
        <w:rPr>
          <w:rFonts w:ascii="Arial" w:hAnsi="Arial" w:cs="Arial"/>
          <w:b/>
          <w:color w:val="000000"/>
          <w:szCs w:val="24"/>
        </w:rPr>
        <w:t>U-Cat</w:t>
      </w:r>
      <w:r w:rsidRPr="00AD6EB0">
        <w:rPr>
          <w:rFonts w:ascii="Arial" w:hAnsi="Arial" w:cs="Arial"/>
          <w:color w:val="000000"/>
          <w:szCs w:val="24"/>
        </w:rPr>
        <w:t xml:space="preserve">: 229.65 and </w:t>
      </w:r>
      <w:r w:rsidRPr="00AD6EB0">
        <w:rPr>
          <w:rFonts w:ascii="Arial" w:hAnsi="Arial" w:cs="Arial"/>
          <w:b/>
          <w:color w:val="000000"/>
          <w:szCs w:val="24"/>
        </w:rPr>
        <w:t>Cat</w:t>
      </w:r>
      <w:r w:rsidRPr="00AD6EB0">
        <w:rPr>
          <w:rFonts w:ascii="Arial" w:hAnsi="Arial" w:cs="Arial"/>
          <w:color w:val="000000"/>
          <w:szCs w:val="24"/>
        </w:rPr>
        <w:t>: 151.40 kcal/mol</w:t>
      </w:r>
      <w:r w:rsidRPr="00AD6EB0">
        <w:rPr>
          <w:rFonts w:ascii="Arial" w:eastAsia="AdvP641C" w:hAnsi="Arial" w:cs="Arial"/>
          <w:szCs w:val="24"/>
          <w:lang w:val="en-IN"/>
        </w:rPr>
        <w:t xml:space="preserve">) does not play the expected significant role in the ligand complex interaction but this </w:t>
      </w:r>
      <w:r w:rsidRPr="00AD6EB0">
        <w:rPr>
          <w:rFonts w:ascii="Arial" w:hAnsi="Arial" w:cs="Arial"/>
          <w:szCs w:val="24"/>
          <w:lang w:val="en-IN"/>
        </w:rPr>
        <w:t xml:space="preserve">interaction were found to make a very small contribution to the binding free energy. The weakness of electrostatic interactions was surprising because of the conserved H-bond interaction between the invariant Gln615 and crystal ligands and reported inhibitors of PDE4B </w:t>
      </w:r>
      <w:r w:rsidRPr="00AD6EB0">
        <w:rPr>
          <w:rFonts w:ascii="Arial" w:hAnsi="Arial" w:cs="Arial"/>
          <w:szCs w:val="24"/>
          <w:lang w:val="en-IN"/>
        </w:rPr>
        <w:fldChar w:fldCharType="begin">
          <w:fldData xml:space="preserve">PEVuZE5vdGU+PENpdGU+PEF1dGhvcj5XYW5nPC9BdXRob3I+PFllYXI+MjAwNzwvWWVhcj48UmVj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</w:fldData>
        </w:fldChar>
      </w:r>
      <w:r w:rsidR="0011463D">
        <w:rPr>
          <w:rFonts w:ascii="Arial" w:hAnsi="Arial" w:cs="Arial"/>
          <w:szCs w:val="24"/>
          <w:lang w:val="en-IN"/>
        </w:rPr>
        <w:instrText xml:space="preserve"> ADDIN EN.CITE </w:instrText>
      </w:r>
      <w:r w:rsidR="0011463D">
        <w:rPr>
          <w:rFonts w:ascii="Arial" w:hAnsi="Arial" w:cs="Arial"/>
          <w:szCs w:val="24"/>
          <w:lang w:val="en-IN"/>
        </w:rPr>
        <w:fldChar w:fldCharType="begin">
          <w:fldData xml:space="preserve">PEVuZE5vdGU+PENpdGU+PEF1dGhvcj5XYW5nPC9BdXRob3I+PFllYXI+MjAwNzwvWWVhcj48UmVj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</w:fldData>
        </w:fldChar>
      </w:r>
      <w:r w:rsidR="0011463D">
        <w:rPr>
          <w:rFonts w:ascii="Arial" w:hAnsi="Arial" w:cs="Arial"/>
          <w:szCs w:val="24"/>
          <w:lang w:val="en-IN"/>
        </w:rPr>
        <w:instrText xml:space="preserve"> ADDIN EN.CITE.DATA </w:instrText>
      </w:r>
      <w:r w:rsidR="0011463D">
        <w:rPr>
          <w:rFonts w:ascii="Arial" w:hAnsi="Arial" w:cs="Arial"/>
          <w:szCs w:val="24"/>
          <w:lang w:val="en-IN"/>
        </w:rPr>
      </w:r>
      <w:r w:rsidR="0011463D">
        <w:rPr>
          <w:rFonts w:ascii="Arial" w:hAnsi="Arial" w:cs="Arial"/>
          <w:szCs w:val="24"/>
          <w:lang w:val="en-IN"/>
        </w:rPr>
        <w:fldChar w:fldCharType="end"/>
      </w:r>
      <w:r w:rsidRPr="00AD6EB0">
        <w:rPr>
          <w:rFonts w:ascii="Arial" w:hAnsi="Arial" w:cs="Arial"/>
          <w:szCs w:val="24"/>
          <w:lang w:val="en-IN"/>
        </w:rPr>
      </w:r>
      <w:r w:rsidRPr="00AD6EB0">
        <w:rPr>
          <w:rFonts w:ascii="Arial" w:hAnsi="Arial" w:cs="Arial"/>
          <w:szCs w:val="24"/>
          <w:lang w:val="en-IN"/>
        </w:rPr>
        <w:fldChar w:fldCharType="separate"/>
      </w:r>
      <w:r w:rsidR="0011463D">
        <w:rPr>
          <w:rFonts w:ascii="Arial" w:hAnsi="Arial" w:cs="Arial"/>
          <w:noProof/>
          <w:szCs w:val="24"/>
          <w:lang w:val="en-IN"/>
        </w:rPr>
        <w:t xml:space="preserve">(Zhang et al. 2004; </w:t>
      </w:r>
      <w:r w:rsidR="0011463D">
        <w:rPr>
          <w:rFonts w:ascii="Arial" w:hAnsi="Arial" w:cs="Arial"/>
          <w:noProof/>
          <w:szCs w:val="24"/>
          <w:lang w:val="en-IN"/>
        </w:rPr>
        <w:lastRenderedPageBreak/>
        <w:t>Wang, Robinson &amp; Ke 2007)</w:t>
      </w:r>
      <w:r w:rsidRPr="00AD6EB0">
        <w:rPr>
          <w:rFonts w:ascii="Arial" w:hAnsi="Arial" w:cs="Arial"/>
          <w:szCs w:val="24"/>
          <w:lang w:val="en-IN"/>
        </w:rPr>
        <w:fldChar w:fldCharType="end"/>
      </w:r>
      <w:r w:rsidRPr="00AD6EB0">
        <w:rPr>
          <w:rFonts w:ascii="Arial" w:hAnsi="Arial" w:cs="Arial"/>
          <w:szCs w:val="24"/>
          <w:lang w:val="en-IN"/>
        </w:rPr>
        <w:t xml:space="preserve">. </w:t>
      </w:r>
      <w:r w:rsidRPr="00AD6EB0">
        <w:rPr>
          <w:rFonts w:ascii="Arial" w:hAnsi="Arial" w:cs="Arial"/>
          <w:color w:val="000000" w:themeColor="text1"/>
          <w:szCs w:val="24"/>
          <w:lang w:val="en-IN"/>
        </w:rPr>
        <w:t xml:space="preserve">Apart from the energy contribution to the complex-stability, like other analyses, here also we observed the effect of N-terminal. All the contributing energy and the binding free energy showed lower value for </w:t>
      </w:r>
      <w:r w:rsidRPr="00AD6EB0">
        <w:rPr>
          <w:rFonts w:ascii="Arial" w:hAnsi="Arial" w:cs="Arial"/>
          <w:b/>
          <w:color w:val="000000" w:themeColor="text1"/>
          <w:szCs w:val="24"/>
          <w:lang w:val="en-IN"/>
        </w:rPr>
        <w:t>U-Cat</w:t>
      </w:r>
      <w:r w:rsidRPr="00AD6EB0">
        <w:rPr>
          <w:rFonts w:ascii="Arial" w:hAnsi="Arial" w:cs="Arial"/>
          <w:color w:val="000000" w:themeColor="text1"/>
          <w:szCs w:val="24"/>
          <w:lang w:val="en-IN"/>
        </w:rPr>
        <w:t xml:space="preserve"> in comparison to the </w:t>
      </w:r>
      <w:r w:rsidRPr="00AD6EB0">
        <w:rPr>
          <w:rFonts w:ascii="Arial" w:hAnsi="Arial" w:cs="Arial"/>
          <w:b/>
          <w:color w:val="000000" w:themeColor="text1"/>
          <w:szCs w:val="24"/>
          <w:lang w:val="en-IN"/>
        </w:rPr>
        <w:t>Cat</w:t>
      </w:r>
      <w:r w:rsidRPr="00AD6EB0">
        <w:rPr>
          <w:rFonts w:ascii="Arial" w:hAnsi="Arial" w:cs="Arial"/>
          <w:color w:val="000000" w:themeColor="text1"/>
          <w:szCs w:val="24"/>
          <w:lang w:val="en-IN"/>
        </w:rPr>
        <w:t xml:space="preserve"> protein complex. </w:t>
      </w:r>
    </w:p>
    <w:p w:rsidR="00C24016" w:rsidRPr="00AD6EB0" w:rsidRDefault="00C24016" w:rsidP="00C24016">
      <w:pPr>
        <w:pStyle w:val="EndNoteBibliography"/>
        <w:spacing w:line="360" w:lineRule="auto"/>
        <w:rPr>
          <w:rFonts w:ascii="Arial" w:hAnsi="Arial" w:cs="Arial"/>
          <w:b/>
          <w:bCs/>
          <w:szCs w:val="24"/>
          <w:lang w:eastAsia="hi-IN"/>
        </w:rPr>
      </w:pPr>
    </w:p>
    <w:p w:rsidR="00C24016" w:rsidRPr="00AD6EB0" w:rsidRDefault="00C24016" w:rsidP="00C24016">
      <w:pPr>
        <w:pStyle w:val="EndNoteBibliography"/>
        <w:spacing w:line="360" w:lineRule="auto"/>
        <w:jc w:val="center"/>
        <w:rPr>
          <w:rFonts w:ascii="Arial" w:hAnsi="Arial" w:cs="Arial"/>
          <w:b/>
          <w:bCs/>
          <w:szCs w:val="24"/>
          <w:lang w:eastAsia="hi-IN"/>
        </w:rPr>
      </w:pPr>
      <w:r w:rsidRPr="00AD6EB0">
        <w:rPr>
          <w:rFonts w:ascii="Arial" w:hAnsi="Arial" w:cs="Arial"/>
          <w:b/>
          <w:bCs/>
          <w:szCs w:val="24"/>
          <w:lang w:eastAsia="hi-IN"/>
        </w:rPr>
        <w:drawing>
          <wp:inline distT="0" distB="0" distL="0" distR="0">
            <wp:extent cx="42291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gbs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29100" cy="2514600"/>
                    </a:xfrm>
                    <a:prstGeom prst="rect">
                      <a:avLst/>
                    </a:prstGeom>
                  </pic:spPr>
                </pic:pic>
              </a:graphicData>
            </a:graphic>
          </wp:inline>
        </w:drawing>
      </w:r>
    </w:p>
    <w:p w:rsidR="00C24016" w:rsidRPr="00C24016" w:rsidRDefault="00C24016" w:rsidP="00C24016">
      <w:pPr>
        <w:pStyle w:val="EndNoteBibliography"/>
        <w:spacing w:line="360" w:lineRule="auto"/>
        <w:jc w:val="center"/>
        <w:rPr>
          <w:rFonts w:ascii="Arial" w:hAnsi="Arial" w:cs="Arial"/>
          <w:b/>
          <w:bCs/>
          <w:szCs w:val="24"/>
          <w:lang w:eastAsia="hi-IN"/>
        </w:rPr>
      </w:pPr>
      <w:r w:rsidRPr="00AD6EB0">
        <w:rPr>
          <w:rFonts w:ascii="Arial" w:hAnsi="Arial" w:cs="Arial"/>
          <w:b/>
          <w:bCs/>
          <w:szCs w:val="24"/>
          <w:lang w:eastAsia="hi-IN"/>
        </w:rPr>
        <w:t>Supplementray figure 1. MM-GBSA analysis of Cat and U-Cat versions of PDE 4B</w:t>
      </w:r>
    </w:p>
    <w:p w:rsidR="00C24016" w:rsidRPr="00B720F6" w:rsidRDefault="00C24016" w:rsidP="00C24016">
      <w:pPr>
        <w:pStyle w:val="EndNoteBibliography"/>
        <w:spacing w:line="360" w:lineRule="auto"/>
        <w:rPr>
          <w:rFonts w:ascii="Arial" w:hAnsi="Arial" w:cs="Arial"/>
          <w:szCs w:val="24"/>
          <w:lang w:eastAsia="hi-IN"/>
        </w:rPr>
      </w:pPr>
    </w:p>
    <w:bookmarkEnd w:id="0"/>
    <w:bookmarkEnd w:id="1"/>
    <w:bookmarkEnd w:id="2"/>
    <w:bookmarkEnd w:id="3"/>
    <w:bookmarkEnd w:id="4"/>
    <w:bookmarkEnd w:id="5"/>
    <w:bookmarkEnd w:id="6"/>
    <w:p w:rsidR="0011463D" w:rsidRDefault="0011463D"/>
    <w:p w:rsidR="0011463D" w:rsidRDefault="0011463D"/>
    <w:p w:rsidR="0011463D" w:rsidRPr="0011463D" w:rsidRDefault="0011463D" w:rsidP="0011463D">
      <w:pPr>
        <w:pStyle w:val="EndNoteBibliography"/>
        <w:spacing w:after="0"/>
        <w:ind w:left="720" w:hanging="720"/>
        <w:rPr>
          <w:b/>
          <w:bCs/>
        </w:rPr>
      </w:pPr>
      <w:r w:rsidRPr="0011463D">
        <w:rPr>
          <w:b/>
          <w:bCs/>
        </w:rPr>
        <w:t>References:</w:t>
      </w:r>
    </w:p>
    <w:p w:rsidR="0011463D" w:rsidRPr="0011463D" w:rsidRDefault="0011463D" w:rsidP="0011463D">
      <w:pPr>
        <w:pStyle w:val="EndNoteBibliography"/>
        <w:spacing w:after="0"/>
        <w:ind w:left="720" w:hanging="720"/>
      </w:pPr>
      <w:r>
        <w:fldChar w:fldCharType="begin"/>
      </w:r>
      <w:r>
        <w:instrText xml:space="preserve"> ADDIN EN.REFLIST </w:instrText>
      </w:r>
      <w:r>
        <w:fldChar w:fldCharType="separate"/>
      </w:r>
      <w:r w:rsidRPr="0011463D">
        <w:t xml:space="preserve">Genheden, S. &amp; Ryde, U. (2015). The MM/PBSA and MM/GBSA methods to estimate ligand-binding affinities. </w:t>
      </w:r>
      <w:r w:rsidRPr="0011463D">
        <w:rPr>
          <w:i/>
        </w:rPr>
        <w:t>Expert Opin Drug Discov</w:t>
      </w:r>
      <w:r w:rsidRPr="0011463D">
        <w:t xml:space="preserve"> </w:t>
      </w:r>
      <w:r w:rsidRPr="0011463D">
        <w:rPr>
          <w:i/>
        </w:rPr>
        <w:t>10</w:t>
      </w:r>
      <w:r w:rsidRPr="0011463D">
        <w:t>: 449-461.</w:t>
      </w:r>
    </w:p>
    <w:p w:rsidR="0011463D" w:rsidRPr="0011463D" w:rsidRDefault="0011463D" w:rsidP="0011463D">
      <w:pPr>
        <w:pStyle w:val="EndNoteBibliography"/>
        <w:spacing w:after="0"/>
        <w:ind w:left="720" w:hanging="720"/>
      </w:pPr>
      <w:r w:rsidRPr="0011463D">
        <w:t xml:space="preserve">Onufriev, A., Bashford, D. &amp; Case, D. A. (2004). Exploring protein native states and large-scale conformational changes with a modified generalized born model. </w:t>
      </w:r>
      <w:r w:rsidRPr="0011463D">
        <w:rPr>
          <w:i/>
        </w:rPr>
        <w:t>Proteins</w:t>
      </w:r>
      <w:r w:rsidRPr="0011463D">
        <w:t xml:space="preserve"> </w:t>
      </w:r>
      <w:r w:rsidRPr="0011463D">
        <w:rPr>
          <w:i/>
        </w:rPr>
        <w:t>55</w:t>
      </w:r>
      <w:r w:rsidRPr="0011463D">
        <w:t>: 383-394.</w:t>
      </w:r>
    </w:p>
    <w:p w:rsidR="0011463D" w:rsidRPr="0011463D" w:rsidRDefault="0011463D" w:rsidP="0011463D">
      <w:pPr>
        <w:pStyle w:val="EndNoteBibliography"/>
        <w:spacing w:after="0"/>
        <w:ind w:left="720" w:hanging="720"/>
      </w:pPr>
      <w:r w:rsidRPr="0011463D">
        <w:t xml:space="preserve">Wang, H., Robinson, H. &amp; Ke, H. (2007). The molecular basis for different recognition of substrates by phosphodiesterase families 4 and 10. </w:t>
      </w:r>
      <w:r w:rsidRPr="0011463D">
        <w:rPr>
          <w:i/>
        </w:rPr>
        <w:t>J Mol Biol</w:t>
      </w:r>
      <w:r w:rsidRPr="0011463D">
        <w:t xml:space="preserve"> </w:t>
      </w:r>
      <w:r w:rsidRPr="0011463D">
        <w:rPr>
          <w:i/>
        </w:rPr>
        <w:t>371</w:t>
      </w:r>
      <w:r w:rsidRPr="0011463D">
        <w:t>: 302-307.</w:t>
      </w:r>
    </w:p>
    <w:p w:rsidR="0011463D" w:rsidRPr="0011463D" w:rsidRDefault="0011463D" w:rsidP="0011463D">
      <w:pPr>
        <w:pStyle w:val="EndNoteBibliography"/>
        <w:spacing w:after="0"/>
        <w:ind w:left="720" w:hanging="720"/>
      </w:pPr>
      <w:r w:rsidRPr="0011463D">
        <w:t xml:space="preserve">Weiser, J., Shenkin, P. S. &amp; Still, W. C. (1999). Approximate solvent-accessible surface areas from tetrahedrally directed neighbor densities. </w:t>
      </w:r>
      <w:r w:rsidRPr="0011463D">
        <w:rPr>
          <w:i/>
        </w:rPr>
        <w:t>Biopolymers</w:t>
      </w:r>
      <w:r w:rsidRPr="0011463D">
        <w:t xml:space="preserve"> </w:t>
      </w:r>
      <w:r w:rsidRPr="0011463D">
        <w:rPr>
          <w:i/>
        </w:rPr>
        <w:t>50</w:t>
      </w:r>
      <w:r w:rsidRPr="0011463D">
        <w:t>: 373-380.</w:t>
      </w:r>
    </w:p>
    <w:p w:rsidR="0011463D" w:rsidRPr="0011463D" w:rsidRDefault="0011463D" w:rsidP="0011463D">
      <w:pPr>
        <w:pStyle w:val="EndNoteBibliography"/>
        <w:ind w:left="720" w:hanging="720"/>
      </w:pPr>
      <w:r w:rsidRPr="0011463D">
        <w:t xml:space="preserve">Zhang, K. Y., Card, G. L., Suzuki, Y., Artis, D. R., Fong, D., Gillette, S., Hsieh, D., Neiman, J., West, B. L., Zhang, C., Milburn, M. V., Kim, S. H., Schlessinger, J. &amp; Bollag, G. (2004). A glutamine switch mechanism for nucleotide selectivity by phosphodiesterases. </w:t>
      </w:r>
      <w:r w:rsidRPr="0011463D">
        <w:rPr>
          <w:i/>
        </w:rPr>
        <w:t>Mol Cell</w:t>
      </w:r>
      <w:r w:rsidRPr="0011463D">
        <w:t xml:space="preserve"> </w:t>
      </w:r>
      <w:r w:rsidRPr="0011463D">
        <w:rPr>
          <w:i/>
        </w:rPr>
        <w:t>15</w:t>
      </w:r>
      <w:r w:rsidRPr="0011463D">
        <w:t>: 279-286.</w:t>
      </w:r>
    </w:p>
    <w:p w:rsidR="002C5712" w:rsidRDefault="0011463D">
      <w:r>
        <w:fldChar w:fldCharType="end"/>
      </w:r>
    </w:p>
    <w:sectPr w:rsidR="002C5712" w:rsidSect="00567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dvP641C">
    <w:altName w:val="Arial Unicode MS"/>
    <w:panose1 w:val="020B0604020202020204"/>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Taylor-Francis-JBS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24016"/>
    <w:rsid w:val="00027815"/>
    <w:rsid w:val="00036012"/>
    <w:rsid w:val="0004006F"/>
    <w:rsid w:val="00053292"/>
    <w:rsid w:val="00056E90"/>
    <w:rsid w:val="0007242A"/>
    <w:rsid w:val="000812CB"/>
    <w:rsid w:val="0008322C"/>
    <w:rsid w:val="000872E2"/>
    <w:rsid w:val="000963EC"/>
    <w:rsid w:val="000A3684"/>
    <w:rsid w:val="000A6268"/>
    <w:rsid w:val="000A745A"/>
    <w:rsid w:val="000D488C"/>
    <w:rsid w:val="000E37A4"/>
    <w:rsid w:val="00105EA6"/>
    <w:rsid w:val="00106792"/>
    <w:rsid w:val="00107A84"/>
    <w:rsid w:val="0011454A"/>
    <w:rsid w:val="0011463D"/>
    <w:rsid w:val="001154C2"/>
    <w:rsid w:val="00121CB4"/>
    <w:rsid w:val="00125F68"/>
    <w:rsid w:val="00135B3B"/>
    <w:rsid w:val="00136CAC"/>
    <w:rsid w:val="0015231B"/>
    <w:rsid w:val="001530C0"/>
    <w:rsid w:val="00166E4B"/>
    <w:rsid w:val="00167EA5"/>
    <w:rsid w:val="00171B54"/>
    <w:rsid w:val="00193E7A"/>
    <w:rsid w:val="001C6823"/>
    <w:rsid w:val="001F2D27"/>
    <w:rsid w:val="00215641"/>
    <w:rsid w:val="00225063"/>
    <w:rsid w:val="0022527D"/>
    <w:rsid w:val="0023364B"/>
    <w:rsid w:val="00237AE9"/>
    <w:rsid w:val="00242F68"/>
    <w:rsid w:val="002510DD"/>
    <w:rsid w:val="002574EB"/>
    <w:rsid w:val="00284EBA"/>
    <w:rsid w:val="0028530A"/>
    <w:rsid w:val="0028666E"/>
    <w:rsid w:val="002B6E9A"/>
    <w:rsid w:val="002C2C72"/>
    <w:rsid w:val="002C5712"/>
    <w:rsid w:val="002C60A9"/>
    <w:rsid w:val="002C7BCB"/>
    <w:rsid w:val="002D5D75"/>
    <w:rsid w:val="002D7D7C"/>
    <w:rsid w:val="002E15F4"/>
    <w:rsid w:val="002E4A1F"/>
    <w:rsid w:val="002E55FA"/>
    <w:rsid w:val="002F2C3D"/>
    <w:rsid w:val="002F3618"/>
    <w:rsid w:val="002F7956"/>
    <w:rsid w:val="00303971"/>
    <w:rsid w:val="00311EE0"/>
    <w:rsid w:val="003148FE"/>
    <w:rsid w:val="0034670E"/>
    <w:rsid w:val="003517EE"/>
    <w:rsid w:val="00354E5D"/>
    <w:rsid w:val="00356E55"/>
    <w:rsid w:val="00364CCF"/>
    <w:rsid w:val="00367D95"/>
    <w:rsid w:val="003846A0"/>
    <w:rsid w:val="00386987"/>
    <w:rsid w:val="00392ACB"/>
    <w:rsid w:val="0039461D"/>
    <w:rsid w:val="003A1030"/>
    <w:rsid w:val="003B1B9E"/>
    <w:rsid w:val="003C545A"/>
    <w:rsid w:val="003F1249"/>
    <w:rsid w:val="003F3006"/>
    <w:rsid w:val="00406269"/>
    <w:rsid w:val="004117DB"/>
    <w:rsid w:val="00414A0C"/>
    <w:rsid w:val="0042048E"/>
    <w:rsid w:val="0042184C"/>
    <w:rsid w:val="0044521D"/>
    <w:rsid w:val="004470A9"/>
    <w:rsid w:val="004536EB"/>
    <w:rsid w:val="00453905"/>
    <w:rsid w:val="00453B69"/>
    <w:rsid w:val="00464D50"/>
    <w:rsid w:val="004705AF"/>
    <w:rsid w:val="00474582"/>
    <w:rsid w:val="00475910"/>
    <w:rsid w:val="00481A37"/>
    <w:rsid w:val="004954C1"/>
    <w:rsid w:val="00496550"/>
    <w:rsid w:val="0050202B"/>
    <w:rsid w:val="00503E47"/>
    <w:rsid w:val="00524F21"/>
    <w:rsid w:val="00534723"/>
    <w:rsid w:val="00536B9A"/>
    <w:rsid w:val="00542CAF"/>
    <w:rsid w:val="00550732"/>
    <w:rsid w:val="00553D65"/>
    <w:rsid w:val="0055445C"/>
    <w:rsid w:val="00555E2B"/>
    <w:rsid w:val="00564F9D"/>
    <w:rsid w:val="00567BF2"/>
    <w:rsid w:val="00582F4F"/>
    <w:rsid w:val="005A0367"/>
    <w:rsid w:val="005A4850"/>
    <w:rsid w:val="005A6184"/>
    <w:rsid w:val="005B22DF"/>
    <w:rsid w:val="005B7EC1"/>
    <w:rsid w:val="005C2E48"/>
    <w:rsid w:val="005C6028"/>
    <w:rsid w:val="005E5273"/>
    <w:rsid w:val="005E6379"/>
    <w:rsid w:val="005F096C"/>
    <w:rsid w:val="005F0F00"/>
    <w:rsid w:val="00600908"/>
    <w:rsid w:val="00601E05"/>
    <w:rsid w:val="00603746"/>
    <w:rsid w:val="006423F3"/>
    <w:rsid w:val="00664373"/>
    <w:rsid w:val="006700FC"/>
    <w:rsid w:val="00686E82"/>
    <w:rsid w:val="006A4559"/>
    <w:rsid w:val="006A6149"/>
    <w:rsid w:val="006A70A4"/>
    <w:rsid w:val="006B2B70"/>
    <w:rsid w:val="006B520C"/>
    <w:rsid w:val="006B6ACC"/>
    <w:rsid w:val="006D6081"/>
    <w:rsid w:val="006E0CC5"/>
    <w:rsid w:val="006F3312"/>
    <w:rsid w:val="006F4531"/>
    <w:rsid w:val="00710D12"/>
    <w:rsid w:val="00711799"/>
    <w:rsid w:val="00714DCA"/>
    <w:rsid w:val="00726113"/>
    <w:rsid w:val="00745D73"/>
    <w:rsid w:val="0074718D"/>
    <w:rsid w:val="00755B26"/>
    <w:rsid w:val="00760AE0"/>
    <w:rsid w:val="007629F6"/>
    <w:rsid w:val="00772924"/>
    <w:rsid w:val="00777AAF"/>
    <w:rsid w:val="007A5D55"/>
    <w:rsid w:val="007A731F"/>
    <w:rsid w:val="007C3D82"/>
    <w:rsid w:val="007E0E5B"/>
    <w:rsid w:val="007F622B"/>
    <w:rsid w:val="007F63C6"/>
    <w:rsid w:val="008070FE"/>
    <w:rsid w:val="00810A4A"/>
    <w:rsid w:val="008156D7"/>
    <w:rsid w:val="00825AF9"/>
    <w:rsid w:val="0083552A"/>
    <w:rsid w:val="00856022"/>
    <w:rsid w:val="008602A0"/>
    <w:rsid w:val="00860CAE"/>
    <w:rsid w:val="00867F6D"/>
    <w:rsid w:val="008A7CCA"/>
    <w:rsid w:val="008B10E2"/>
    <w:rsid w:val="008D3C2A"/>
    <w:rsid w:val="008D52A6"/>
    <w:rsid w:val="008D6CA1"/>
    <w:rsid w:val="008E001B"/>
    <w:rsid w:val="00907F21"/>
    <w:rsid w:val="0091241B"/>
    <w:rsid w:val="00915197"/>
    <w:rsid w:val="0092349D"/>
    <w:rsid w:val="0095353C"/>
    <w:rsid w:val="00957DE7"/>
    <w:rsid w:val="009719A0"/>
    <w:rsid w:val="0097212E"/>
    <w:rsid w:val="00972280"/>
    <w:rsid w:val="00972565"/>
    <w:rsid w:val="0097327E"/>
    <w:rsid w:val="009A6D3E"/>
    <w:rsid w:val="009C2F92"/>
    <w:rsid w:val="009C3274"/>
    <w:rsid w:val="009D4888"/>
    <w:rsid w:val="009E04E8"/>
    <w:rsid w:val="009E7031"/>
    <w:rsid w:val="00A41641"/>
    <w:rsid w:val="00A45117"/>
    <w:rsid w:val="00A55A75"/>
    <w:rsid w:val="00A65336"/>
    <w:rsid w:val="00A65874"/>
    <w:rsid w:val="00A716AA"/>
    <w:rsid w:val="00A756C9"/>
    <w:rsid w:val="00A756CD"/>
    <w:rsid w:val="00A82B08"/>
    <w:rsid w:val="00A90C77"/>
    <w:rsid w:val="00A94ACF"/>
    <w:rsid w:val="00AA39CB"/>
    <w:rsid w:val="00AC0126"/>
    <w:rsid w:val="00AC1855"/>
    <w:rsid w:val="00AC52DD"/>
    <w:rsid w:val="00AD6730"/>
    <w:rsid w:val="00AD6EB0"/>
    <w:rsid w:val="00AE0AB9"/>
    <w:rsid w:val="00AE73F1"/>
    <w:rsid w:val="00AF1020"/>
    <w:rsid w:val="00B059BA"/>
    <w:rsid w:val="00B16C7A"/>
    <w:rsid w:val="00B2471E"/>
    <w:rsid w:val="00B3727C"/>
    <w:rsid w:val="00B752A4"/>
    <w:rsid w:val="00BC4892"/>
    <w:rsid w:val="00BD7D48"/>
    <w:rsid w:val="00BE0721"/>
    <w:rsid w:val="00C0397B"/>
    <w:rsid w:val="00C0543A"/>
    <w:rsid w:val="00C1296B"/>
    <w:rsid w:val="00C24016"/>
    <w:rsid w:val="00C61707"/>
    <w:rsid w:val="00C646EE"/>
    <w:rsid w:val="00C72C9F"/>
    <w:rsid w:val="00C779DB"/>
    <w:rsid w:val="00C8410F"/>
    <w:rsid w:val="00C84231"/>
    <w:rsid w:val="00C87E46"/>
    <w:rsid w:val="00C94FA5"/>
    <w:rsid w:val="00CB4ECB"/>
    <w:rsid w:val="00CD1A9C"/>
    <w:rsid w:val="00CF4ABF"/>
    <w:rsid w:val="00D021E8"/>
    <w:rsid w:val="00D319B8"/>
    <w:rsid w:val="00D362F2"/>
    <w:rsid w:val="00D5292A"/>
    <w:rsid w:val="00D74DC6"/>
    <w:rsid w:val="00D80BE8"/>
    <w:rsid w:val="00D850F9"/>
    <w:rsid w:val="00DB4057"/>
    <w:rsid w:val="00DB6420"/>
    <w:rsid w:val="00DD1AD0"/>
    <w:rsid w:val="00DE7F76"/>
    <w:rsid w:val="00DF17AA"/>
    <w:rsid w:val="00E01712"/>
    <w:rsid w:val="00E10BBF"/>
    <w:rsid w:val="00E23CC6"/>
    <w:rsid w:val="00E40806"/>
    <w:rsid w:val="00E42C78"/>
    <w:rsid w:val="00E57FD7"/>
    <w:rsid w:val="00E64580"/>
    <w:rsid w:val="00E751B2"/>
    <w:rsid w:val="00E80C6D"/>
    <w:rsid w:val="00E95A4E"/>
    <w:rsid w:val="00EC0D8F"/>
    <w:rsid w:val="00EC4A4A"/>
    <w:rsid w:val="00EC6E95"/>
    <w:rsid w:val="00EE0632"/>
    <w:rsid w:val="00EE6B66"/>
    <w:rsid w:val="00EF017D"/>
    <w:rsid w:val="00F027B0"/>
    <w:rsid w:val="00F23FAB"/>
    <w:rsid w:val="00F24396"/>
    <w:rsid w:val="00F31B9B"/>
    <w:rsid w:val="00F409DC"/>
    <w:rsid w:val="00F522B3"/>
    <w:rsid w:val="00F62C5B"/>
    <w:rsid w:val="00F67434"/>
    <w:rsid w:val="00F77CC4"/>
    <w:rsid w:val="00F85213"/>
    <w:rsid w:val="00FB537F"/>
    <w:rsid w:val="00FC3F11"/>
    <w:rsid w:val="00FC4BDC"/>
    <w:rsid w:val="00FC7C25"/>
    <w:rsid w:val="00FD0523"/>
    <w:rsid w:val="00FD10A5"/>
    <w:rsid w:val="00FD3264"/>
    <w:rsid w:val="00FD3683"/>
    <w:rsid w:val="00FF1CBA"/>
    <w:rsid w:val="00FF6C38"/>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0A80C"/>
  <w15:chartTrackingRefBased/>
  <w15:docId w15:val="{2E373138-9035-EB4F-9A52-3F4CC3C9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16"/>
    <w:pPr>
      <w:spacing w:line="360" w:lineRule="auto"/>
      <w:jc w:val="both"/>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6"/>
    <w:pPr>
      <w:spacing w:line="240" w:lineRule="auto"/>
      <w:jc w:val="left"/>
    </w:pPr>
    <w:rPr>
      <w:rFonts w:cs="Times New Roman"/>
      <w:sz w:val="18"/>
      <w:szCs w:val="18"/>
    </w:rPr>
  </w:style>
  <w:style w:type="character" w:customStyle="1" w:styleId="BalloonTextChar">
    <w:name w:val="Balloon Text Char"/>
    <w:basedOn w:val="DefaultParagraphFont"/>
    <w:link w:val="BalloonText"/>
    <w:uiPriority w:val="99"/>
    <w:semiHidden/>
    <w:rsid w:val="007629F6"/>
    <w:rPr>
      <w:rFonts w:ascii="Times New Roman" w:hAnsi="Times New Roman" w:cs="Times New Roman"/>
      <w:sz w:val="18"/>
      <w:szCs w:val="18"/>
    </w:rPr>
  </w:style>
  <w:style w:type="table" w:styleId="TableGrid">
    <w:name w:val="Table Grid"/>
    <w:basedOn w:val="TableNormal"/>
    <w:uiPriority w:val="59"/>
    <w:rsid w:val="00C240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C24016"/>
    <w:pPr>
      <w:spacing w:after="120" w:line="240" w:lineRule="auto"/>
    </w:pPr>
    <w:rPr>
      <w:rFonts w:cs="Times New Roman"/>
      <w:noProof/>
    </w:rPr>
  </w:style>
  <w:style w:type="character" w:customStyle="1" w:styleId="EndNoteBibliographyChar">
    <w:name w:val="EndNote Bibliography Char"/>
    <w:basedOn w:val="DefaultParagraphFont"/>
    <w:link w:val="EndNoteBibliography"/>
    <w:rsid w:val="00C24016"/>
    <w:rPr>
      <w:rFonts w:ascii="Times New Roman" w:hAnsi="Times New Roman" w:cs="Times New Roman"/>
      <w:noProof/>
      <w:szCs w:val="22"/>
    </w:rPr>
  </w:style>
  <w:style w:type="paragraph" w:customStyle="1" w:styleId="EndNoteBibliographyTitle">
    <w:name w:val="EndNote Bibliography Title"/>
    <w:basedOn w:val="Normal"/>
    <w:link w:val="EndNoteBibliographyTitleChar"/>
    <w:rsid w:val="0011463D"/>
    <w:pPr>
      <w:jc w:val="center"/>
    </w:pPr>
    <w:rPr>
      <w:rFonts w:cs="Times New Roman"/>
    </w:rPr>
  </w:style>
  <w:style w:type="character" w:customStyle="1" w:styleId="EndNoteBibliographyTitleChar">
    <w:name w:val="EndNote Bibliography Title Char"/>
    <w:basedOn w:val="DefaultParagraphFont"/>
    <w:link w:val="EndNoteBibliographyTitle"/>
    <w:rsid w:val="0011463D"/>
    <w:rPr>
      <w:rFonts w:ascii="Times New Roman"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Hirdesh (NIH/NIAID) [F]</dc:creator>
  <cp:keywords/>
  <dc:description/>
  <cp:lastModifiedBy>Kumar, Hirdesh (NIH/NIAID) [F]</cp:lastModifiedBy>
  <cp:revision>4</cp:revision>
  <dcterms:created xsi:type="dcterms:W3CDTF">2020-05-17T18:55:00Z</dcterms:created>
  <dcterms:modified xsi:type="dcterms:W3CDTF">2020-05-22T02:17:00Z</dcterms:modified>
</cp:coreProperties>
</file>