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61055" w14:textId="60836FDF" w:rsidR="00FC0EA3" w:rsidRPr="002D6685" w:rsidRDefault="00FC0EA3" w:rsidP="002D6685">
      <w:pPr>
        <w:pStyle w:val="Heading1"/>
      </w:pPr>
      <w:r w:rsidRPr="002D6685">
        <w:t>Supplementary Materials</w:t>
      </w:r>
    </w:p>
    <w:p w14:paraId="308D6718" w14:textId="307D7961" w:rsidR="00FC0EA3" w:rsidRPr="002D6685" w:rsidRDefault="00FC0EA3" w:rsidP="002D6685">
      <w:pPr>
        <w:pStyle w:val="Heading2"/>
      </w:pPr>
      <w:r w:rsidRPr="002D6685">
        <w:t>Methods</w:t>
      </w:r>
      <w:r w:rsidR="00B4507A">
        <w:t xml:space="preserve"> </w:t>
      </w:r>
    </w:p>
    <w:p w14:paraId="3BB8D1DF" w14:textId="1DBD5629" w:rsidR="00FC0EA3" w:rsidRDefault="00FC0EA3" w:rsidP="007E1DEC">
      <w:pPr>
        <w:pStyle w:val="Heading3"/>
      </w:pPr>
      <w:r w:rsidRPr="002D6685">
        <w:t>Patient population</w:t>
      </w:r>
    </w:p>
    <w:p w14:paraId="039F16AD" w14:textId="1FDFCAA0" w:rsidR="003944B1" w:rsidRPr="003944B1" w:rsidRDefault="003944B1" w:rsidP="003944B1">
      <w:pPr>
        <w:rPr>
          <w:i/>
          <w:iCs/>
        </w:rPr>
      </w:pPr>
      <w:r w:rsidRPr="003944B1">
        <w:rPr>
          <w:i/>
          <w:iCs/>
        </w:rPr>
        <w:t>Exclusion criteria</w:t>
      </w:r>
    </w:p>
    <w:p w14:paraId="3C581CCC" w14:textId="1829D7B7" w:rsidR="00FC0EA3" w:rsidRDefault="00FC0EA3" w:rsidP="00FC0EA3">
      <w:pPr>
        <w:rPr>
          <w:rFonts w:cs="Times New Roman"/>
        </w:rPr>
      </w:pPr>
      <w:r w:rsidRPr="002D6685">
        <w:rPr>
          <w:rFonts w:cs="Times New Roman"/>
        </w:rPr>
        <w:t xml:space="preserve">Patients were excluded from study participation if they met any of the following criteria: neurological (other than ALS) or non-neurological comorbidities (e.g. joint disease, respiratory disease) </w:t>
      </w:r>
      <w:r w:rsidR="007E1DEC">
        <w:rPr>
          <w:rFonts w:cs="Times New Roman"/>
        </w:rPr>
        <w:t>that</w:t>
      </w:r>
      <w:r w:rsidR="007E1DEC" w:rsidRPr="002D6685">
        <w:rPr>
          <w:rFonts w:cs="Times New Roman"/>
        </w:rPr>
        <w:t xml:space="preserve"> </w:t>
      </w:r>
      <w:r w:rsidRPr="002D6685">
        <w:rPr>
          <w:rFonts w:cs="Times New Roman"/>
        </w:rPr>
        <w:t>limited mobility; clinically significant cognitive impairment (judged by the investigator); regionally restricted forms of ALS or other atypical variants, such as isolated corticobulbar pattern of ALS with normal ambulation, flail arm syndrome and primary lateral sclerosis; requiring mechanical ventilation (non-invasive ventilation for sleep apnoea was allowed); historical or current evidence of clinically significant uncontrolled disease which, in the opinion of the investigator, would put the safety of the patient at risk through participation or impact the study assessments; presence of an active implantable cardiac medical device (e.g. pacemaker or implantable cardioverter-defibrillator) or at a high risk for needing external defibrillation; history of skin hypersensitivity to adhesives. There were no prohibited medications or non-drug therapies, but enrolment into an investigational drug trial (in addition to participation in this trial) could be prohibited if, in the opinion of the investigator, the investigational drug might have impacted on the objectives of this study.</w:t>
      </w:r>
    </w:p>
    <w:p w14:paraId="1EBD8F05" w14:textId="2D4DAD23" w:rsidR="003944B1" w:rsidRPr="003944B1" w:rsidRDefault="003944B1" w:rsidP="00FC0EA3">
      <w:pPr>
        <w:rPr>
          <w:i/>
          <w:iCs/>
        </w:rPr>
      </w:pPr>
      <w:r>
        <w:rPr>
          <w:i/>
          <w:iCs/>
        </w:rPr>
        <w:t>Withdrawal</w:t>
      </w:r>
      <w:r w:rsidRPr="003944B1">
        <w:rPr>
          <w:i/>
          <w:iCs/>
        </w:rPr>
        <w:t xml:space="preserve"> criteria</w:t>
      </w:r>
    </w:p>
    <w:p w14:paraId="1B558E36" w14:textId="713CE1D6" w:rsidR="00FC0EA3" w:rsidRDefault="00FC0EA3" w:rsidP="00201E18">
      <w:pPr>
        <w:pStyle w:val="NoSpacing"/>
        <w:ind w:firstLine="0"/>
      </w:pPr>
      <w:r w:rsidRPr="002D6685">
        <w:t>Patients could withdraw from the study at any time or be withdrawn at the discretion of the investigator. Reasons for premature discontinuation from the study include</w:t>
      </w:r>
      <w:r w:rsidR="007E1DEC">
        <w:t>d</w:t>
      </w:r>
      <w:r w:rsidRPr="002D6685">
        <w:t>: AEs or SAEs related to study procedures or the devices used in the study; protocol deviation; non-</w:t>
      </w:r>
      <w:r w:rsidRPr="002D6685">
        <w:lastRenderedPageBreak/>
        <w:t>compliance with study procedures; loss to follow-up; withdrawn consent; sponsor terminated study. If a patient was withdrawn from the study, the investigator was required to make every attempt to perform an early withdrawal visit to collect AE/SAE data, as a minimum. If a patient’s ALS progressed such that they were no longer able to attend the clinic for the scheduled visits, the patient continued with the study and with the home monitoring assessments.</w:t>
      </w:r>
    </w:p>
    <w:p w14:paraId="47B0B2B2" w14:textId="5BEC9703" w:rsidR="00F05100" w:rsidRDefault="00F05100" w:rsidP="008520C5">
      <w:pPr>
        <w:pStyle w:val="Heading3"/>
      </w:pPr>
      <w:r w:rsidRPr="008520C5">
        <w:t>Safety assessments</w:t>
      </w:r>
    </w:p>
    <w:p w14:paraId="1E6A22FC" w14:textId="6ABF0777" w:rsidR="00F05100" w:rsidRPr="00F05100" w:rsidRDefault="00F05100" w:rsidP="008520C5">
      <w:pPr>
        <w:pStyle w:val="NoSpacing"/>
        <w:ind w:firstLine="0"/>
      </w:pPr>
      <w:r w:rsidRPr="008520C5">
        <w:t>Safety assessments were restricted to the monitoring of AEs. Only AEs that were considered related (in the opinion of the investigator) to a protocol-mandated study procedure of one of the study devices were reported.</w:t>
      </w:r>
    </w:p>
    <w:p w14:paraId="3C3D67C3" w14:textId="77777777" w:rsidR="00FC0EA3" w:rsidRPr="002D6685" w:rsidRDefault="00FC0EA3" w:rsidP="007E1DEC">
      <w:pPr>
        <w:pStyle w:val="Heading3"/>
      </w:pPr>
      <w:r w:rsidRPr="002D6685">
        <w:t>Devices/data collection</w:t>
      </w:r>
    </w:p>
    <w:p w14:paraId="1AC27BE2" w14:textId="238F5BBE" w:rsidR="00FC0EA3" w:rsidRPr="002D6685" w:rsidRDefault="00FC0EA3" w:rsidP="000737A0">
      <w:r w:rsidRPr="002D6685">
        <w:t>The accelerometer was an eMotion Bittium Faros 180° electrocardiogram sensor and the heartbeat sensing electrode was the commercially available Fast Fix electrode patch, both manufactured by Mega. The sensors were worn together on the patient’s chest during the monitoring periods</w:t>
      </w:r>
      <w:r w:rsidR="00196CC6">
        <w:t xml:space="preserve"> (Supplementary Figure 1)</w:t>
      </w:r>
      <w:r w:rsidRPr="002D6685">
        <w:t xml:space="preserve">. The physical activity and heart rate data were transmitted from the Mega Faros sensor via a Bluetooth wireless signal every 2 minutes to the </w:t>
      </w:r>
      <w:r w:rsidR="00935A9E">
        <w:t>McLaren Applied Technologies (</w:t>
      </w:r>
      <w:r w:rsidRPr="002D6685">
        <w:t>MAT</w:t>
      </w:r>
      <w:r w:rsidR="00935A9E">
        <w:t>)</w:t>
      </w:r>
      <w:r w:rsidRPr="002D6685">
        <w:t xml:space="preserve"> LifeInsight biotelemetry platform version 2.0.6. The hub then automatically uploaded the data every 10 minutes to secure servers at MAT via the 3G mobile phone network and also retained a copy of all data generated for a patient for the duration of the study.</w:t>
      </w:r>
    </w:p>
    <w:p w14:paraId="321750FD" w14:textId="18453783" w:rsidR="00FC0EA3" w:rsidRPr="002D6685" w:rsidRDefault="00FC0EA3" w:rsidP="00084C00">
      <w:pPr>
        <w:pStyle w:val="NoSpacing"/>
        <w:ind w:firstLine="0"/>
      </w:pPr>
      <w:r w:rsidRPr="002D6685">
        <w:t xml:space="preserve">The digital speech capture system comprised a high-fidelity microphone connected to a computer with bespoke software, which instructed patients to say a series of vowels, words and paragraphs. The speech was recorded and immediately transferred to a secure server via </w:t>
      </w:r>
      <w:r w:rsidR="00935A9E">
        <w:t>mobile data</w:t>
      </w:r>
      <w:r w:rsidRPr="002D6685">
        <w:t xml:space="preserve"> connectivity.</w:t>
      </w:r>
    </w:p>
    <w:p w14:paraId="438AC31D" w14:textId="0A90518C" w:rsidR="00FC0EA3" w:rsidRDefault="00C92D84" w:rsidP="00D2625A">
      <w:pPr>
        <w:pStyle w:val="Heading3"/>
      </w:pPr>
      <w:r>
        <w:lastRenderedPageBreak/>
        <w:t>Functional</w:t>
      </w:r>
      <w:r w:rsidRPr="002D6685">
        <w:t xml:space="preserve"> </w:t>
      </w:r>
      <w:r w:rsidR="00FC0EA3" w:rsidRPr="002D6685">
        <w:t>measurements</w:t>
      </w:r>
    </w:p>
    <w:p w14:paraId="5D952141" w14:textId="44684AF7" w:rsidR="00AE4874" w:rsidRPr="00AE4874" w:rsidRDefault="00AE4874" w:rsidP="00AE4874">
      <w:pPr>
        <w:rPr>
          <w:i/>
          <w:iCs/>
        </w:rPr>
      </w:pPr>
      <w:r>
        <w:rPr>
          <w:i/>
          <w:iCs/>
        </w:rPr>
        <w:t xml:space="preserve">Activity </w:t>
      </w:r>
    </w:p>
    <w:p w14:paraId="01CCD545" w14:textId="7010B05B" w:rsidR="00AE4874" w:rsidRDefault="00FC0EA3" w:rsidP="00C92D84">
      <w:pPr>
        <w:pStyle w:val="NoSpacing"/>
        <w:spacing w:after="240"/>
        <w:ind w:firstLine="0"/>
      </w:pPr>
      <w:r w:rsidRPr="000E3A9A">
        <w:t>A series of reference tasks (including sitting, standing, lying down, walking and climbing stairs) were performed at each clinic visit in both the Pilot and Core Study Phases, which served as a ‘blueprint’ for specific movements measured by the Faros sensor</w:t>
      </w:r>
      <w:r w:rsidRPr="002D6685">
        <w:t>. The data generated w</w:t>
      </w:r>
      <w:r w:rsidR="00D2625A">
        <w:t>ere</w:t>
      </w:r>
      <w:r w:rsidRPr="002D6685">
        <w:t xml:space="preserve"> used to develop the algorithms by enabling classification of physical activity types, test whether the algorithms were correctly measuring the activities during home-monitoring and </w:t>
      </w:r>
      <w:r w:rsidR="00D2625A">
        <w:t>permit</w:t>
      </w:r>
      <w:r w:rsidRPr="002D6685">
        <w:t xml:space="preserve"> refinement of the algorithms</w:t>
      </w:r>
      <w:r w:rsidR="0065047D">
        <w:t xml:space="preserve">, </w:t>
      </w:r>
      <w:r w:rsidRPr="002D6685">
        <w:t xml:space="preserve">as required. If patients were unable to perform </w:t>
      </w:r>
      <w:r w:rsidR="00D2625A">
        <w:t xml:space="preserve">any </w:t>
      </w:r>
      <w:r w:rsidRPr="002D6685">
        <w:t xml:space="preserve">reference task due to disease progression, it was omitted and </w:t>
      </w:r>
      <w:r w:rsidR="00D2625A">
        <w:t>re-</w:t>
      </w:r>
      <w:r w:rsidRPr="002D6685">
        <w:t>attempted at the next session.</w:t>
      </w:r>
      <w:r w:rsidR="00A0156E">
        <w:t xml:space="preserve"> </w:t>
      </w:r>
    </w:p>
    <w:p w14:paraId="4B4A8FF7" w14:textId="036E11BF" w:rsidR="00AE4874" w:rsidRDefault="00AE4874" w:rsidP="00C92D84">
      <w:pPr>
        <w:pStyle w:val="NoSpacing"/>
        <w:spacing w:after="240"/>
        <w:ind w:firstLine="0"/>
      </w:pPr>
      <w:r>
        <w:t>The study endpoints included:</w:t>
      </w:r>
    </w:p>
    <w:p w14:paraId="30AB7992" w14:textId="1FDC0690" w:rsidR="00AE4874" w:rsidRDefault="00935A9E" w:rsidP="00AE4874">
      <w:pPr>
        <w:pStyle w:val="NoSpacing"/>
        <w:numPr>
          <w:ilvl w:val="0"/>
          <w:numId w:val="3"/>
        </w:numPr>
        <w:spacing w:after="240"/>
      </w:pPr>
      <w:r>
        <w:t>Daytime, night</w:t>
      </w:r>
      <w:r w:rsidR="00F05100">
        <w:t>-</w:t>
      </w:r>
      <w:r>
        <w:t xml:space="preserve">time and 24-hour values for: </w:t>
      </w:r>
      <w:r w:rsidR="00F05100">
        <w:t>d</w:t>
      </w:r>
      <w:r w:rsidR="00AE4874">
        <w:t xml:space="preserve">uration of wear time </w:t>
      </w:r>
      <w:r>
        <w:t>and</w:t>
      </w:r>
      <w:r w:rsidR="00AE4874">
        <w:t xml:space="preserve"> total activity score</w:t>
      </w:r>
    </w:p>
    <w:p w14:paraId="00C724A7" w14:textId="3CDD8BD1" w:rsidR="002038CE" w:rsidRDefault="00AE4874" w:rsidP="002038CE">
      <w:pPr>
        <w:pStyle w:val="NoSpacing"/>
        <w:numPr>
          <w:ilvl w:val="0"/>
          <w:numId w:val="3"/>
        </w:numPr>
        <w:spacing w:after="240"/>
      </w:pPr>
      <w:r>
        <w:t>Daytime and night</w:t>
      </w:r>
      <w:r w:rsidR="00FA11CB">
        <w:t>-</w:t>
      </w:r>
      <w:r>
        <w:t>time values for: time and % time spent active, sedentary (not lying), lying, sedentary, maximum activity score, mean maximum activity score</w:t>
      </w:r>
      <w:r w:rsidR="002038CE">
        <w:t xml:space="preserve">, number and average duration of active periods (&gt;1 minute). The number of active periods were also categorised into 5 categories of activity period duration: &gt;1 to ≤2 minutes, &gt;2 to ≤5 minutes, &gt;5 to ≤15 minutes, &gt;15 to ≤30 minutes and ≤30 minutes active. </w:t>
      </w:r>
    </w:p>
    <w:p w14:paraId="4C10EA6D" w14:textId="61CF610E" w:rsidR="002038CE" w:rsidRDefault="002038CE" w:rsidP="002038CE">
      <w:pPr>
        <w:pStyle w:val="NoSpacing"/>
        <w:numPr>
          <w:ilvl w:val="0"/>
          <w:numId w:val="3"/>
        </w:numPr>
        <w:spacing w:after="240"/>
      </w:pPr>
      <w:r>
        <w:t>Night</w:t>
      </w:r>
      <w:r w:rsidR="00FA11CB">
        <w:t>-</w:t>
      </w:r>
      <w:r>
        <w:t>time rest endpoints: % time lying down (at night), number of night</w:t>
      </w:r>
      <w:r w:rsidR="00933564">
        <w:t>-</w:t>
      </w:r>
      <w:r>
        <w:t>time movement episodes, number of night</w:t>
      </w:r>
      <w:r w:rsidR="00933564">
        <w:t>-</w:t>
      </w:r>
      <w:r>
        <w:t>time movement episodes per hour, % time night</w:t>
      </w:r>
      <w:r w:rsidR="0030326E">
        <w:t>-</w:t>
      </w:r>
      <w:r>
        <w:t>time rest efficiency, rest fragmentation index (movement time divided by the number of movement episodes), average duration of movement episodes.</w:t>
      </w:r>
    </w:p>
    <w:p w14:paraId="0C150A9C" w14:textId="71EB2FDD" w:rsidR="00AE4874" w:rsidRPr="00AE4874" w:rsidRDefault="00AE4874" w:rsidP="00C92D84">
      <w:pPr>
        <w:pStyle w:val="NoSpacing"/>
        <w:spacing w:after="240"/>
        <w:ind w:firstLine="0"/>
        <w:rPr>
          <w:i/>
          <w:iCs/>
        </w:rPr>
      </w:pPr>
      <w:r w:rsidRPr="00AE4874">
        <w:rPr>
          <w:i/>
          <w:iCs/>
        </w:rPr>
        <w:t>HRV</w:t>
      </w:r>
    </w:p>
    <w:p w14:paraId="4AD09B36" w14:textId="706AA276" w:rsidR="00AE4874" w:rsidRPr="007816F7" w:rsidRDefault="00C92D84" w:rsidP="007816F7">
      <w:pPr>
        <w:autoSpaceDE w:val="0"/>
        <w:autoSpaceDN w:val="0"/>
        <w:adjustRightInd w:val="0"/>
        <w:spacing w:before="0"/>
        <w:rPr>
          <w:rFonts w:eastAsia="TimesNewRoman" w:cs="Times New Roman"/>
          <w:szCs w:val="24"/>
        </w:rPr>
      </w:pPr>
      <w:r w:rsidRPr="00996C0C">
        <w:t xml:space="preserve">HRV was assessed throughout the study period using the LF/HF ratio </w:t>
      </w:r>
      <w:r w:rsidR="002038CE">
        <w:t xml:space="preserve">(to quantify the degree of </w:t>
      </w:r>
      <w:proofErr w:type="spellStart"/>
      <w:r w:rsidR="002038CE">
        <w:t>sympathovagal</w:t>
      </w:r>
      <w:proofErr w:type="spellEnd"/>
      <w:r w:rsidR="002038CE">
        <w:t xml:space="preserve"> balance) </w:t>
      </w:r>
      <w:r w:rsidRPr="00996C0C">
        <w:t>and RMSSD</w:t>
      </w:r>
      <w:r w:rsidR="002038CE">
        <w:t xml:space="preserve"> (to represent short-term components of HRV)</w:t>
      </w:r>
      <w:r w:rsidRPr="00996C0C">
        <w:t>.</w:t>
      </w:r>
      <w:r w:rsidR="002038CE">
        <w:t xml:space="preserve"> </w:t>
      </w:r>
      <w:r w:rsidR="00844513">
        <w:t xml:space="preserve">Computation </w:t>
      </w:r>
      <w:r w:rsidR="002038CE">
        <w:t xml:space="preserve">of HRV </w:t>
      </w:r>
      <w:r w:rsidR="00844513">
        <w:t xml:space="preserve">metrics was done on </w:t>
      </w:r>
      <w:r w:rsidR="00844513" w:rsidRPr="00AB3EE7">
        <w:t>5-min</w:t>
      </w:r>
      <w:bookmarkStart w:id="0" w:name="_GoBack"/>
      <w:bookmarkEnd w:id="0"/>
      <w:r w:rsidR="00844513" w:rsidRPr="00AB3EE7">
        <w:t>ute non-overlapping sliding windows</w:t>
      </w:r>
      <w:r w:rsidR="00CF53D6">
        <w:t xml:space="preserve"> using standard methods</w:t>
      </w:r>
      <w:r w:rsidR="00844513">
        <w:t xml:space="preserve">. Measurements </w:t>
      </w:r>
      <w:r w:rsidR="002038CE">
        <w:t>included: mean HRV, HRV variance and LF/HF variation over 5 minutes</w:t>
      </w:r>
      <w:r w:rsidR="002038CE" w:rsidRPr="002038CE">
        <w:rPr>
          <w:rFonts w:cs="Times New Roman"/>
        </w:rPr>
        <w:t xml:space="preserve">. </w:t>
      </w:r>
      <w:r w:rsidR="002038CE" w:rsidRPr="002038CE">
        <w:rPr>
          <w:rFonts w:eastAsia="TimesNewRoman" w:cs="Times New Roman"/>
          <w:szCs w:val="24"/>
        </w:rPr>
        <w:t>Mean and variance analyses were</w:t>
      </w:r>
      <w:r w:rsidR="002038CE">
        <w:rPr>
          <w:rFonts w:eastAsia="TimesNewRoman" w:cs="Times New Roman"/>
          <w:szCs w:val="24"/>
        </w:rPr>
        <w:t xml:space="preserve"> </w:t>
      </w:r>
      <w:r w:rsidR="002038CE" w:rsidRPr="002038CE">
        <w:rPr>
          <w:rFonts w:eastAsia="TimesNewRoman" w:cs="Times New Roman"/>
          <w:szCs w:val="24"/>
        </w:rPr>
        <w:t>conducted for the ratio of LF/HF and for the 24 hours RMSSD. In addition, the effect of</w:t>
      </w:r>
      <w:r w:rsidR="007816F7">
        <w:rPr>
          <w:rFonts w:eastAsia="TimesNewRoman" w:cs="Times New Roman"/>
          <w:szCs w:val="24"/>
        </w:rPr>
        <w:t xml:space="preserve"> </w:t>
      </w:r>
      <w:r w:rsidR="002038CE" w:rsidRPr="002038CE">
        <w:rPr>
          <w:rFonts w:eastAsia="TimesNewRoman" w:cs="Times New Roman"/>
          <w:szCs w:val="24"/>
        </w:rPr>
        <w:t>activity on mean HRV and HRV variance was calculated as: mean HRV while active</w:t>
      </w:r>
      <w:r w:rsidR="007816F7">
        <w:rPr>
          <w:rFonts w:eastAsia="TimesNewRoman" w:cs="Times New Roman"/>
          <w:szCs w:val="24"/>
        </w:rPr>
        <w:t xml:space="preserve"> </w:t>
      </w:r>
      <w:r w:rsidR="002038CE" w:rsidRPr="002038CE">
        <w:rPr>
          <w:rFonts w:eastAsia="TimesNewRoman" w:cs="Times New Roman"/>
          <w:szCs w:val="24"/>
        </w:rPr>
        <w:t>minus mean HRV while lying (LF/HF analysis). The effect of being upright on HRV</w:t>
      </w:r>
      <w:r w:rsidR="007816F7">
        <w:rPr>
          <w:rFonts w:eastAsia="TimesNewRoman" w:cs="Times New Roman"/>
          <w:szCs w:val="24"/>
        </w:rPr>
        <w:t xml:space="preserve"> </w:t>
      </w:r>
      <w:r w:rsidR="002038CE" w:rsidRPr="002038CE">
        <w:rPr>
          <w:rFonts w:eastAsia="TimesNewRoman" w:cs="Times New Roman"/>
          <w:szCs w:val="24"/>
        </w:rPr>
        <w:t>variance was calculated as: HRV variance while sedentary (not lying) minus HRV</w:t>
      </w:r>
      <w:r w:rsidR="007816F7">
        <w:rPr>
          <w:rFonts w:eastAsia="TimesNewRoman" w:cs="Times New Roman"/>
          <w:szCs w:val="24"/>
        </w:rPr>
        <w:t xml:space="preserve"> </w:t>
      </w:r>
      <w:r w:rsidR="002038CE" w:rsidRPr="002038CE">
        <w:rPr>
          <w:rFonts w:eastAsia="TimesNewRoman" w:cs="Times New Roman"/>
          <w:szCs w:val="24"/>
        </w:rPr>
        <w:t>variance while lying (LF/HF analysis). Absolute values, as well as monthly and relative</w:t>
      </w:r>
      <w:r w:rsidR="007816F7">
        <w:rPr>
          <w:rFonts w:eastAsia="TimesNewRoman" w:cs="Times New Roman"/>
          <w:szCs w:val="24"/>
        </w:rPr>
        <w:t xml:space="preserve"> </w:t>
      </w:r>
      <w:r w:rsidR="002038CE" w:rsidRPr="002038CE">
        <w:rPr>
          <w:rFonts w:eastAsia="TimesNewRoman" w:cs="Times New Roman"/>
          <w:szCs w:val="24"/>
        </w:rPr>
        <w:t>rates of change were assessed.</w:t>
      </w:r>
    </w:p>
    <w:p w14:paraId="4817E2A0" w14:textId="77777777" w:rsidR="00AE4874" w:rsidRPr="00AE4874" w:rsidRDefault="00AE4874" w:rsidP="00C92D84">
      <w:pPr>
        <w:pStyle w:val="NoSpacing"/>
        <w:spacing w:after="240"/>
        <w:ind w:firstLine="0"/>
        <w:rPr>
          <w:i/>
          <w:iCs/>
        </w:rPr>
      </w:pPr>
      <w:r w:rsidRPr="00AE4874">
        <w:rPr>
          <w:i/>
          <w:iCs/>
        </w:rPr>
        <w:t>Speech</w:t>
      </w:r>
    </w:p>
    <w:p w14:paraId="3D6C1B22" w14:textId="47D0A5FA" w:rsidR="00C92D84" w:rsidRDefault="00C92D84" w:rsidP="00C92D84">
      <w:pPr>
        <w:pStyle w:val="NoSpacing"/>
        <w:spacing w:after="240"/>
        <w:ind w:firstLine="0"/>
      </w:pPr>
      <w:r w:rsidRPr="00996C0C">
        <w:t xml:space="preserve">Digital speech assessments were performed at clinic visits only to allow a more sensitive and structured </w:t>
      </w:r>
      <w:r w:rsidR="00D2625A">
        <w:t>evaluation</w:t>
      </w:r>
      <w:r w:rsidRPr="00996C0C">
        <w:t xml:space="preserve"> at this early exploratory stage. </w:t>
      </w:r>
      <w:r w:rsidR="007816F7">
        <w:t xml:space="preserve">At these visits, patients followed simple prompts on a computer screen instructing them to say a series of vowels, words and </w:t>
      </w:r>
      <w:r w:rsidR="00E018CF">
        <w:t xml:space="preserve">to read </w:t>
      </w:r>
      <w:r w:rsidR="007816F7">
        <w:t>paragraphs which were recorded using a high</w:t>
      </w:r>
      <w:r w:rsidR="00A06BD7">
        <w:t>-</w:t>
      </w:r>
      <w:r w:rsidR="007816F7">
        <w:t xml:space="preserve">definition digital microphone. There were four speech tests in total: the first two tests used the phonation of the ‘Ah’ sound; one being shortly sustained and repeated seven times, the other being a </w:t>
      </w:r>
      <w:r w:rsidR="00935A9E">
        <w:t>long-sustained</w:t>
      </w:r>
      <w:r w:rsidR="007816F7">
        <w:t xml:space="preserve"> sound continuously for 10 seconds. The third test was to pronounce the word ‘doily’ three times. Finally, the patients were asked to read a short 100-word passage about bamboo. The speech waveform data were sent via secure method for processing using exploratory algorithms. </w:t>
      </w:r>
    </w:p>
    <w:p w14:paraId="437ED631" w14:textId="4B975C15" w:rsidR="007816F7" w:rsidRDefault="007816F7" w:rsidP="007816F7">
      <w:pPr>
        <w:autoSpaceDE w:val="0"/>
        <w:autoSpaceDN w:val="0"/>
        <w:adjustRightInd w:val="0"/>
        <w:spacing w:before="0"/>
        <w:rPr>
          <w:rFonts w:eastAsia="TimesNewRoman" w:cs="Times New Roman"/>
          <w:szCs w:val="24"/>
        </w:rPr>
      </w:pPr>
      <w:r>
        <w:t xml:space="preserve">The study endpoints </w:t>
      </w:r>
      <w:r w:rsidRPr="007816F7">
        <w:rPr>
          <w:rFonts w:cs="Times New Roman"/>
        </w:rPr>
        <w:t xml:space="preserve">included: </w:t>
      </w:r>
      <w:r w:rsidRPr="007816F7">
        <w:rPr>
          <w:rFonts w:eastAsia="TimesNewRoman" w:cs="Times New Roman"/>
          <w:szCs w:val="24"/>
        </w:rPr>
        <w:t>central</w:t>
      </w:r>
      <w:r>
        <w:rPr>
          <w:rFonts w:eastAsia="TimesNewRoman" w:cs="Times New Roman"/>
          <w:szCs w:val="24"/>
        </w:rPr>
        <w:t xml:space="preserve"> </w:t>
      </w:r>
      <w:r w:rsidRPr="007816F7">
        <w:rPr>
          <w:rFonts w:eastAsia="TimesNewRoman" w:cs="Times New Roman"/>
          <w:szCs w:val="24"/>
        </w:rPr>
        <w:t>tendency of fundamental frequency, jitter, shimmer, speaking rate, average phoneme rate and % pause time</w:t>
      </w:r>
      <w:r w:rsidR="00212E3B">
        <w:rPr>
          <w:rFonts w:eastAsia="TimesNewRoman" w:cs="Times New Roman"/>
          <w:szCs w:val="24"/>
        </w:rPr>
        <w:t>.</w:t>
      </w:r>
    </w:p>
    <w:p w14:paraId="08B480C0" w14:textId="277BE002" w:rsidR="00CB164E" w:rsidRDefault="00CB164E" w:rsidP="007816F7">
      <w:pPr>
        <w:autoSpaceDE w:val="0"/>
        <w:autoSpaceDN w:val="0"/>
        <w:adjustRightInd w:val="0"/>
        <w:spacing w:before="0"/>
        <w:rPr>
          <w:rFonts w:eastAsia="TimesNewRoman" w:cs="Times New Roman"/>
          <w:szCs w:val="24"/>
        </w:rPr>
      </w:pPr>
      <w:r>
        <w:rPr>
          <w:rFonts w:eastAsia="TimesNewRoman" w:cs="Times New Roman"/>
          <w:szCs w:val="24"/>
        </w:rPr>
        <w:t>T</w:t>
      </w:r>
      <w:r w:rsidRPr="00AB3EE7">
        <w:rPr>
          <w:rFonts w:eastAsia="TimesNewRoman" w:cs="Times New Roman"/>
          <w:szCs w:val="24"/>
        </w:rPr>
        <w:t>he processing of speech</w:t>
      </w:r>
      <w:r>
        <w:rPr>
          <w:rFonts w:eastAsia="TimesNewRoman" w:cs="Times New Roman"/>
          <w:szCs w:val="24"/>
        </w:rPr>
        <w:t xml:space="preserve"> </w:t>
      </w:r>
      <w:r w:rsidRPr="00AB3EE7">
        <w:rPr>
          <w:rFonts w:eastAsia="TimesNewRoman" w:cs="Times New Roman"/>
          <w:szCs w:val="24"/>
        </w:rPr>
        <w:t xml:space="preserve">was done offline using a MATLAB script to </w:t>
      </w:r>
      <w:proofErr w:type="spellStart"/>
      <w:r w:rsidRPr="00AB3EE7">
        <w:rPr>
          <w:rFonts w:eastAsia="TimesNewRoman" w:cs="Times New Roman"/>
          <w:szCs w:val="24"/>
        </w:rPr>
        <w:t>analyze</w:t>
      </w:r>
      <w:proofErr w:type="spellEnd"/>
      <w:r w:rsidRPr="00AB3EE7">
        <w:rPr>
          <w:rFonts w:eastAsia="TimesNewRoman" w:cs="Times New Roman"/>
          <w:szCs w:val="24"/>
        </w:rPr>
        <w:t xml:space="preserve"> the speech data. Mathematical algorithms </w:t>
      </w:r>
      <w:r>
        <w:rPr>
          <w:rFonts w:eastAsia="TimesNewRoman" w:cs="Times New Roman"/>
          <w:szCs w:val="24"/>
        </w:rPr>
        <w:t>we</w:t>
      </w:r>
      <w:r w:rsidRPr="00AB3EE7">
        <w:rPr>
          <w:rFonts w:eastAsia="TimesNewRoman" w:cs="Times New Roman"/>
          <w:szCs w:val="24"/>
        </w:rPr>
        <w:t>re based on existing speech processing techniques and used, where possible, open source code that was adapted for optimum implementation.</w:t>
      </w:r>
    </w:p>
    <w:p w14:paraId="564D7BC6" w14:textId="468519DE" w:rsidR="00CB164E" w:rsidRDefault="00CB164E" w:rsidP="00CB164E">
      <w:pPr>
        <w:pStyle w:val="ListParagraph"/>
        <w:numPr>
          <w:ilvl w:val="0"/>
          <w:numId w:val="5"/>
        </w:numPr>
        <w:autoSpaceDE w:val="0"/>
        <w:autoSpaceDN w:val="0"/>
        <w:adjustRightInd w:val="0"/>
        <w:spacing w:before="0"/>
        <w:rPr>
          <w:rFonts w:eastAsia="TimesNewRoman" w:cs="Times New Roman"/>
          <w:szCs w:val="24"/>
        </w:rPr>
      </w:pPr>
      <w:r w:rsidRPr="00AB3EE7">
        <w:rPr>
          <w:rFonts w:eastAsia="TimesNewRoman" w:cs="Times New Roman"/>
          <w:szCs w:val="24"/>
        </w:rPr>
        <w:t>The central tendency of fundamental frequency was calculated using the Nearly Defect Free (NDF) algorithm. This used both time domain and frequency domain information to provide a smooth estimation of the fundamental frequency and periodicity information. The periodicity output from this algorithm was also used for the calculation of jitter and shimmer.</w:t>
      </w:r>
    </w:p>
    <w:p w14:paraId="1F362E63" w14:textId="77777777" w:rsidR="00CB164E" w:rsidRPr="00AB3EE7" w:rsidRDefault="00CB164E" w:rsidP="00AB3EE7">
      <w:pPr>
        <w:pStyle w:val="ListParagraph"/>
        <w:numPr>
          <w:ilvl w:val="0"/>
          <w:numId w:val="5"/>
        </w:numPr>
        <w:autoSpaceDE w:val="0"/>
        <w:autoSpaceDN w:val="0"/>
        <w:adjustRightInd w:val="0"/>
        <w:spacing w:before="0"/>
        <w:rPr>
          <w:rFonts w:eastAsia="TimesNewRoman" w:cs="Times New Roman"/>
          <w:szCs w:val="24"/>
        </w:rPr>
      </w:pPr>
      <w:r w:rsidRPr="00AB3EE7">
        <w:rPr>
          <w:rFonts w:eastAsia="TimesNewRoman" w:cs="Times New Roman"/>
          <w:szCs w:val="24"/>
        </w:rPr>
        <w:t>Jitter – the cycle-to-cycle variation of the fundamental frequency – was calculated from the fundamental frequency vector. The values computed were given as a percentage by calculating the mean of the difference of output from the NDF algorithm.</w:t>
      </w:r>
    </w:p>
    <w:p w14:paraId="7C9E3FBD" w14:textId="291E99CC" w:rsidR="00CB164E" w:rsidRPr="00AB3EE7" w:rsidRDefault="00CB164E" w:rsidP="00AB3EE7">
      <w:pPr>
        <w:pStyle w:val="ListParagraph"/>
        <w:numPr>
          <w:ilvl w:val="0"/>
          <w:numId w:val="5"/>
        </w:numPr>
        <w:autoSpaceDE w:val="0"/>
        <w:autoSpaceDN w:val="0"/>
        <w:adjustRightInd w:val="0"/>
        <w:spacing w:before="0"/>
        <w:rPr>
          <w:rFonts w:eastAsia="TimesNewRoman" w:cs="Times New Roman"/>
          <w:szCs w:val="24"/>
        </w:rPr>
      </w:pPr>
      <w:r w:rsidRPr="00AB3EE7">
        <w:rPr>
          <w:rFonts w:eastAsia="TimesNewRoman" w:cs="Times New Roman"/>
          <w:szCs w:val="24"/>
        </w:rPr>
        <w:t xml:space="preserve">Shimmer – the cycle-to-cycle variations of amplitude – was calculated from the speech in 25 </w:t>
      </w:r>
      <w:proofErr w:type="spellStart"/>
      <w:r w:rsidRPr="00AB3EE7">
        <w:rPr>
          <w:rFonts w:eastAsia="TimesNewRoman" w:cs="Times New Roman"/>
          <w:szCs w:val="24"/>
        </w:rPr>
        <w:t>ms</w:t>
      </w:r>
      <w:proofErr w:type="spellEnd"/>
      <w:r w:rsidRPr="00AB3EE7">
        <w:rPr>
          <w:rFonts w:eastAsia="TimesNewRoman" w:cs="Times New Roman"/>
          <w:szCs w:val="24"/>
        </w:rPr>
        <w:t xml:space="preserve"> windows with a 75% overlap. The number computed as the endpoint value was the relative shimmer over the windows as a percentage.</w:t>
      </w:r>
    </w:p>
    <w:p w14:paraId="7B3E43AB" w14:textId="1889255A" w:rsidR="00CB164E" w:rsidRPr="00AB3EE7" w:rsidRDefault="00CB164E" w:rsidP="00AB3EE7">
      <w:pPr>
        <w:pStyle w:val="ListParagraph"/>
        <w:numPr>
          <w:ilvl w:val="0"/>
          <w:numId w:val="5"/>
        </w:numPr>
        <w:autoSpaceDE w:val="0"/>
        <w:autoSpaceDN w:val="0"/>
        <w:adjustRightInd w:val="0"/>
        <w:spacing w:before="0"/>
        <w:rPr>
          <w:rFonts w:eastAsia="TimesNewRoman" w:cs="Times New Roman"/>
          <w:szCs w:val="24"/>
        </w:rPr>
      </w:pPr>
      <w:r w:rsidRPr="00AB3EE7">
        <w:rPr>
          <w:rFonts w:eastAsia="TimesNewRoman" w:cs="Times New Roman"/>
          <w:szCs w:val="24"/>
        </w:rPr>
        <w:t>The pause time was computed as a percentage of the time taken to speak the first-to-last detected words minus the time spent in talking. The speaking rate assumed all 99 words were spoken and therefore used the time taken to speak the first-to-last detected words to report words per minute.</w:t>
      </w:r>
    </w:p>
    <w:p w14:paraId="7759BAE5" w14:textId="12C7BE4B" w:rsidR="00FC0EA3" w:rsidRDefault="00FC0EA3" w:rsidP="00D2625A">
      <w:pPr>
        <w:pStyle w:val="Heading3"/>
      </w:pPr>
      <w:r w:rsidRPr="002D6685">
        <w:t>Statistical analyses</w:t>
      </w:r>
    </w:p>
    <w:p w14:paraId="13DC0C74" w14:textId="27CE38DE" w:rsidR="006D2D5E" w:rsidRPr="00A81B3F" w:rsidRDefault="006D2D5E" w:rsidP="008520C5">
      <w:pPr>
        <w:pStyle w:val="NoSpacing"/>
        <w:spacing w:after="240"/>
        <w:ind w:firstLine="0"/>
        <w:rPr>
          <w:iCs/>
        </w:rPr>
      </w:pPr>
      <w:r w:rsidRPr="008520C5">
        <w:rPr>
          <w:i/>
          <w:iCs/>
        </w:rPr>
        <w:t>Rate of change</w:t>
      </w:r>
    </w:p>
    <w:p w14:paraId="4863D156" w14:textId="77777777" w:rsidR="00FC0EA3" w:rsidRPr="002D6685" w:rsidRDefault="00D2625A" w:rsidP="00FC0EA3">
      <w:pPr>
        <w:rPr>
          <w:rFonts w:cs="Times New Roman"/>
        </w:rPr>
      </w:pPr>
      <w:r>
        <w:rPr>
          <w:rFonts w:cs="Times New Roman"/>
        </w:rPr>
        <w:t>Both</w:t>
      </w:r>
      <w:r w:rsidR="00FC0EA3" w:rsidRPr="002D6685">
        <w:rPr>
          <w:rFonts w:cs="Times New Roman"/>
        </w:rPr>
        <w:t xml:space="preserve"> relative and monthly rates of change</w:t>
      </w:r>
      <w:r>
        <w:rPr>
          <w:rFonts w:cs="Times New Roman"/>
        </w:rPr>
        <w:t xml:space="preserve"> were calculated</w:t>
      </w:r>
      <w:r w:rsidR="005B338E">
        <w:rPr>
          <w:rFonts w:cs="Times New Roman"/>
        </w:rPr>
        <w:t xml:space="preserve"> </w:t>
      </w:r>
      <w:r w:rsidR="00FC0EA3" w:rsidRPr="002D6685">
        <w:rPr>
          <w:rFonts w:cs="Times New Roman"/>
        </w:rPr>
        <w:t>using the following equations:</w:t>
      </w:r>
    </w:p>
    <w:p w14:paraId="3862AAAE" w14:textId="77777777" w:rsidR="00FC0EA3" w:rsidRPr="002D6685" w:rsidRDefault="00FC0EA3" w:rsidP="002D6685">
      <w:pPr>
        <w:spacing w:after="240"/>
        <w:jc w:val="center"/>
        <w:rPr>
          <w:rFonts w:cs="Times New Roman"/>
        </w:rPr>
      </w:pPr>
      <w:r w:rsidRPr="002D6685">
        <w:rPr>
          <w:rFonts w:cs="Times New Roman"/>
        </w:rPr>
        <w:t xml:space="preserve">Relative Rate of Change = </w:t>
      </w:r>
      <w:r w:rsidRPr="002D6685">
        <w:rPr>
          <w:rFonts w:cs="Times New Roman"/>
          <w:u w:val="single"/>
        </w:rPr>
        <w:t>Value at a time point – Value at baseline</w:t>
      </w:r>
      <w:r w:rsidRPr="002D6685">
        <w:rPr>
          <w:rFonts w:cs="Times New Roman"/>
        </w:rPr>
        <w:br/>
      </w:r>
      <w:r w:rsidR="005C47B7">
        <w:rPr>
          <w:rFonts w:cs="Times New Roman"/>
        </w:rPr>
        <w:t xml:space="preserve">                              </w:t>
      </w:r>
      <w:r w:rsidRPr="002D6685">
        <w:rPr>
          <w:rFonts w:cs="Times New Roman"/>
        </w:rPr>
        <w:t>Value at baseline</w:t>
      </w:r>
    </w:p>
    <w:p w14:paraId="53C25CCF" w14:textId="77777777" w:rsidR="00A74225" w:rsidRDefault="00FC0EA3" w:rsidP="00F517C6">
      <w:pPr>
        <w:spacing w:after="240"/>
        <w:jc w:val="center"/>
        <w:rPr>
          <w:rFonts w:cs="Times New Roman"/>
        </w:rPr>
      </w:pPr>
      <w:r w:rsidRPr="002D6685">
        <w:rPr>
          <w:rFonts w:cs="Times New Roman"/>
        </w:rPr>
        <w:t xml:space="preserve">Monthly Rate of Change = </w:t>
      </w:r>
      <w:r w:rsidRPr="002D6685">
        <w:rPr>
          <w:rFonts w:cs="Times New Roman"/>
          <w:u w:val="single"/>
        </w:rPr>
        <w:t>Change from baseline at each Visit − Baseline Visit</w:t>
      </w:r>
      <w:r w:rsidRPr="002D6685">
        <w:rPr>
          <w:rFonts w:cs="Times New Roman"/>
        </w:rPr>
        <w:br/>
      </w:r>
      <w:r w:rsidR="005C47B7">
        <w:rPr>
          <w:rFonts w:cs="Times New Roman"/>
        </w:rPr>
        <w:t xml:space="preserve">                            </w:t>
      </w:r>
      <w:r w:rsidRPr="002D6685">
        <w:rPr>
          <w:rFonts w:cs="Times New Roman"/>
        </w:rPr>
        <w:t>Study Day/30.4</w:t>
      </w:r>
    </w:p>
    <w:p w14:paraId="4D856D87" w14:textId="7F1B036C" w:rsidR="006D2D5E" w:rsidRPr="008520C5" w:rsidRDefault="008520C5" w:rsidP="008520C5">
      <w:pPr>
        <w:pStyle w:val="NoSpacing"/>
        <w:spacing w:after="240"/>
        <w:ind w:firstLine="0"/>
        <w:rPr>
          <w:i/>
          <w:iCs/>
        </w:rPr>
      </w:pPr>
      <w:r>
        <w:rPr>
          <w:i/>
          <w:iCs/>
        </w:rPr>
        <w:t>Definitions</w:t>
      </w:r>
    </w:p>
    <w:p w14:paraId="61B7F37A" w14:textId="3E06E314" w:rsidR="00A74225" w:rsidRDefault="00A74225" w:rsidP="00A74225">
      <w:pPr>
        <w:autoSpaceDE w:val="0"/>
        <w:autoSpaceDN w:val="0"/>
        <w:adjustRightInd w:val="0"/>
        <w:spacing w:before="0"/>
      </w:pPr>
      <w:r>
        <w:t xml:space="preserve">The between-patient correlation described whether patients with higher values in each exploratory endpoint also tended to have a </w:t>
      </w:r>
      <w:r w:rsidR="006D2D5E">
        <w:t>higher</w:t>
      </w:r>
      <w:r>
        <w:t xml:space="preserve"> value in the gold</w:t>
      </w:r>
      <w:r w:rsidR="009C5363">
        <w:t>-</w:t>
      </w:r>
      <w:r>
        <w:t xml:space="preserve">standard endpoint, while the within-patient correlation described whether a greater change in one exploratory endpoint </w:t>
      </w:r>
      <w:r w:rsidR="006D2D5E">
        <w:t xml:space="preserve">value </w:t>
      </w:r>
      <w:r>
        <w:t>within an individual was associated with a greater change in the</w:t>
      </w:r>
      <w:r w:rsidR="006D2D5E">
        <w:t>ir</w:t>
      </w:r>
      <w:r>
        <w:t xml:space="preserve"> gold</w:t>
      </w:r>
      <w:r w:rsidR="009C5363">
        <w:t>-</w:t>
      </w:r>
      <w:r>
        <w:t>standard endpoint</w:t>
      </w:r>
      <w:r w:rsidR="006D2D5E">
        <w:t xml:space="preserve"> value</w:t>
      </w:r>
      <w:r>
        <w:t>.</w:t>
      </w:r>
    </w:p>
    <w:p w14:paraId="45C49580" w14:textId="77777777" w:rsidR="008520C5" w:rsidRDefault="008520C5" w:rsidP="00A74225">
      <w:pPr>
        <w:autoSpaceDE w:val="0"/>
        <w:autoSpaceDN w:val="0"/>
        <w:adjustRightInd w:val="0"/>
        <w:spacing w:before="0"/>
      </w:pPr>
    </w:p>
    <w:p w14:paraId="740414D6" w14:textId="45A1089F" w:rsidR="00BB2E13" w:rsidRDefault="00BB2E13" w:rsidP="008520C5">
      <w:pPr>
        <w:autoSpaceDE w:val="0"/>
        <w:autoSpaceDN w:val="0"/>
        <w:adjustRightInd w:val="0"/>
        <w:spacing w:before="0"/>
      </w:pPr>
      <w:r w:rsidRPr="00BB2E13">
        <w:t xml:space="preserve">The matched completers population </w:t>
      </w:r>
      <w:r w:rsidRPr="008520C5">
        <w:t>were patients who had both</w:t>
      </w:r>
      <w:r>
        <w:t xml:space="preserve"> </w:t>
      </w:r>
      <w:r w:rsidRPr="008520C5">
        <w:t xml:space="preserve">ALSFRS-R </w:t>
      </w:r>
      <w:r>
        <w:t xml:space="preserve">score </w:t>
      </w:r>
      <w:r w:rsidRPr="008520C5">
        <w:t>and actigraphy quality data for each time point and completed the study.</w:t>
      </w:r>
    </w:p>
    <w:p w14:paraId="557657CB" w14:textId="5025CBA9" w:rsidR="00D630CD" w:rsidRDefault="00D630CD" w:rsidP="008520C5">
      <w:pPr>
        <w:spacing w:after="240"/>
        <w:rPr>
          <w:rFonts w:eastAsiaTheme="majorEastAsia" w:cs="Times New Roman"/>
          <w:b/>
          <w:sz w:val="28"/>
          <w:szCs w:val="26"/>
        </w:rPr>
      </w:pPr>
      <w:r>
        <w:br w:type="page"/>
      </w:r>
    </w:p>
    <w:p w14:paraId="3812EDB3" w14:textId="3AF7C503" w:rsidR="00FC0EA3" w:rsidRDefault="00FC0EA3" w:rsidP="00D2625A">
      <w:pPr>
        <w:pStyle w:val="Heading2"/>
      </w:pPr>
      <w:r w:rsidRPr="002D6685">
        <w:t>Results</w:t>
      </w:r>
    </w:p>
    <w:p w14:paraId="4E4DE2A6" w14:textId="69143A7E" w:rsidR="00A36ED2" w:rsidRDefault="00A36ED2" w:rsidP="008520C5">
      <w:pPr>
        <w:pStyle w:val="Heading3"/>
      </w:pPr>
      <w:r w:rsidRPr="00F83CF5">
        <w:t xml:space="preserve">Safety </w:t>
      </w:r>
    </w:p>
    <w:p w14:paraId="4814E344" w14:textId="7318170B" w:rsidR="00A36ED2" w:rsidRDefault="00A36ED2" w:rsidP="00A36ED2">
      <w:pPr>
        <w:spacing w:after="240"/>
        <w:rPr>
          <w:rFonts w:cs="Times New Roman"/>
          <w:bCs/>
          <w:i/>
        </w:rPr>
      </w:pPr>
      <w:r w:rsidRPr="00A36ED2">
        <w:rPr>
          <w:rFonts w:cs="Times New Roman"/>
          <w:bCs/>
          <w:i/>
        </w:rPr>
        <w:t>Pilot Phase</w:t>
      </w:r>
    </w:p>
    <w:p w14:paraId="7E38F79B" w14:textId="688D9D84" w:rsidR="0043550F" w:rsidRPr="0043550F" w:rsidRDefault="00ED78DB" w:rsidP="00A36ED2">
      <w:pPr>
        <w:spacing w:after="240"/>
        <w:rPr>
          <w:rFonts w:cs="Times New Roman"/>
          <w:bCs/>
          <w:iCs/>
        </w:rPr>
      </w:pPr>
      <w:r>
        <w:rPr>
          <w:rFonts w:cs="Times New Roman"/>
          <w:bCs/>
          <w:iCs/>
        </w:rPr>
        <w:t xml:space="preserve">One </w:t>
      </w:r>
      <w:r w:rsidR="0043550F">
        <w:rPr>
          <w:rFonts w:cs="Times New Roman"/>
          <w:bCs/>
          <w:iCs/>
        </w:rPr>
        <w:t xml:space="preserve">AE </w:t>
      </w:r>
      <w:r>
        <w:rPr>
          <w:rFonts w:cs="Times New Roman"/>
          <w:bCs/>
          <w:iCs/>
        </w:rPr>
        <w:t xml:space="preserve">of skin irritation was </w:t>
      </w:r>
      <w:r w:rsidR="0043550F">
        <w:rPr>
          <w:rFonts w:cs="Times New Roman"/>
          <w:bCs/>
          <w:iCs/>
        </w:rPr>
        <w:t>reported in the Pilot Phase</w:t>
      </w:r>
      <w:r>
        <w:rPr>
          <w:rFonts w:cs="Times New Roman"/>
          <w:bCs/>
          <w:iCs/>
        </w:rPr>
        <w:t xml:space="preserve">. The event </w:t>
      </w:r>
      <w:r w:rsidR="0043550F">
        <w:rPr>
          <w:rFonts w:cs="Times New Roman"/>
          <w:bCs/>
          <w:iCs/>
        </w:rPr>
        <w:t xml:space="preserve">started on Day 1 and had a duration of 5 days. No </w:t>
      </w:r>
      <w:r w:rsidR="00FE176B">
        <w:rPr>
          <w:rFonts w:cs="Times New Roman"/>
          <w:bCs/>
          <w:iCs/>
        </w:rPr>
        <w:t>patients</w:t>
      </w:r>
      <w:r w:rsidR="0043550F">
        <w:rPr>
          <w:rFonts w:cs="Times New Roman"/>
          <w:bCs/>
          <w:iCs/>
        </w:rPr>
        <w:t xml:space="preserve"> had AEs that led to treatment discontinuation in the Pilot Phase. </w:t>
      </w:r>
      <w:r w:rsidR="0043550F" w:rsidRPr="0043550F">
        <w:rPr>
          <w:rFonts w:cs="Times New Roman"/>
          <w:bCs/>
          <w:iCs/>
        </w:rPr>
        <w:t xml:space="preserve">There were no reports of SAEs and no deaths in the Pilot Phase. </w:t>
      </w:r>
    </w:p>
    <w:p w14:paraId="7EDC0CB1" w14:textId="42C04C53" w:rsidR="00A36ED2" w:rsidRPr="00A36ED2" w:rsidRDefault="00A36ED2" w:rsidP="00A36ED2">
      <w:pPr>
        <w:spacing w:after="240"/>
        <w:rPr>
          <w:rFonts w:cs="Times New Roman"/>
          <w:bCs/>
          <w:i/>
        </w:rPr>
      </w:pPr>
      <w:r w:rsidRPr="00A36ED2">
        <w:rPr>
          <w:rFonts w:cs="Times New Roman"/>
          <w:bCs/>
          <w:i/>
        </w:rPr>
        <w:t xml:space="preserve">Core Phase </w:t>
      </w:r>
    </w:p>
    <w:p w14:paraId="192A01A5" w14:textId="5E7DC95B" w:rsidR="004D4399" w:rsidRDefault="00A36ED2" w:rsidP="00A36ED2">
      <w:pPr>
        <w:spacing w:after="240"/>
        <w:rPr>
          <w:rFonts w:cs="Times New Roman"/>
          <w:bCs/>
          <w:iCs/>
        </w:rPr>
      </w:pPr>
      <w:r>
        <w:rPr>
          <w:rFonts w:cs="Times New Roman"/>
          <w:bCs/>
          <w:iCs/>
        </w:rPr>
        <w:t>All AEs were skin reactions related to the use of the adhesive patch. The most commonly reported AE was dermatitis contact (4</w:t>
      </w:r>
      <w:r w:rsidR="00383B9C">
        <w:rPr>
          <w:rFonts w:cs="Times New Roman"/>
          <w:bCs/>
          <w:iCs/>
        </w:rPr>
        <w:t xml:space="preserve"> patients</w:t>
      </w:r>
      <w:r>
        <w:rPr>
          <w:rFonts w:cs="Times New Roman"/>
          <w:bCs/>
          <w:iCs/>
        </w:rPr>
        <w:t>), followed by rash (2</w:t>
      </w:r>
      <w:r w:rsidR="00383B9C">
        <w:rPr>
          <w:rFonts w:cs="Times New Roman"/>
          <w:bCs/>
          <w:iCs/>
        </w:rPr>
        <w:t xml:space="preserve"> patients</w:t>
      </w:r>
      <w:r>
        <w:rPr>
          <w:rFonts w:cs="Times New Roman"/>
          <w:bCs/>
          <w:iCs/>
        </w:rPr>
        <w:t xml:space="preserve">), pruritic rash </w:t>
      </w:r>
      <w:r w:rsidR="00B32545">
        <w:rPr>
          <w:rFonts w:cs="Times New Roman"/>
          <w:bCs/>
          <w:iCs/>
        </w:rPr>
        <w:br/>
      </w:r>
      <w:r>
        <w:rPr>
          <w:rFonts w:cs="Times New Roman"/>
          <w:bCs/>
          <w:iCs/>
        </w:rPr>
        <w:t>(1</w:t>
      </w:r>
      <w:r w:rsidR="00383B9C">
        <w:rPr>
          <w:rFonts w:cs="Times New Roman"/>
          <w:bCs/>
          <w:iCs/>
        </w:rPr>
        <w:t xml:space="preserve"> patient</w:t>
      </w:r>
      <w:r>
        <w:rPr>
          <w:rFonts w:cs="Times New Roman"/>
          <w:bCs/>
          <w:iCs/>
        </w:rPr>
        <w:t>) and skin irritation (1</w:t>
      </w:r>
      <w:r w:rsidR="00383B9C">
        <w:rPr>
          <w:rFonts w:cs="Times New Roman"/>
          <w:bCs/>
          <w:iCs/>
        </w:rPr>
        <w:t xml:space="preserve"> patient</w:t>
      </w:r>
      <w:r>
        <w:rPr>
          <w:rFonts w:cs="Times New Roman"/>
          <w:bCs/>
          <w:iCs/>
        </w:rPr>
        <w:t>).</w:t>
      </w:r>
    </w:p>
    <w:p w14:paraId="180E714E" w14:textId="77777777" w:rsidR="004D4399" w:rsidRDefault="004D4399" w:rsidP="004D4399">
      <w:pPr>
        <w:spacing w:after="240"/>
        <w:rPr>
          <w:rFonts w:cs="Times New Roman"/>
          <w:bCs/>
          <w:iCs/>
        </w:rPr>
      </w:pPr>
      <w:r w:rsidRPr="004D4399">
        <w:rPr>
          <w:rFonts w:cs="Times New Roman"/>
          <w:bCs/>
          <w:iCs/>
        </w:rPr>
        <w:t xml:space="preserve">The AEs leading to discontinuation were as follows: </w:t>
      </w:r>
    </w:p>
    <w:p w14:paraId="70F4D1D2" w14:textId="4DD49EF7" w:rsidR="004D4399" w:rsidRPr="004D4399" w:rsidRDefault="004D4399" w:rsidP="004D4399">
      <w:pPr>
        <w:pStyle w:val="ListParagraph"/>
        <w:numPr>
          <w:ilvl w:val="0"/>
          <w:numId w:val="1"/>
        </w:numPr>
        <w:spacing w:after="240"/>
        <w:rPr>
          <w:rFonts w:cs="Times New Roman"/>
          <w:bCs/>
          <w:iCs/>
        </w:rPr>
      </w:pPr>
      <w:r>
        <w:rPr>
          <w:rFonts w:eastAsia="TimesNewRoman" w:cs="Times New Roman"/>
          <w:color w:val="000000"/>
          <w:szCs w:val="24"/>
        </w:rPr>
        <w:t>A</w:t>
      </w:r>
      <w:r w:rsidRPr="004D4399">
        <w:rPr>
          <w:rFonts w:eastAsia="TimesNewRoman" w:cs="Times New Roman"/>
          <w:color w:val="000000"/>
          <w:szCs w:val="24"/>
        </w:rPr>
        <w:t xml:space="preserve"> 48-year</w:t>
      </w:r>
      <w:r w:rsidR="00B32545">
        <w:rPr>
          <w:rFonts w:eastAsia="TimesNewRoman" w:cs="Times New Roman"/>
          <w:color w:val="000000"/>
          <w:szCs w:val="24"/>
        </w:rPr>
        <w:t>-</w:t>
      </w:r>
      <w:r w:rsidRPr="004D4399">
        <w:rPr>
          <w:rFonts w:eastAsia="TimesNewRoman" w:cs="Times New Roman"/>
          <w:color w:val="000000"/>
          <w:szCs w:val="24"/>
        </w:rPr>
        <w:t xml:space="preserve">old female discontinued the study for an AE of </w:t>
      </w:r>
      <w:r>
        <w:rPr>
          <w:rFonts w:eastAsia="TimesNewRoman" w:cs="Times New Roman"/>
          <w:color w:val="000000"/>
          <w:szCs w:val="24"/>
        </w:rPr>
        <w:t xml:space="preserve">contact </w:t>
      </w:r>
      <w:r w:rsidRPr="004D4399">
        <w:rPr>
          <w:rFonts w:eastAsia="TimesNewRoman" w:cs="Times New Roman"/>
          <w:color w:val="000000"/>
          <w:szCs w:val="24"/>
        </w:rPr>
        <w:t xml:space="preserve">dermatitis that started on Day 245 of </w:t>
      </w:r>
      <w:r>
        <w:rPr>
          <w:rFonts w:eastAsia="TimesNewRoman" w:cs="Times New Roman"/>
          <w:color w:val="000000"/>
          <w:szCs w:val="24"/>
        </w:rPr>
        <w:t xml:space="preserve">the </w:t>
      </w:r>
      <w:r w:rsidRPr="004D4399">
        <w:rPr>
          <w:rFonts w:eastAsia="TimesNewRoman" w:cs="Times New Roman"/>
          <w:color w:val="000000"/>
          <w:szCs w:val="24"/>
        </w:rPr>
        <w:t xml:space="preserve">study (Week 4 of the </w:t>
      </w:r>
      <w:r>
        <w:rPr>
          <w:rFonts w:eastAsia="TimesNewRoman" w:cs="Times New Roman"/>
          <w:color w:val="000000"/>
          <w:szCs w:val="24"/>
        </w:rPr>
        <w:t>C</w:t>
      </w:r>
      <w:r w:rsidRPr="004D4399">
        <w:rPr>
          <w:rFonts w:eastAsia="TimesNewRoman" w:cs="Times New Roman"/>
          <w:color w:val="000000"/>
          <w:szCs w:val="24"/>
        </w:rPr>
        <w:t xml:space="preserve">ore </w:t>
      </w:r>
      <w:r>
        <w:rPr>
          <w:rFonts w:eastAsia="TimesNewRoman" w:cs="Times New Roman"/>
          <w:color w:val="000000"/>
          <w:szCs w:val="24"/>
        </w:rPr>
        <w:t>Phase</w:t>
      </w:r>
      <w:r w:rsidRPr="004D4399">
        <w:rPr>
          <w:rFonts w:eastAsia="TimesNewRoman" w:cs="Times New Roman"/>
          <w:color w:val="000000"/>
          <w:szCs w:val="24"/>
        </w:rPr>
        <w:t>); the event lasted</w:t>
      </w:r>
      <w:r>
        <w:rPr>
          <w:rFonts w:eastAsia="TimesNewRoman" w:cs="Times New Roman"/>
          <w:color w:val="000000"/>
          <w:szCs w:val="24"/>
        </w:rPr>
        <w:t xml:space="preserve"> </w:t>
      </w:r>
      <w:r w:rsidRPr="004D4399">
        <w:rPr>
          <w:rFonts w:eastAsia="TimesNewRoman" w:cs="Times New Roman"/>
          <w:color w:val="000000"/>
          <w:szCs w:val="24"/>
        </w:rPr>
        <w:t xml:space="preserve">for </w:t>
      </w:r>
      <w:r w:rsidR="00B32545">
        <w:rPr>
          <w:rFonts w:eastAsia="TimesNewRoman" w:cs="Times New Roman"/>
          <w:color w:val="000000"/>
          <w:szCs w:val="24"/>
        </w:rPr>
        <w:br/>
      </w:r>
      <w:r w:rsidRPr="004D4399">
        <w:rPr>
          <w:rFonts w:eastAsia="TimesNewRoman" w:cs="Times New Roman"/>
          <w:color w:val="000000"/>
          <w:szCs w:val="24"/>
        </w:rPr>
        <w:t>4 days</w:t>
      </w:r>
      <w:r w:rsidR="004F490B">
        <w:rPr>
          <w:rFonts w:eastAsia="TimesNewRoman" w:cs="Times New Roman"/>
          <w:color w:val="000000"/>
          <w:szCs w:val="24"/>
        </w:rPr>
        <w:t xml:space="preserve">, </w:t>
      </w:r>
      <w:r w:rsidRPr="004D4399">
        <w:rPr>
          <w:rFonts w:eastAsia="TimesNewRoman" w:cs="Times New Roman"/>
          <w:color w:val="000000"/>
          <w:szCs w:val="24"/>
        </w:rPr>
        <w:t>was of mild intensity and</w:t>
      </w:r>
      <w:r>
        <w:rPr>
          <w:rFonts w:eastAsia="TimesNewRoman" w:cs="Times New Roman"/>
          <w:color w:val="000000"/>
          <w:szCs w:val="24"/>
        </w:rPr>
        <w:t xml:space="preserve"> </w:t>
      </w:r>
      <w:r w:rsidRPr="004D4399">
        <w:rPr>
          <w:rFonts w:eastAsia="TimesNewRoman" w:cs="Times New Roman"/>
          <w:color w:val="000000"/>
          <w:szCs w:val="24"/>
        </w:rPr>
        <w:t xml:space="preserve">resolved. The </w:t>
      </w:r>
      <w:r w:rsidR="009959EA">
        <w:rPr>
          <w:rFonts w:eastAsia="TimesNewRoman" w:cs="Times New Roman"/>
          <w:color w:val="000000"/>
          <w:szCs w:val="24"/>
        </w:rPr>
        <w:t>patient</w:t>
      </w:r>
      <w:r w:rsidRPr="004D4399">
        <w:rPr>
          <w:rFonts w:eastAsia="TimesNewRoman" w:cs="Times New Roman"/>
          <w:color w:val="000000"/>
          <w:szCs w:val="24"/>
        </w:rPr>
        <w:t xml:space="preserve"> </w:t>
      </w:r>
      <w:r w:rsidR="009959EA">
        <w:rPr>
          <w:rFonts w:eastAsia="TimesNewRoman" w:cs="Times New Roman"/>
          <w:color w:val="000000"/>
          <w:szCs w:val="24"/>
        </w:rPr>
        <w:t xml:space="preserve">also </w:t>
      </w:r>
      <w:r w:rsidRPr="004D4399">
        <w:rPr>
          <w:rFonts w:eastAsia="TimesNewRoman" w:cs="Times New Roman"/>
          <w:color w:val="000000"/>
          <w:szCs w:val="24"/>
        </w:rPr>
        <w:t>had a</w:t>
      </w:r>
      <w:r w:rsidR="00D6745D">
        <w:rPr>
          <w:rFonts w:eastAsia="TimesNewRoman" w:cs="Times New Roman"/>
          <w:color w:val="000000"/>
          <w:szCs w:val="24"/>
        </w:rPr>
        <w:t xml:space="preserve"> moderate</w:t>
      </w:r>
      <w:r w:rsidRPr="004D4399">
        <w:rPr>
          <w:rFonts w:eastAsia="TimesNewRoman" w:cs="Times New Roman"/>
          <w:color w:val="000000"/>
          <w:szCs w:val="24"/>
        </w:rPr>
        <w:t xml:space="preserve"> AE of skin irritation </w:t>
      </w:r>
      <w:r w:rsidR="009959EA">
        <w:rPr>
          <w:rFonts w:eastAsia="TimesNewRoman" w:cs="Times New Roman"/>
          <w:color w:val="000000"/>
          <w:szCs w:val="24"/>
        </w:rPr>
        <w:t>during the Pilot Phase</w:t>
      </w:r>
      <w:r w:rsidRPr="004D4399">
        <w:rPr>
          <w:rFonts w:eastAsia="TimesNewRoman" w:cs="Times New Roman"/>
          <w:color w:val="000000"/>
          <w:szCs w:val="24"/>
        </w:rPr>
        <w:t xml:space="preserve">. </w:t>
      </w:r>
    </w:p>
    <w:p w14:paraId="40EB6C9D" w14:textId="70E35673" w:rsidR="004D4399" w:rsidRPr="004D4399" w:rsidRDefault="004D4399" w:rsidP="004D4399">
      <w:pPr>
        <w:pStyle w:val="ListParagraph"/>
        <w:numPr>
          <w:ilvl w:val="0"/>
          <w:numId w:val="1"/>
        </w:numPr>
        <w:spacing w:after="240"/>
        <w:rPr>
          <w:rFonts w:cs="Times New Roman"/>
          <w:bCs/>
          <w:iCs/>
        </w:rPr>
      </w:pPr>
      <w:r>
        <w:rPr>
          <w:rFonts w:eastAsia="TimesNewRoman" w:cs="Times New Roman"/>
          <w:color w:val="000000"/>
          <w:szCs w:val="24"/>
        </w:rPr>
        <w:t>A</w:t>
      </w:r>
      <w:r w:rsidRPr="004D4399">
        <w:rPr>
          <w:rFonts w:eastAsia="TimesNewRoman" w:cs="Times New Roman"/>
          <w:color w:val="000000"/>
          <w:szCs w:val="24"/>
        </w:rPr>
        <w:t xml:space="preserve"> 53</w:t>
      </w:r>
      <w:r>
        <w:rPr>
          <w:rFonts w:eastAsia="TimesNewRoman" w:cs="Times New Roman"/>
          <w:color w:val="000000"/>
          <w:szCs w:val="24"/>
        </w:rPr>
        <w:t>-</w:t>
      </w:r>
      <w:r w:rsidRPr="004D4399">
        <w:rPr>
          <w:rFonts w:eastAsia="TimesNewRoman" w:cs="Times New Roman"/>
          <w:color w:val="000000"/>
          <w:szCs w:val="24"/>
        </w:rPr>
        <w:t>year</w:t>
      </w:r>
      <w:r w:rsidR="00B32545">
        <w:rPr>
          <w:rFonts w:eastAsia="TimesNewRoman" w:cs="Times New Roman"/>
          <w:color w:val="000000"/>
          <w:szCs w:val="24"/>
        </w:rPr>
        <w:t>-</w:t>
      </w:r>
      <w:r w:rsidRPr="004D4399">
        <w:rPr>
          <w:rFonts w:eastAsia="TimesNewRoman" w:cs="Times New Roman"/>
          <w:color w:val="000000"/>
          <w:szCs w:val="24"/>
        </w:rPr>
        <w:t>old female discontinued the study for an AE of dermatitis</w:t>
      </w:r>
      <w:r>
        <w:rPr>
          <w:rFonts w:eastAsia="TimesNewRoman" w:cs="Times New Roman"/>
          <w:color w:val="000000"/>
          <w:szCs w:val="24"/>
        </w:rPr>
        <w:t xml:space="preserve"> </w:t>
      </w:r>
      <w:r w:rsidRPr="004D4399">
        <w:rPr>
          <w:rFonts w:eastAsia="TimesNewRoman" w:cs="Times New Roman"/>
          <w:color w:val="000000"/>
          <w:szCs w:val="24"/>
        </w:rPr>
        <w:t>contact that started on Day 28 of</w:t>
      </w:r>
      <w:r>
        <w:rPr>
          <w:rFonts w:eastAsia="TimesNewRoman" w:cs="Times New Roman"/>
          <w:color w:val="000000"/>
          <w:szCs w:val="24"/>
        </w:rPr>
        <w:t xml:space="preserve"> the</w:t>
      </w:r>
      <w:r w:rsidRPr="004D4399">
        <w:rPr>
          <w:rFonts w:eastAsia="TimesNewRoman" w:cs="Times New Roman"/>
          <w:color w:val="000000"/>
          <w:szCs w:val="24"/>
        </w:rPr>
        <w:t xml:space="preserve"> study (Week 8 of the </w:t>
      </w:r>
      <w:r>
        <w:rPr>
          <w:rFonts w:eastAsia="TimesNewRoman" w:cs="Times New Roman"/>
          <w:color w:val="000000"/>
          <w:szCs w:val="24"/>
        </w:rPr>
        <w:t>C</w:t>
      </w:r>
      <w:r w:rsidRPr="004D4399">
        <w:rPr>
          <w:rFonts w:eastAsia="TimesNewRoman" w:cs="Times New Roman"/>
          <w:color w:val="000000"/>
          <w:szCs w:val="24"/>
        </w:rPr>
        <w:t xml:space="preserve">ore </w:t>
      </w:r>
      <w:r>
        <w:rPr>
          <w:rFonts w:eastAsia="TimesNewRoman" w:cs="Times New Roman"/>
          <w:color w:val="000000"/>
          <w:szCs w:val="24"/>
        </w:rPr>
        <w:t>Phase</w:t>
      </w:r>
      <w:r w:rsidRPr="004D4399">
        <w:rPr>
          <w:rFonts w:eastAsia="TimesNewRoman" w:cs="Times New Roman"/>
          <w:color w:val="000000"/>
          <w:szCs w:val="24"/>
        </w:rPr>
        <w:t>); the event lasted</w:t>
      </w:r>
      <w:r>
        <w:rPr>
          <w:rFonts w:eastAsia="TimesNewRoman" w:cs="Times New Roman"/>
          <w:color w:val="000000"/>
          <w:szCs w:val="24"/>
        </w:rPr>
        <w:t xml:space="preserve"> </w:t>
      </w:r>
      <w:r w:rsidRPr="004D4399">
        <w:rPr>
          <w:rFonts w:eastAsia="TimesNewRoman" w:cs="Times New Roman"/>
          <w:color w:val="000000"/>
          <w:szCs w:val="24"/>
        </w:rPr>
        <w:t xml:space="preserve">for </w:t>
      </w:r>
      <w:r w:rsidR="00B32545">
        <w:rPr>
          <w:rFonts w:eastAsia="TimesNewRoman" w:cs="Times New Roman"/>
          <w:color w:val="000000"/>
          <w:szCs w:val="24"/>
        </w:rPr>
        <w:br/>
      </w:r>
      <w:r w:rsidRPr="004D4399">
        <w:rPr>
          <w:rFonts w:eastAsia="TimesNewRoman" w:cs="Times New Roman"/>
          <w:color w:val="000000"/>
          <w:szCs w:val="24"/>
        </w:rPr>
        <w:t>15 days, was of moderate intensity and</w:t>
      </w:r>
      <w:r>
        <w:rPr>
          <w:rFonts w:eastAsia="TimesNewRoman" w:cs="Times New Roman"/>
          <w:color w:val="000000"/>
          <w:szCs w:val="24"/>
        </w:rPr>
        <w:t xml:space="preserve"> </w:t>
      </w:r>
      <w:r w:rsidRPr="004D4399">
        <w:rPr>
          <w:rFonts w:eastAsia="TimesNewRoman" w:cs="Times New Roman"/>
          <w:color w:val="000000"/>
          <w:szCs w:val="24"/>
        </w:rPr>
        <w:t>resolved.</w:t>
      </w:r>
      <w:r w:rsidR="00A36ED2" w:rsidRPr="004D4399">
        <w:rPr>
          <w:rFonts w:cs="Times New Roman"/>
          <w:bCs/>
          <w:iCs/>
        </w:rPr>
        <w:t xml:space="preserve"> </w:t>
      </w:r>
      <w:bookmarkStart w:id="1" w:name="_Hlk527549845"/>
    </w:p>
    <w:p w14:paraId="3DC9ABD5" w14:textId="776A2F3E" w:rsidR="004D4399" w:rsidRDefault="004D4399" w:rsidP="004D4399">
      <w:pPr>
        <w:autoSpaceDE w:val="0"/>
        <w:autoSpaceDN w:val="0"/>
        <w:adjustRightInd w:val="0"/>
        <w:spacing w:before="0"/>
        <w:rPr>
          <w:rFonts w:cs="Times New Roman"/>
          <w:bCs/>
        </w:rPr>
      </w:pPr>
      <w:r w:rsidRPr="004D4399">
        <w:rPr>
          <w:rFonts w:cs="Times New Roman"/>
          <w:bCs/>
        </w:rPr>
        <w:t>The</w:t>
      </w:r>
      <w:r>
        <w:rPr>
          <w:rFonts w:cs="Times New Roman"/>
          <w:bCs/>
        </w:rPr>
        <w:t xml:space="preserve"> following medical device incidents were reported</w:t>
      </w:r>
      <w:r w:rsidR="00D82365">
        <w:rPr>
          <w:rFonts w:cs="Times New Roman"/>
          <w:bCs/>
        </w:rPr>
        <w:t xml:space="preserve"> in the Core Phase</w:t>
      </w:r>
      <w:r>
        <w:rPr>
          <w:rFonts w:cs="Times New Roman"/>
          <w:bCs/>
        </w:rPr>
        <w:t>:</w:t>
      </w:r>
    </w:p>
    <w:p w14:paraId="1B37CFCD" w14:textId="5C78691F" w:rsidR="004D4399" w:rsidRDefault="004D4399" w:rsidP="004D4399">
      <w:pPr>
        <w:pStyle w:val="ListParagraph"/>
        <w:numPr>
          <w:ilvl w:val="0"/>
          <w:numId w:val="2"/>
        </w:numPr>
        <w:autoSpaceDE w:val="0"/>
        <w:autoSpaceDN w:val="0"/>
        <w:adjustRightInd w:val="0"/>
        <w:spacing w:before="0"/>
        <w:rPr>
          <w:rFonts w:eastAsia="TimesNewRoman" w:cs="Times New Roman"/>
          <w:szCs w:val="24"/>
        </w:rPr>
      </w:pPr>
      <w:r w:rsidRPr="004D4399">
        <w:rPr>
          <w:rFonts w:eastAsia="TimesNewRoman" w:cs="Times New Roman"/>
          <w:szCs w:val="24"/>
        </w:rPr>
        <w:t xml:space="preserve">On 17 February 2016, </w:t>
      </w:r>
      <w:r w:rsidR="00FA07F2">
        <w:rPr>
          <w:rFonts w:eastAsia="TimesNewRoman" w:cs="Times New Roman"/>
          <w:szCs w:val="24"/>
        </w:rPr>
        <w:t>i</w:t>
      </w:r>
      <w:r w:rsidR="00410BAE">
        <w:rPr>
          <w:rFonts w:eastAsia="TimesNewRoman" w:cs="Times New Roman"/>
          <w:szCs w:val="24"/>
        </w:rPr>
        <w:t>t was found</w:t>
      </w:r>
      <w:r w:rsidR="00ED78DB">
        <w:rPr>
          <w:rFonts w:eastAsia="TimesNewRoman" w:cs="Times New Roman"/>
          <w:szCs w:val="24"/>
        </w:rPr>
        <w:t xml:space="preserve"> that</w:t>
      </w:r>
      <w:r w:rsidR="00410BAE">
        <w:rPr>
          <w:rFonts w:eastAsia="TimesNewRoman" w:cs="Times New Roman"/>
          <w:szCs w:val="24"/>
        </w:rPr>
        <w:t xml:space="preserve"> in some circumstances, i</w:t>
      </w:r>
      <w:r w:rsidRPr="004D4399">
        <w:rPr>
          <w:rFonts w:eastAsia="TimesNewRoman" w:cs="Times New Roman"/>
          <w:szCs w:val="24"/>
        </w:rPr>
        <w:t xml:space="preserve">t was possible for the casing </w:t>
      </w:r>
      <w:r w:rsidR="00FA07F2">
        <w:rPr>
          <w:rFonts w:eastAsia="TimesNewRoman" w:cs="Times New Roman"/>
          <w:szCs w:val="24"/>
        </w:rPr>
        <w:t xml:space="preserve">of the chargers used in this study </w:t>
      </w:r>
      <w:r w:rsidRPr="004D4399">
        <w:rPr>
          <w:rFonts w:eastAsia="TimesNewRoman" w:cs="Times New Roman"/>
          <w:szCs w:val="24"/>
        </w:rPr>
        <w:t>to come apart, exposing the internal wires and components</w:t>
      </w:r>
      <w:r w:rsidR="00410BAE">
        <w:rPr>
          <w:rFonts w:eastAsia="TimesNewRoman" w:cs="Times New Roman"/>
          <w:szCs w:val="24"/>
        </w:rPr>
        <w:t>, posing a risk of electric shock</w:t>
      </w:r>
      <w:r w:rsidRPr="004D4399">
        <w:rPr>
          <w:rFonts w:eastAsia="TimesNewRoman" w:cs="Times New Roman"/>
          <w:szCs w:val="24"/>
        </w:rPr>
        <w:t xml:space="preserve">. Although there were no reports of </w:t>
      </w:r>
      <w:r w:rsidR="00A84BEE">
        <w:rPr>
          <w:rFonts w:eastAsia="TimesNewRoman" w:cs="Times New Roman"/>
          <w:szCs w:val="24"/>
        </w:rPr>
        <w:t>patients</w:t>
      </w:r>
      <w:r w:rsidRPr="004D4399">
        <w:rPr>
          <w:rFonts w:eastAsia="TimesNewRoman" w:cs="Times New Roman"/>
          <w:szCs w:val="24"/>
        </w:rPr>
        <w:t xml:space="preserve"> experiencing issues related to this, </w:t>
      </w:r>
      <w:r w:rsidR="00410BAE">
        <w:rPr>
          <w:rFonts w:eastAsia="TimesNewRoman" w:cs="Times New Roman"/>
          <w:szCs w:val="24"/>
        </w:rPr>
        <w:t>t</w:t>
      </w:r>
      <w:r w:rsidRPr="004D4399">
        <w:rPr>
          <w:rFonts w:eastAsia="TimesNewRoman" w:cs="Times New Roman"/>
          <w:szCs w:val="24"/>
        </w:rPr>
        <w:t xml:space="preserve">he sites were </w:t>
      </w:r>
      <w:r w:rsidR="00A46459">
        <w:rPr>
          <w:rFonts w:eastAsia="TimesNewRoman" w:cs="Times New Roman"/>
          <w:szCs w:val="24"/>
        </w:rPr>
        <w:t xml:space="preserve">immediately </w:t>
      </w:r>
      <w:r w:rsidRPr="004D4399">
        <w:rPr>
          <w:rFonts w:eastAsia="TimesNewRoman" w:cs="Times New Roman"/>
          <w:szCs w:val="24"/>
        </w:rPr>
        <w:t>informed</w:t>
      </w:r>
      <w:r w:rsidR="00FA07F2">
        <w:rPr>
          <w:rFonts w:eastAsia="TimesNewRoman" w:cs="Times New Roman"/>
          <w:szCs w:val="24"/>
        </w:rPr>
        <w:t xml:space="preserve">, </w:t>
      </w:r>
      <w:r w:rsidRPr="004D4399">
        <w:rPr>
          <w:rFonts w:eastAsia="TimesNewRoman" w:cs="Times New Roman"/>
          <w:szCs w:val="24"/>
        </w:rPr>
        <w:t xml:space="preserve">the chargers were recalled from all </w:t>
      </w:r>
      <w:r w:rsidR="00D71CDC">
        <w:rPr>
          <w:rFonts w:eastAsia="TimesNewRoman" w:cs="Times New Roman"/>
          <w:szCs w:val="24"/>
        </w:rPr>
        <w:t>patients</w:t>
      </w:r>
      <w:r w:rsidRPr="004D4399">
        <w:rPr>
          <w:rFonts w:eastAsia="TimesNewRoman" w:cs="Times New Roman"/>
          <w:szCs w:val="24"/>
        </w:rPr>
        <w:t xml:space="preserve"> and new chargers were issued. </w:t>
      </w:r>
    </w:p>
    <w:p w14:paraId="09F62907" w14:textId="5FE2504A" w:rsidR="004D4399" w:rsidRDefault="004D4399" w:rsidP="004D4399">
      <w:pPr>
        <w:pStyle w:val="ListParagraph"/>
        <w:numPr>
          <w:ilvl w:val="0"/>
          <w:numId w:val="2"/>
        </w:numPr>
        <w:autoSpaceDE w:val="0"/>
        <w:autoSpaceDN w:val="0"/>
        <w:adjustRightInd w:val="0"/>
        <w:spacing w:before="0"/>
        <w:rPr>
          <w:rFonts w:eastAsia="TimesNewRoman" w:cs="Times New Roman"/>
          <w:szCs w:val="24"/>
        </w:rPr>
      </w:pPr>
      <w:r w:rsidRPr="004D4399">
        <w:rPr>
          <w:rFonts w:eastAsia="TimesNewRoman" w:cs="Times New Roman"/>
          <w:szCs w:val="24"/>
        </w:rPr>
        <w:t xml:space="preserve">On 6 May 2016, </w:t>
      </w:r>
      <w:r w:rsidR="00EA62AC">
        <w:rPr>
          <w:rFonts w:eastAsia="TimesNewRoman" w:cs="Times New Roman"/>
          <w:szCs w:val="24"/>
        </w:rPr>
        <w:t xml:space="preserve">1 </w:t>
      </w:r>
      <w:r w:rsidR="008918B4">
        <w:rPr>
          <w:rFonts w:eastAsia="TimesNewRoman" w:cs="Times New Roman"/>
          <w:szCs w:val="24"/>
        </w:rPr>
        <w:t>patient</w:t>
      </w:r>
      <w:r w:rsidRPr="004D4399">
        <w:rPr>
          <w:rFonts w:eastAsia="TimesNewRoman" w:cs="Times New Roman"/>
          <w:szCs w:val="24"/>
        </w:rPr>
        <w:t xml:space="preserve"> reported that the charger made crackling noises and smelled of burning when it was plugged into the mains. The issue was reported to the manufacturer </w:t>
      </w:r>
      <w:r w:rsidR="00E832B7">
        <w:rPr>
          <w:rFonts w:eastAsia="TimesNewRoman" w:cs="Times New Roman"/>
          <w:szCs w:val="24"/>
        </w:rPr>
        <w:t>and the patient</w:t>
      </w:r>
      <w:r w:rsidRPr="004D4399">
        <w:rPr>
          <w:rFonts w:eastAsia="TimesNewRoman" w:cs="Times New Roman"/>
          <w:szCs w:val="24"/>
        </w:rPr>
        <w:t xml:space="preserve"> was issued with a replacement charger. Prior to receiving the new charger, the </w:t>
      </w:r>
      <w:r w:rsidR="00E832B7">
        <w:rPr>
          <w:rFonts w:eastAsia="TimesNewRoman" w:cs="Times New Roman"/>
          <w:szCs w:val="24"/>
        </w:rPr>
        <w:t>patient</w:t>
      </w:r>
      <w:r w:rsidRPr="004D4399">
        <w:rPr>
          <w:rFonts w:eastAsia="TimesNewRoman" w:cs="Times New Roman"/>
          <w:szCs w:val="24"/>
        </w:rPr>
        <w:t xml:space="preserve"> had been able to</w:t>
      </w:r>
      <w:r>
        <w:rPr>
          <w:rFonts w:eastAsia="TimesNewRoman" w:cs="Times New Roman"/>
          <w:szCs w:val="24"/>
        </w:rPr>
        <w:t xml:space="preserve"> </w:t>
      </w:r>
      <w:r w:rsidRPr="004D4399">
        <w:rPr>
          <w:rFonts w:eastAsia="TimesNewRoman" w:cs="Times New Roman"/>
          <w:szCs w:val="24"/>
        </w:rPr>
        <w:t xml:space="preserve">use a mobile phone charger, so no data were lost. </w:t>
      </w:r>
    </w:p>
    <w:p w14:paraId="0102306F" w14:textId="6B9D383D" w:rsidR="00450289" w:rsidRPr="008520C5" w:rsidRDefault="004D4399" w:rsidP="004D4399">
      <w:pPr>
        <w:autoSpaceDE w:val="0"/>
        <w:autoSpaceDN w:val="0"/>
        <w:adjustRightInd w:val="0"/>
        <w:spacing w:before="0"/>
        <w:rPr>
          <w:rFonts w:ascii="TimesNewRoman" w:eastAsia="TimesNewRoman" w:hAnsiTheme="minorHAnsi" w:cs="TimesNewRoman"/>
          <w:szCs w:val="24"/>
        </w:rPr>
      </w:pPr>
      <w:r w:rsidRPr="004D4399">
        <w:rPr>
          <w:rFonts w:eastAsia="TimesNewRoman" w:cs="Times New Roman"/>
          <w:szCs w:val="24"/>
        </w:rPr>
        <w:t>No incidents, near miss incidents or malfunctions were reported with the use of Mega Faros sensor, Fast Fix electrode or LifeInsight hub in this study</w:t>
      </w:r>
      <w:r w:rsidRPr="004D4399">
        <w:rPr>
          <w:rFonts w:ascii="TimesNewRoman" w:eastAsia="TimesNewRoman" w:hAnsiTheme="minorHAnsi" w:cs="TimesNewRoman"/>
          <w:szCs w:val="24"/>
        </w:rPr>
        <w:t>.</w:t>
      </w:r>
    </w:p>
    <w:p w14:paraId="62D65DEB" w14:textId="77777777" w:rsidR="00450289" w:rsidRPr="00052ED7" w:rsidRDefault="00450289" w:rsidP="00450289">
      <w:pPr>
        <w:pStyle w:val="Heading3"/>
        <w:spacing w:after="240"/>
      </w:pPr>
      <w:bookmarkStart w:id="2" w:name="_Hlk20223964"/>
      <w:bookmarkStart w:id="3" w:name="_Hlk20223985"/>
      <w:r w:rsidRPr="00052ED7">
        <w:t>Data collection</w:t>
      </w:r>
    </w:p>
    <w:bookmarkEnd w:id="2"/>
    <w:p w14:paraId="54DDF3AF" w14:textId="77777777" w:rsidR="00450289" w:rsidRPr="00052ED7" w:rsidRDefault="00450289" w:rsidP="00450289">
      <w:pPr>
        <w:spacing w:after="240"/>
      </w:pPr>
      <w:r w:rsidRPr="00052ED7">
        <w:t>At baseline, 23/25 patients had home monitoring periods</w:t>
      </w:r>
      <w:r>
        <w:t xml:space="preserve"> of </w:t>
      </w:r>
      <w:r w:rsidRPr="00052ED7">
        <w:t xml:space="preserve">≥3 days </w:t>
      </w:r>
      <w:r>
        <w:t xml:space="preserve">according to the protocol </w:t>
      </w:r>
      <w:r w:rsidRPr="00052ED7">
        <w:t xml:space="preserve">and the mean </w:t>
      </w:r>
      <w:r>
        <w:t xml:space="preserve">sensor </w:t>
      </w:r>
      <w:r w:rsidRPr="00052ED7">
        <w:t xml:space="preserve">wear time </w:t>
      </w:r>
      <w:r>
        <w:t xml:space="preserve">per day </w:t>
      </w:r>
      <w:r w:rsidRPr="00052ED7">
        <w:t xml:space="preserve">ranged from 18.2 to 19.4 hours. At Week 48, </w:t>
      </w:r>
      <w:r>
        <w:t>these numbers</w:t>
      </w:r>
      <w:r w:rsidRPr="00052ED7">
        <w:t xml:space="preserve"> reduced to 10/18 patients and 15.4</w:t>
      </w:r>
      <w:r>
        <w:t>–</w:t>
      </w:r>
      <w:r w:rsidRPr="00052ED7">
        <w:t>21.3 hours</w:t>
      </w:r>
      <w:r>
        <w:t>, respectively</w:t>
      </w:r>
      <w:r w:rsidRPr="00052ED7">
        <w:t>. At baseline, 24/25 patients provided quality activity data for ≥1 recording day; this decreased to 13/18 patients at Week 48.</w:t>
      </w:r>
    </w:p>
    <w:bookmarkEnd w:id="3"/>
    <w:p w14:paraId="23C31A82" w14:textId="17C1CDD5" w:rsidR="00450289" w:rsidRPr="004D4399" w:rsidRDefault="00450289" w:rsidP="004D4399">
      <w:pPr>
        <w:autoSpaceDE w:val="0"/>
        <w:autoSpaceDN w:val="0"/>
        <w:adjustRightInd w:val="0"/>
        <w:spacing w:before="0"/>
        <w:rPr>
          <w:rFonts w:eastAsia="TimesNewRoman" w:cs="Times New Roman"/>
          <w:szCs w:val="24"/>
        </w:rPr>
        <w:sectPr w:rsidR="00450289" w:rsidRPr="004D4399" w:rsidSect="00525213">
          <w:pgSz w:w="11906" w:h="16838" w:code="9"/>
          <w:pgMar w:top="1440" w:right="1416" w:bottom="1440" w:left="1440" w:header="708" w:footer="708" w:gutter="0"/>
          <w:cols w:space="708"/>
          <w:docGrid w:linePitch="360"/>
        </w:sectPr>
      </w:pPr>
    </w:p>
    <w:p w14:paraId="2D31DFFD" w14:textId="2004A08F" w:rsidR="00E21F6A" w:rsidRDefault="005C4075">
      <w:pPr>
        <w:spacing w:before="0" w:after="160" w:line="259" w:lineRule="auto"/>
      </w:pPr>
      <w:r w:rsidRPr="002D6685">
        <w:rPr>
          <w:b/>
        </w:rPr>
        <w:t xml:space="preserve">Supplementary Figure </w:t>
      </w:r>
      <w:r>
        <w:rPr>
          <w:b/>
        </w:rPr>
        <w:t>1</w:t>
      </w:r>
      <w:r w:rsidRPr="002D6685">
        <w:rPr>
          <w:b/>
        </w:rPr>
        <w:t xml:space="preserve">. </w:t>
      </w:r>
      <w:r>
        <w:t xml:space="preserve">Schematic representation of </w:t>
      </w:r>
      <w:r w:rsidR="00E21F6A">
        <w:t>the sensor being worn</w:t>
      </w:r>
      <w:r w:rsidRPr="002D6685">
        <w:t xml:space="preserve"> </w:t>
      </w:r>
    </w:p>
    <w:p w14:paraId="7FB0DDE7" w14:textId="7EDEAFF7" w:rsidR="005C4075" w:rsidRDefault="005C4075">
      <w:pPr>
        <w:spacing w:before="0" w:after="160" w:line="259" w:lineRule="auto"/>
        <w:rPr>
          <w:b/>
        </w:rPr>
      </w:pPr>
    </w:p>
    <w:p w14:paraId="6D0EE441" w14:textId="25D6E00C" w:rsidR="005813F9" w:rsidRDefault="00E752E2">
      <w:pPr>
        <w:rPr>
          <w:b/>
        </w:rPr>
      </w:pPr>
      <w:r>
        <w:rPr>
          <w:noProof/>
        </w:rPr>
        <w:drawing>
          <wp:inline distT="0" distB="0" distL="0" distR="0" wp14:anchorId="3F5E030D" wp14:editId="7EAC2087">
            <wp:extent cx="4901609" cy="407714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t="588" b="596"/>
                    <a:stretch/>
                  </pic:blipFill>
                  <pic:spPr bwMode="auto">
                    <a:xfrm>
                      <a:off x="0" y="0"/>
                      <a:ext cx="4914407" cy="4087788"/>
                    </a:xfrm>
                    <a:prstGeom prst="rect">
                      <a:avLst/>
                    </a:prstGeom>
                    <a:ln>
                      <a:noFill/>
                    </a:ln>
                    <a:extLst>
                      <a:ext uri="{53640926-AAD7-44D8-BBD7-CCE9431645EC}">
                        <a14:shadowObscured xmlns:a14="http://schemas.microsoft.com/office/drawing/2010/main"/>
                      </a:ext>
                    </a:extLst>
                  </pic:spPr>
                </pic:pic>
              </a:graphicData>
            </a:graphic>
          </wp:inline>
        </w:drawing>
      </w:r>
    </w:p>
    <w:p w14:paraId="0C487ED9" w14:textId="77777777" w:rsidR="005813F9" w:rsidRDefault="005813F9">
      <w:pPr>
        <w:rPr>
          <w:b/>
        </w:rPr>
      </w:pPr>
    </w:p>
    <w:p w14:paraId="5D22EA3B" w14:textId="77777777" w:rsidR="005813F9" w:rsidRDefault="005813F9">
      <w:pPr>
        <w:rPr>
          <w:b/>
        </w:rPr>
      </w:pPr>
    </w:p>
    <w:p w14:paraId="2A94F1A2" w14:textId="77777777" w:rsidR="005813F9" w:rsidRDefault="005813F9">
      <w:pPr>
        <w:rPr>
          <w:b/>
        </w:rPr>
      </w:pPr>
    </w:p>
    <w:p w14:paraId="2C81C526" w14:textId="77777777" w:rsidR="005813F9" w:rsidRDefault="005813F9">
      <w:pPr>
        <w:rPr>
          <w:b/>
        </w:rPr>
      </w:pPr>
    </w:p>
    <w:p w14:paraId="6B63086C" w14:textId="77777777" w:rsidR="005813F9" w:rsidRDefault="005813F9">
      <w:pPr>
        <w:rPr>
          <w:b/>
        </w:rPr>
      </w:pPr>
    </w:p>
    <w:p w14:paraId="2F15F88A" w14:textId="77777777" w:rsidR="005813F9" w:rsidRDefault="005813F9">
      <w:pPr>
        <w:rPr>
          <w:b/>
        </w:rPr>
      </w:pPr>
    </w:p>
    <w:p w14:paraId="274F15D0" w14:textId="77777777" w:rsidR="005813F9" w:rsidRDefault="005813F9">
      <w:pPr>
        <w:rPr>
          <w:b/>
        </w:rPr>
      </w:pPr>
    </w:p>
    <w:p w14:paraId="4935B588" w14:textId="78EC964E" w:rsidR="00FC0EA3" w:rsidRPr="002D6685" w:rsidRDefault="00FC0EA3">
      <w:pPr>
        <w:rPr>
          <w:sz w:val="20"/>
          <w:szCs w:val="20"/>
        </w:rPr>
      </w:pPr>
      <w:r w:rsidRPr="002D6685">
        <w:rPr>
          <w:b/>
        </w:rPr>
        <w:t xml:space="preserve">Supplementary Figure </w:t>
      </w:r>
      <w:r w:rsidR="005C4075">
        <w:rPr>
          <w:b/>
        </w:rPr>
        <w:t>2</w:t>
      </w:r>
      <w:r w:rsidRPr="002D6685">
        <w:rPr>
          <w:b/>
        </w:rPr>
        <w:t xml:space="preserve">. </w:t>
      </w:r>
      <w:r w:rsidRPr="002D6685">
        <w:t>Absolute values for average phoneme rate and speaking rate versus ALSFRS-R bulbar domain score (Core Phase; FAS)</w:t>
      </w:r>
      <w:bookmarkEnd w:id="1"/>
      <w:r w:rsidRPr="002D6685">
        <w:rPr>
          <w:sz w:val="20"/>
          <w:szCs w:val="20"/>
        </w:rPr>
        <w:t xml:space="preserve"> </w:t>
      </w:r>
    </w:p>
    <w:p w14:paraId="2C820384" w14:textId="55A8C460" w:rsidR="00FC0EA3" w:rsidRPr="00D630CD" w:rsidRDefault="006E0314">
      <w:pPr>
        <w:rPr>
          <w:rFonts w:cs="Times New Roman"/>
          <w:sz w:val="20"/>
          <w:szCs w:val="20"/>
        </w:rPr>
      </w:pPr>
      <w:r>
        <w:rPr>
          <w:noProof/>
        </w:rPr>
        <w:drawing>
          <wp:inline distT="0" distB="0" distL="0" distR="0" wp14:anchorId="46828BB0" wp14:editId="5214C8BE">
            <wp:extent cx="5746750" cy="6303010"/>
            <wp:effectExtent l="0" t="0" r="635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46750" cy="6303010"/>
                    </a:xfrm>
                    <a:prstGeom prst="rect">
                      <a:avLst/>
                    </a:prstGeom>
                  </pic:spPr>
                </pic:pic>
              </a:graphicData>
            </a:graphic>
          </wp:inline>
        </w:drawing>
      </w:r>
      <w:r w:rsidR="00D630CD">
        <w:rPr>
          <w:rFonts w:cs="Times New Roman"/>
          <w:sz w:val="20"/>
          <w:szCs w:val="20"/>
        </w:rPr>
        <w:br/>
      </w:r>
      <w:r w:rsidR="00FC0EA3" w:rsidRPr="002D6685">
        <w:t>The between-patient correlations are indicated on each graph (r)</w:t>
      </w:r>
      <w:r w:rsidR="00AF099B">
        <w:t>.</w:t>
      </w:r>
    </w:p>
    <w:p w14:paraId="4AF54F90" w14:textId="0265F1BA" w:rsidR="005813F9" w:rsidRPr="002D6685" w:rsidRDefault="00FC0EA3">
      <w:pPr>
        <w:rPr>
          <w:rFonts w:cs="Times New Roman"/>
        </w:rPr>
      </w:pPr>
      <w:r w:rsidRPr="002D6685">
        <w:rPr>
          <w:szCs w:val="20"/>
        </w:rPr>
        <w:t xml:space="preserve">ALSFRS-R; </w:t>
      </w:r>
      <w:r w:rsidR="00825FE6">
        <w:rPr>
          <w:szCs w:val="20"/>
        </w:rPr>
        <w:t>a</w:t>
      </w:r>
      <w:r w:rsidRPr="002D6685">
        <w:rPr>
          <w:szCs w:val="20"/>
        </w:rPr>
        <w:t xml:space="preserve">myotrophic </w:t>
      </w:r>
      <w:r w:rsidR="00825FE6">
        <w:rPr>
          <w:szCs w:val="20"/>
        </w:rPr>
        <w:t>l</w:t>
      </w:r>
      <w:r w:rsidRPr="002D6685">
        <w:rPr>
          <w:szCs w:val="20"/>
        </w:rPr>
        <w:t xml:space="preserve">ateral </w:t>
      </w:r>
      <w:r w:rsidR="00825FE6">
        <w:rPr>
          <w:szCs w:val="20"/>
        </w:rPr>
        <w:t>s</w:t>
      </w:r>
      <w:r w:rsidRPr="002D6685">
        <w:rPr>
          <w:szCs w:val="20"/>
        </w:rPr>
        <w:t xml:space="preserve">clerosis </w:t>
      </w:r>
      <w:r w:rsidR="00825FE6">
        <w:rPr>
          <w:szCs w:val="20"/>
        </w:rPr>
        <w:t>f</w:t>
      </w:r>
      <w:r w:rsidRPr="002D6685">
        <w:rPr>
          <w:szCs w:val="20"/>
        </w:rPr>
        <w:t xml:space="preserve">unctional </w:t>
      </w:r>
      <w:r w:rsidR="00825FE6">
        <w:rPr>
          <w:szCs w:val="20"/>
        </w:rPr>
        <w:t>r</w:t>
      </w:r>
      <w:r w:rsidRPr="002D6685">
        <w:rPr>
          <w:szCs w:val="20"/>
        </w:rPr>
        <w:t xml:space="preserve">ating </w:t>
      </w:r>
      <w:r w:rsidR="00825FE6">
        <w:rPr>
          <w:szCs w:val="20"/>
        </w:rPr>
        <w:t>s</w:t>
      </w:r>
      <w:r w:rsidRPr="002D6685">
        <w:rPr>
          <w:szCs w:val="20"/>
        </w:rPr>
        <w:t xml:space="preserve">cale – </w:t>
      </w:r>
      <w:r w:rsidR="00825FE6">
        <w:rPr>
          <w:szCs w:val="20"/>
        </w:rPr>
        <w:t>r</w:t>
      </w:r>
      <w:r w:rsidRPr="002D6685">
        <w:rPr>
          <w:szCs w:val="20"/>
        </w:rPr>
        <w:t xml:space="preserve">evised; FAS, </w:t>
      </w:r>
      <w:r w:rsidR="00825FE6">
        <w:rPr>
          <w:szCs w:val="20"/>
        </w:rPr>
        <w:t>f</w:t>
      </w:r>
      <w:r w:rsidRPr="002D6685">
        <w:rPr>
          <w:szCs w:val="20"/>
        </w:rPr>
        <w:t xml:space="preserve">ull </w:t>
      </w:r>
      <w:r w:rsidR="00825FE6">
        <w:rPr>
          <w:szCs w:val="20"/>
        </w:rPr>
        <w:t>a</w:t>
      </w:r>
      <w:r w:rsidRPr="002D6685">
        <w:rPr>
          <w:szCs w:val="20"/>
        </w:rPr>
        <w:t xml:space="preserve">nalysis </w:t>
      </w:r>
      <w:r w:rsidR="00825FE6">
        <w:rPr>
          <w:szCs w:val="20"/>
        </w:rPr>
        <w:t>s</w:t>
      </w:r>
      <w:r w:rsidRPr="002D6685">
        <w:rPr>
          <w:szCs w:val="20"/>
        </w:rPr>
        <w:t>et; BL, baseline; CL, clinic; SE, standard error; TC, telephone contact; WPM, words per minute</w:t>
      </w:r>
      <w:r w:rsidR="00AF099B">
        <w:rPr>
          <w:szCs w:val="20"/>
        </w:rPr>
        <w:t>.</w:t>
      </w:r>
    </w:p>
    <w:sectPr w:rsidR="005813F9" w:rsidRPr="002D6685" w:rsidSect="00525213">
      <w:pgSz w:w="11906" w:h="16838" w:code="9"/>
      <w:pgMar w:top="1440" w:right="1416"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
    <w:altName w:val="Yu Gothic"/>
    <w:panose1 w:val="00000000000000000000"/>
    <w:charset w:val="80"/>
    <w:family w:val="auto"/>
    <w:notTrueType/>
    <w:pitch w:val="default"/>
    <w:sig w:usb0="00000000" w:usb1="08070000" w:usb2="00000010" w:usb3="00000000" w:csb0="0002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76F27"/>
    <w:multiLevelType w:val="hybridMultilevel"/>
    <w:tmpl w:val="E7DEE9C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3D6331A9"/>
    <w:multiLevelType w:val="hybridMultilevel"/>
    <w:tmpl w:val="DF0EA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4FC2ED2"/>
    <w:multiLevelType w:val="hybridMultilevel"/>
    <w:tmpl w:val="CF824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CD01B8B"/>
    <w:multiLevelType w:val="hybridMultilevel"/>
    <w:tmpl w:val="C1F0C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D1C70DE"/>
    <w:multiLevelType w:val="hybridMultilevel"/>
    <w:tmpl w:val="646AC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EA3"/>
    <w:rsid w:val="00003F30"/>
    <w:rsid w:val="000263C4"/>
    <w:rsid w:val="00037858"/>
    <w:rsid w:val="00045AA3"/>
    <w:rsid w:val="0005531B"/>
    <w:rsid w:val="00060889"/>
    <w:rsid w:val="00070D45"/>
    <w:rsid w:val="00071858"/>
    <w:rsid w:val="000737A0"/>
    <w:rsid w:val="00082006"/>
    <w:rsid w:val="00084C00"/>
    <w:rsid w:val="0008519D"/>
    <w:rsid w:val="0008592A"/>
    <w:rsid w:val="000A1E7B"/>
    <w:rsid w:val="000A2CBF"/>
    <w:rsid w:val="000A30A9"/>
    <w:rsid w:val="000B5923"/>
    <w:rsid w:val="000C1A1F"/>
    <w:rsid w:val="000E2933"/>
    <w:rsid w:val="000E3A9A"/>
    <w:rsid w:val="00104736"/>
    <w:rsid w:val="00111997"/>
    <w:rsid w:val="00130D10"/>
    <w:rsid w:val="0015047F"/>
    <w:rsid w:val="0015494C"/>
    <w:rsid w:val="001557BD"/>
    <w:rsid w:val="001559CD"/>
    <w:rsid w:val="0017484E"/>
    <w:rsid w:val="00175FD0"/>
    <w:rsid w:val="001847FA"/>
    <w:rsid w:val="00196CC6"/>
    <w:rsid w:val="001A422E"/>
    <w:rsid w:val="001B17F7"/>
    <w:rsid w:val="001B1AC3"/>
    <w:rsid w:val="001C49FB"/>
    <w:rsid w:val="001C5660"/>
    <w:rsid w:val="001C7867"/>
    <w:rsid w:val="001D2B3B"/>
    <w:rsid w:val="001D335B"/>
    <w:rsid w:val="001D69B3"/>
    <w:rsid w:val="001F0114"/>
    <w:rsid w:val="001F2F1A"/>
    <w:rsid w:val="001F493D"/>
    <w:rsid w:val="00201E18"/>
    <w:rsid w:val="00202CFC"/>
    <w:rsid w:val="002038CE"/>
    <w:rsid w:val="00210213"/>
    <w:rsid w:val="00212E3B"/>
    <w:rsid w:val="0021379D"/>
    <w:rsid w:val="002318D3"/>
    <w:rsid w:val="00234F47"/>
    <w:rsid w:val="0024012C"/>
    <w:rsid w:val="00245CB4"/>
    <w:rsid w:val="00256A69"/>
    <w:rsid w:val="00266F1C"/>
    <w:rsid w:val="002734E4"/>
    <w:rsid w:val="002747E1"/>
    <w:rsid w:val="0028127B"/>
    <w:rsid w:val="002836AA"/>
    <w:rsid w:val="00285197"/>
    <w:rsid w:val="00287B3B"/>
    <w:rsid w:val="0029008F"/>
    <w:rsid w:val="00293674"/>
    <w:rsid w:val="002A316C"/>
    <w:rsid w:val="002B10F0"/>
    <w:rsid w:val="002B380D"/>
    <w:rsid w:val="002D4258"/>
    <w:rsid w:val="002D4C21"/>
    <w:rsid w:val="002D6685"/>
    <w:rsid w:val="002D715F"/>
    <w:rsid w:val="002E1DD7"/>
    <w:rsid w:val="002E4489"/>
    <w:rsid w:val="002E58B3"/>
    <w:rsid w:val="0030326E"/>
    <w:rsid w:val="00311100"/>
    <w:rsid w:val="00363E15"/>
    <w:rsid w:val="003770FF"/>
    <w:rsid w:val="00383B9C"/>
    <w:rsid w:val="003944B1"/>
    <w:rsid w:val="00395F98"/>
    <w:rsid w:val="003A1298"/>
    <w:rsid w:val="003B0423"/>
    <w:rsid w:val="003B34D0"/>
    <w:rsid w:val="003B5B00"/>
    <w:rsid w:val="003B6374"/>
    <w:rsid w:val="003B6645"/>
    <w:rsid w:val="003C1305"/>
    <w:rsid w:val="003C17FD"/>
    <w:rsid w:val="003C7D4B"/>
    <w:rsid w:val="003F6406"/>
    <w:rsid w:val="00410BAE"/>
    <w:rsid w:val="00412DA6"/>
    <w:rsid w:val="00415590"/>
    <w:rsid w:val="00416978"/>
    <w:rsid w:val="00417F84"/>
    <w:rsid w:val="00424B7F"/>
    <w:rsid w:val="00425E9C"/>
    <w:rsid w:val="0043550F"/>
    <w:rsid w:val="004357E3"/>
    <w:rsid w:val="004415F5"/>
    <w:rsid w:val="00445BB5"/>
    <w:rsid w:val="00450289"/>
    <w:rsid w:val="00453850"/>
    <w:rsid w:val="00453BA7"/>
    <w:rsid w:val="004A54F3"/>
    <w:rsid w:val="004B0C34"/>
    <w:rsid w:val="004B7E87"/>
    <w:rsid w:val="004D0C6F"/>
    <w:rsid w:val="004D23D6"/>
    <w:rsid w:val="004D4399"/>
    <w:rsid w:val="004E395E"/>
    <w:rsid w:val="004E52EC"/>
    <w:rsid w:val="004F2DC4"/>
    <w:rsid w:val="004F490B"/>
    <w:rsid w:val="005051D2"/>
    <w:rsid w:val="00505DAF"/>
    <w:rsid w:val="00515DF9"/>
    <w:rsid w:val="00525213"/>
    <w:rsid w:val="0052540C"/>
    <w:rsid w:val="005258CC"/>
    <w:rsid w:val="00526056"/>
    <w:rsid w:val="00540353"/>
    <w:rsid w:val="00551D97"/>
    <w:rsid w:val="005545DC"/>
    <w:rsid w:val="00556001"/>
    <w:rsid w:val="005659D6"/>
    <w:rsid w:val="00567B03"/>
    <w:rsid w:val="00580DAA"/>
    <w:rsid w:val="005813F9"/>
    <w:rsid w:val="00585555"/>
    <w:rsid w:val="00594E60"/>
    <w:rsid w:val="005A107C"/>
    <w:rsid w:val="005B239E"/>
    <w:rsid w:val="005B338E"/>
    <w:rsid w:val="005C4075"/>
    <w:rsid w:val="005C47B7"/>
    <w:rsid w:val="005D07CF"/>
    <w:rsid w:val="005D7CCD"/>
    <w:rsid w:val="005F01D4"/>
    <w:rsid w:val="005F1D60"/>
    <w:rsid w:val="00610405"/>
    <w:rsid w:val="00610B37"/>
    <w:rsid w:val="00621BA0"/>
    <w:rsid w:val="00633595"/>
    <w:rsid w:val="00636595"/>
    <w:rsid w:val="0064050C"/>
    <w:rsid w:val="006438BB"/>
    <w:rsid w:val="0065047D"/>
    <w:rsid w:val="0065095E"/>
    <w:rsid w:val="0065408B"/>
    <w:rsid w:val="00654772"/>
    <w:rsid w:val="006547A2"/>
    <w:rsid w:val="0066276E"/>
    <w:rsid w:val="0066755C"/>
    <w:rsid w:val="00670E7E"/>
    <w:rsid w:val="00681E65"/>
    <w:rsid w:val="006C0E67"/>
    <w:rsid w:val="006C355B"/>
    <w:rsid w:val="006D2D5E"/>
    <w:rsid w:val="006E0314"/>
    <w:rsid w:val="006E27D7"/>
    <w:rsid w:val="006F1BBF"/>
    <w:rsid w:val="006F25FE"/>
    <w:rsid w:val="00707DB0"/>
    <w:rsid w:val="007103CF"/>
    <w:rsid w:val="007138BA"/>
    <w:rsid w:val="00727C92"/>
    <w:rsid w:val="007370E7"/>
    <w:rsid w:val="00755D28"/>
    <w:rsid w:val="007570D3"/>
    <w:rsid w:val="007603FC"/>
    <w:rsid w:val="007816F7"/>
    <w:rsid w:val="0078171A"/>
    <w:rsid w:val="00782710"/>
    <w:rsid w:val="0078347C"/>
    <w:rsid w:val="00794BA1"/>
    <w:rsid w:val="007A1527"/>
    <w:rsid w:val="007A6E9E"/>
    <w:rsid w:val="007B2535"/>
    <w:rsid w:val="007B6790"/>
    <w:rsid w:val="007B769D"/>
    <w:rsid w:val="007C1823"/>
    <w:rsid w:val="007D6494"/>
    <w:rsid w:val="007E1DEC"/>
    <w:rsid w:val="007E288A"/>
    <w:rsid w:val="007F5959"/>
    <w:rsid w:val="008001E0"/>
    <w:rsid w:val="00802E80"/>
    <w:rsid w:val="0081291E"/>
    <w:rsid w:val="008211C3"/>
    <w:rsid w:val="00825FE6"/>
    <w:rsid w:val="008276AB"/>
    <w:rsid w:val="00830E8F"/>
    <w:rsid w:val="00831C52"/>
    <w:rsid w:val="00844513"/>
    <w:rsid w:val="008520C5"/>
    <w:rsid w:val="008545F9"/>
    <w:rsid w:val="008674E7"/>
    <w:rsid w:val="00886AB1"/>
    <w:rsid w:val="008879C5"/>
    <w:rsid w:val="008918B4"/>
    <w:rsid w:val="0089295D"/>
    <w:rsid w:val="00896ABA"/>
    <w:rsid w:val="008A2AB7"/>
    <w:rsid w:val="008A2BBA"/>
    <w:rsid w:val="008A3065"/>
    <w:rsid w:val="008A6005"/>
    <w:rsid w:val="008A604E"/>
    <w:rsid w:val="008A7E07"/>
    <w:rsid w:val="008C34FD"/>
    <w:rsid w:val="008D09A0"/>
    <w:rsid w:val="008D5F9E"/>
    <w:rsid w:val="008E7CC1"/>
    <w:rsid w:val="008F6D78"/>
    <w:rsid w:val="009119F2"/>
    <w:rsid w:val="0092302E"/>
    <w:rsid w:val="00923C98"/>
    <w:rsid w:val="00923FE6"/>
    <w:rsid w:val="00927FC9"/>
    <w:rsid w:val="00933564"/>
    <w:rsid w:val="00933885"/>
    <w:rsid w:val="00935A9E"/>
    <w:rsid w:val="00936684"/>
    <w:rsid w:val="00936AA5"/>
    <w:rsid w:val="00941837"/>
    <w:rsid w:val="0094304A"/>
    <w:rsid w:val="00951586"/>
    <w:rsid w:val="009628E4"/>
    <w:rsid w:val="00965797"/>
    <w:rsid w:val="00965939"/>
    <w:rsid w:val="00967A0B"/>
    <w:rsid w:val="0099020C"/>
    <w:rsid w:val="00990B2D"/>
    <w:rsid w:val="00995648"/>
    <w:rsid w:val="009959EA"/>
    <w:rsid w:val="009A4531"/>
    <w:rsid w:val="009B0062"/>
    <w:rsid w:val="009B2610"/>
    <w:rsid w:val="009B6B23"/>
    <w:rsid w:val="009C5363"/>
    <w:rsid w:val="009D0E35"/>
    <w:rsid w:val="009D4904"/>
    <w:rsid w:val="009E0EC4"/>
    <w:rsid w:val="009E22A7"/>
    <w:rsid w:val="009F3257"/>
    <w:rsid w:val="00A0156E"/>
    <w:rsid w:val="00A024CB"/>
    <w:rsid w:val="00A032EE"/>
    <w:rsid w:val="00A067C9"/>
    <w:rsid w:val="00A06BD7"/>
    <w:rsid w:val="00A10FF3"/>
    <w:rsid w:val="00A160AB"/>
    <w:rsid w:val="00A214BB"/>
    <w:rsid w:val="00A23AFB"/>
    <w:rsid w:val="00A36ED2"/>
    <w:rsid w:val="00A46459"/>
    <w:rsid w:val="00A560BB"/>
    <w:rsid w:val="00A61F72"/>
    <w:rsid w:val="00A63F1B"/>
    <w:rsid w:val="00A74225"/>
    <w:rsid w:val="00A81B3F"/>
    <w:rsid w:val="00A83751"/>
    <w:rsid w:val="00A84BEE"/>
    <w:rsid w:val="00A86614"/>
    <w:rsid w:val="00A96727"/>
    <w:rsid w:val="00AB3EE7"/>
    <w:rsid w:val="00AD1096"/>
    <w:rsid w:val="00AD361A"/>
    <w:rsid w:val="00AE4874"/>
    <w:rsid w:val="00AE7053"/>
    <w:rsid w:val="00AF099B"/>
    <w:rsid w:val="00AF207C"/>
    <w:rsid w:val="00AF5CB5"/>
    <w:rsid w:val="00B13E78"/>
    <w:rsid w:val="00B218C5"/>
    <w:rsid w:val="00B2501B"/>
    <w:rsid w:val="00B32545"/>
    <w:rsid w:val="00B34BB1"/>
    <w:rsid w:val="00B4507A"/>
    <w:rsid w:val="00B55C90"/>
    <w:rsid w:val="00B57EA4"/>
    <w:rsid w:val="00B64671"/>
    <w:rsid w:val="00B7040D"/>
    <w:rsid w:val="00B71FB5"/>
    <w:rsid w:val="00B807C1"/>
    <w:rsid w:val="00B80E24"/>
    <w:rsid w:val="00BB1369"/>
    <w:rsid w:val="00BB2E13"/>
    <w:rsid w:val="00BC2483"/>
    <w:rsid w:val="00BC59BF"/>
    <w:rsid w:val="00BE2853"/>
    <w:rsid w:val="00BE37F2"/>
    <w:rsid w:val="00BE4DDD"/>
    <w:rsid w:val="00BE7BD9"/>
    <w:rsid w:val="00C05698"/>
    <w:rsid w:val="00C252CA"/>
    <w:rsid w:val="00C27887"/>
    <w:rsid w:val="00C35A80"/>
    <w:rsid w:val="00C52463"/>
    <w:rsid w:val="00C5774E"/>
    <w:rsid w:val="00C82BBE"/>
    <w:rsid w:val="00C86FEE"/>
    <w:rsid w:val="00C92D84"/>
    <w:rsid w:val="00CA007F"/>
    <w:rsid w:val="00CA1D82"/>
    <w:rsid w:val="00CA7488"/>
    <w:rsid w:val="00CB164E"/>
    <w:rsid w:val="00CB48D8"/>
    <w:rsid w:val="00CB4FC2"/>
    <w:rsid w:val="00CC5A5F"/>
    <w:rsid w:val="00CD57DB"/>
    <w:rsid w:val="00CE1BDB"/>
    <w:rsid w:val="00CF26B7"/>
    <w:rsid w:val="00CF53D6"/>
    <w:rsid w:val="00D234D2"/>
    <w:rsid w:val="00D25366"/>
    <w:rsid w:val="00D2625A"/>
    <w:rsid w:val="00D34B70"/>
    <w:rsid w:val="00D34E15"/>
    <w:rsid w:val="00D35F7F"/>
    <w:rsid w:val="00D51DF4"/>
    <w:rsid w:val="00D54879"/>
    <w:rsid w:val="00D630CD"/>
    <w:rsid w:val="00D6745D"/>
    <w:rsid w:val="00D70487"/>
    <w:rsid w:val="00D71CDC"/>
    <w:rsid w:val="00D82365"/>
    <w:rsid w:val="00D83109"/>
    <w:rsid w:val="00D85AA6"/>
    <w:rsid w:val="00D87EB6"/>
    <w:rsid w:val="00D92BF0"/>
    <w:rsid w:val="00D92D10"/>
    <w:rsid w:val="00DA7F58"/>
    <w:rsid w:val="00DC4BE8"/>
    <w:rsid w:val="00DC4D84"/>
    <w:rsid w:val="00DC6AA4"/>
    <w:rsid w:val="00DD3DA1"/>
    <w:rsid w:val="00DE1E2D"/>
    <w:rsid w:val="00DE6B02"/>
    <w:rsid w:val="00DF1141"/>
    <w:rsid w:val="00DF509B"/>
    <w:rsid w:val="00DF641F"/>
    <w:rsid w:val="00E018CF"/>
    <w:rsid w:val="00E03A41"/>
    <w:rsid w:val="00E06E09"/>
    <w:rsid w:val="00E21F6A"/>
    <w:rsid w:val="00E224DC"/>
    <w:rsid w:val="00E2332F"/>
    <w:rsid w:val="00E25E72"/>
    <w:rsid w:val="00E270CA"/>
    <w:rsid w:val="00E41A49"/>
    <w:rsid w:val="00E50435"/>
    <w:rsid w:val="00E60108"/>
    <w:rsid w:val="00E66E22"/>
    <w:rsid w:val="00E752E2"/>
    <w:rsid w:val="00E832B7"/>
    <w:rsid w:val="00E83544"/>
    <w:rsid w:val="00E85AB6"/>
    <w:rsid w:val="00E90967"/>
    <w:rsid w:val="00EA62AC"/>
    <w:rsid w:val="00EC096D"/>
    <w:rsid w:val="00ED0D2E"/>
    <w:rsid w:val="00ED1265"/>
    <w:rsid w:val="00ED33DC"/>
    <w:rsid w:val="00ED78DB"/>
    <w:rsid w:val="00EE12BE"/>
    <w:rsid w:val="00EE67B2"/>
    <w:rsid w:val="00F05100"/>
    <w:rsid w:val="00F11514"/>
    <w:rsid w:val="00F115F3"/>
    <w:rsid w:val="00F15A89"/>
    <w:rsid w:val="00F31B06"/>
    <w:rsid w:val="00F36A0B"/>
    <w:rsid w:val="00F3798C"/>
    <w:rsid w:val="00F450E4"/>
    <w:rsid w:val="00F517C6"/>
    <w:rsid w:val="00F569EC"/>
    <w:rsid w:val="00F61BE9"/>
    <w:rsid w:val="00F6219E"/>
    <w:rsid w:val="00F74340"/>
    <w:rsid w:val="00F83CF5"/>
    <w:rsid w:val="00F8589B"/>
    <w:rsid w:val="00FA07F2"/>
    <w:rsid w:val="00FA11CB"/>
    <w:rsid w:val="00FA20F4"/>
    <w:rsid w:val="00FA5270"/>
    <w:rsid w:val="00FA6BFF"/>
    <w:rsid w:val="00FC0EA3"/>
    <w:rsid w:val="00FC4574"/>
    <w:rsid w:val="00FD2D26"/>
    <w:rsid w:val="00FE176B"/>
    <w:rsid w:val="00FF26F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F447B"/>
  <w15:docId w15:val="{30E4A30B-70ED-4070-B9A9-BD9CE6B87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6685"/>
    <w:pPr>
      <w:spacing w:before="240" w:after="0" w:line="480" w:lineRule="auto"/>
    </w:pPr>
    <w:rPr>
      <w:rFonts w:ascii="Times New Roman" w:hAnsi="Times New Roman"/>
      <w:sz w:val="24"/>
    </w:rPr>
  </w:style>
  <w:style w:type="paragraph" w:styleId="Heading1">
    <w:name w:val="heading 1"/>
    <w:basedOn w:val="Normal"/>
    <w:next w:val="Normal"/>
    <w:link w:val="Heading1Char"/>
    <w:uiPriority w:val="9"/>
    <w:qFormat/>
    <w:rsid w:val="002D6685"/>
    <w:pPr>
      <w:keepNext/>
      <w:keepLines/>
      <w:outlineLvl w:val="0"/>
    </w:pPr>
    <w:rPr>
      <w:rFonts w:eastAsiaTheme="majorEastAsia" w:cs="Times New Roman"/>
      <w:b/>
      <w:sz w:val="32"/>
      <w:szCs w:val="32"/>
    </w:rPr>
  </w:style>
  <w:style w:type="paragraph" w:styleId="Heading2">
    <w:name w:val="heading 2"/>
    <w:basedOn w:val="Normal"/>
    <w:next w:val="Normal"/>
    <w:link w:val="Heading2Char"/>
    <w:uiPriority w:val="9"/>
    <w:unhideWhenUsed/>
    <w:qFormat/>
    <w:rsid w:val="002D6685"/>
    <w:pPr>
      <w:keepNext/>
      <w:keepLines/>
      <w:spacing w:before="360" w:after="60" w:line="360" w:lineRule="auto"/>
      <w:ind w:right="567"/>
      <w:outlineLvl w:val="1"/>
    </w:pPr>
    <w:rPr>
      <w:rFonts w:eastAsiaTheme="majorEastAsia" w:cs="Times New Roman"/>
      <w:b/>
      <w:sz w:val="28"/>
      <w:szCs w:val="26"/>
    </w:rPr>
  </w:style>
  <w:style w:type="paragraph" w:styleId="Heading3">
    <w:name w:val="heading 3"/>
    <w:basedOn w:val="Normal"/>
    <w:next w:val="Normal"/>
    <w:link w:val="Heading3Char"/>
    <w:uiPriority w:val="9"/>
    <w:unhideWhenUsed/>
    <w:qFormat/>
    <w:rsid w:val="002D6685"/>
    <w:pPr>
      <w:keepNext/>
      <w:keepLines/>
      <w:spacing w:before="360" w:after="60" w:line="360" w:lineRule="auto"/>
      <w:ind w:right="567"/>
      <w:outlineLvl w:val="2"/>
    </w:pPr>
    <w:rPr>
      <w:rFonts w:eastAsiaTheme="majorEastAsia" w:cs="Times New Roman"/>
      <w:b/>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6685"/>
    <w:rPr>
      <w:rFonts w:ascii="Times New Roman" w:eastAsiaTheme="majorEastAsia" w:hAnsi="Times New Roman" w:cs="Times New Roman"/>
      <w:b/>
      <w:sz w:val="32"/>
      <w:szCs w:val="32"/>
    </w:rPr>
  </w:style>
  <w:style w:type="character" w:customStyle="1" w:styleId="Heading2Char">
    <w:name w:val="Heading 2 Char"/>
    <w:basedOn w:val="DefaultParagraphFont"/>
    <w:link w:val="Heading2"/>
    <w:uiPriority w:val="9"/>
    <w:rsid w:val="002D6685"/>
    <w:rPr>
      <w:rFonts w:ascii="Times New Roman" w:eastAsiaTheme="majorEastAsia" w:hAnsi="Times New Roman" w:cs="Times New Roman"/>
      <w:b/>
      <w:sz w:val="28"/>
      <w:szCs w:val="26"/>
    </w:rPr>
  </w:style>
  <w:style w:type="character" w:customStyle="1" w:styleId="Heading3Char">
    <w:name w:val="Heading 3 Char"/>
    <w:basedOn w:val="DefaultParagraphFont"/>
    <w:link w:val="Heading3"/>
    <w:uiPriority w:val="9"/>
    <w:rsid w:val="002D6685"/>
    <w:rPr>
      <w:rFonts w:ascii="Times New Roman" w:eastAsiaTheme="majorEastAsia" w:hAnsi="Times New Roman" w:cs="Times New Roman"/>
      <w:b/>
      <w:i/>
      <w:szCs w:val="24"/>
    </w:rPr>
  </w:style>
  <w:style w:type="paragraph" w:styleId="BalloonText">
    <w:name w:val="Balloon Text"/>
    <w:basedOn w:val="Normal"/>
    <w:link w:val="BalloonTextChar"/>
    <w:uiPriority w:val="99"/>
    <w:semiHidden/>
    <w:unhideWhenUsed/>
    <w:rsid w:val="002D668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6685"/>
    <w:rPr>
      <w:rFonts w:ascii="Segoe UI" w:hAnsi="Segoe UI" w:cs="Segoe UI"/>
      <w:sz w:val="18"/>
      <w:szCs w:val="18"/>
    </w:rPr>
  </w:style>
  <w:style w:type="paragraph" w:styleId="NoSpacing">
    <w:name w:val="No Spacing"/>
    <w:basedOn w:val="Normal"/>
    <w:uiPriority w:val="1"/>
    <w:qFormat/>
    <w:rsid w:val="002D6685"/>
    <w:pPr>
      <w:spacing w:before="0"/>
      <w:ind w:firstLine="720"/>
    </w:pPr>
    <w:rPr>
      <w:rFonts w:cs="Times New Roman"/>
    </w:rPr>
  </w:style>
  <w:style w:type="character" w:styleId="CommentReference">
    <w:name w:val="annotation reference"/>
    <w:basedOn w:val="DefaultParagraphFont"/>
    <w:uiPriority w:val="99"/>
    <w:semiHidden/>
    <w:unhideWhenUsed/>
    <w:rsid w:val="00951586"/>
    <w:rPr>
      <w:sz w:val="16"/>
      <w:szCs w:val="16"/>
    </w:rPr>
  </w:style>
  <w:style w:type="paragraph" w:styleId="CommentText">
    <w:name w:val="annotation text"/>
    <w:basedOn w:val="Normal"/>
    <w:link w:val="CommentTextChar"/>
    <w:uiPriority w:val="99"/>
    <w:unhideWhenUsed/>
    <w:rsid w:val="00951586"/>
    <w:pPr>
      <w:spacing w:line="240" w:lineRule="auto"/>
    </w:pPr>
    <w:rPr>
      <w:sz w:val="20"/>
      <w:szCs w:val="20"/>
    </w:rPr>
  </w:style>
  <w:style w:type="character" w:customStyle="1" w:styleId="CommentTextChar">
    <w:name w:val="Comment Text Char"/>
    <w:basedOn w:val="DefaultParagraphFont"/>
    <w:link w:val="CommentText"/>
    <w:uiPriority w:val="99"/>
    <w:rsid w:val="0095158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51586"/>
    <w:rPr>
      <w:b/>
      <w:bCs/>
    </w:rPr>
  </w:style>
  <w:style w:type="character" w:customStyle="1" w:styleId="CommentSubjectChar">
    <w:name w:val="Comment Subject Char"/>
    <w:basedOn w:val="CommentTextChar"/>
    <w:link w:val="CommentSubject"/>
    <w:uiPriority w:val="99"/>
    <w:semiHidden/>
    <w:rsid w:val="00951586"/>
    <w:rPr>
      <w:rFonts w:ascii="Times New Roman" w:hAnsi="Times New Roman"/>
      <w:b/>
      <w:bCs/>
      <w:sz w:val="20"/>
      <w:szCs w:val="20"/>
    </w:rPr>
  </w:style>
  <w:style w:type="paragraph" w:styleId="ListParagraph">
    <w:name w:val="List Paragraph"/>
    <w:basedOn w:val="Normal"/>
    <w:uiPriority w:val="34"/>
    <w:qFormat/>
    <w:rsid w:val="004D4399"/>
    <w:pPr>
      <w:ind w:left="720"/>
      <w:contextualSpacing/>
    </w:pPr>
  </w:style>
  <w:style w:type="paragraph" w:styleId="Revision">
    <w:name w:val="Revision"/>
    <w:hidden/>
    <w:uiPriority w:val="99"/>
    <w:semiHidden/>
    <w:rsid w:val="001559CD"/>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B361F1-3B56-4B18-B8F9-B9BB47D0D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1784</Words>
  <Characters>10171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Dalrymple</dc:creator>
  <cp:lastModifiedBy>Luis Garcia-Gancedo</cp:lastModifiedBy>
  <cp:revision>3</cp:revision>
  <dcterms:created xsi:type="dcterms:W3CDTF">2020-03-24T12:54:00Z</dcterms:created>
  <dcterms:modified xsi:type="dcterms:W3CDTF">2020-05-18T17:44:00Z</dcterms:modified>
</cp:coreProperties>
</file>