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150BB" w14:textId="77777777" w:rsidR="00472B4B" w:rsidRPr="00E87BB9" w:rsidRDefault="00472B4B" w:rsidP="00472B4B">
      <w:pPr>
        <w:pBdr>
          <w:top w:val="nil"/>
          <w:left w:val="nil"/>
          <w:bottom w:val="nil"/>
          <w:right w:val="nil"/>
          <w:between w:val="nil"/>
          <w:bar w:val="nil"/>
        </w:pBdr>
        <w:rPr>
          <w:rStyle w:val="Hyperlink1"/>
          <w:b/>
          <w:bCs/>
          <w:kern w:val="32"/>
          <w:szCs w:val="32"/>
        </w:rPr>
      </w:pPr>
      <w:r w:rsidRPr="00E87BB9">
        <w:rPr>
          <w:rStyle w:val="Hyperlink1"/>
          <w:rFonts w:cs="Times New Roman"/>
          <w:b/>
        </w:rPr>
        <w:t>APPENDIX</w:t>
      </w:r>
    </w:p>
    <w:p w14:paraId="096E0F45" w14:textId="77777777" w:rsidR="001541C3" w:rsidRDefault="00472B4B" w:rsidP="00472B4B">
      <w:pPr>
        <w:pStyle w:val="Body"/>
        <w:spacing w:line="360" w:lineRule="auto"/>
        <w:rPr>
          <w:rStyle w:val="None"/>
          <w:rFonts w:ascii="Times New Roman" w:hAnsi="Times New Roman" w:cs="Times New Roman"/>
          <w:color w:val="000000" w:themeColor="text1"/>
          <w:sz w:val="20"/>
          <w:szCs w:val="20"/>
          <w:u w:color="FF0000"/>
        </w:rPr>
      </w:pPr>
      <w:r w:rsidRPr="00823974">
        <w:rPr>
          <w:rStyle w:val="None"/>
          <w:rFonts w:ascii="Times New Roman" w:hAnsi="Times New Roman" w:cs="Times New Roman"/>
          <w:color w:val="000000" w:themeColor="text1"/>
          <w:sz w:val="20"/>
          <w:szCs w:val="20"/>
          <w:u w:color="FF0000"/>
        </w:rPr>
        <w:t>The GCs</w:t>
      </w:r>
      <w:r w:rsidRPr="00823974">
        <w:rPr>
          <w:rStyle w:val="None"/>
          <w:rFonts w:ascii="Times New Roman" w:hAnsi="Times New Roman" w:cs="Times New Roman"/>
          <w:b/>
          <w:bCs/>
          <w:color w:val="000000" w:themeColor="text1"/>
          <w:sz w:val="20"/>
          <w:szCs w:val="20"/>
          <w:u w:color="FF0000"/>
          <w:shd w:val="clear" w:color="auto" w:fill="FFFFFF"/>
        </w:rPr>
        <w:t xml:space="preserve"> </w:t>
      </w:r>
      <w:r w:rsidRPr="00823974">
        <w:rPr>
          <w:rStyle w:val="Hyperlink1"/>
          <w:rFonts w:ascii="Times New Roman" w:hAnsi="Times New Roman" w:cs="Times New Roman"/>
          <w:color w:val="000000" w:themeColor="text1"/>
          <w:sz w:val="20"/>
          <w:szCs w:val="20"/>
        </w:rPr>
        <w:t xml:space="preserve">used in The Villages are made by multiple manufacturers, including Mitsubishi, Yamaha, Club Car, and EZ-Go, and may be made with a 4- or 6-seat capacity in both gasoline engine and electric motor models. </w:t>
      </w:r>
      <w:r w:rsidRPr="00823974">
        <w:rPr>
          <w:rStyle w:val="None"/>
          <w:rFonts w:ascii="Times New Roman" w:hAnsi="Times New Roman" w:cs="Times New Roman"/>
          <w:color w:val="000000" w:themeColor="text1"/>
          <w:sz w:val="20"/>
          <w:szCs w:val="20"/>
        </w:rPr>
        <w:t xml:space="preserve">The typical 4-seat GC is approximately 1.2 m wide, 2.4 m long, and 1.8 m high, with a curb </w:t>
      </w:r>
      <w:r w:rsidRPr="00823974">
        <w:rPr>
          <w:rStyle w:val="None"/>
          <w:rFonts w:ascii="Times New Roman" w:hAnsi="Times New Roman" w:cs="Times New Roman"/>
          <w:color w:val="000000" w:themeColor="text1"/>
          <w:sz w:val="20"/>
          <w:szCs w:val="20"/>
          <w:u w:color="FF0000"/>
        </w:rPr>
        <w:t>weight of 408–</w:t>
      </w:r>
      <w:r w:rsidRPr="00823974">
        <w:rPr>
          <w:rStyle w:val="None"/>
          <w:rFonts w:ascii="Times New Roman" w:hAnsi="Times New Roman" w:cs="Times New Roman"/>
          <w:color w:val="000000" w:themeColor="text1"/>
          <w:sz w:val="20"/>
          <w:szCs w:val="20"/>
        </w:rPr>
        <w:t>476 kg</w:t>
      </w:r>
      <w:r w:rsidRPr="00823974">
        <w:rPr>
          <w:rStyle w:val="None"/>
          <w:rFonts w:ascii="Times New Roman" w:hAnsi="Times New Roman" w:cs="Times New Roman"/>
          <w:color w:val="000000" w:themeColor="text1"/>
          <w:sz w:val="20"/>
          <w:szCs w:val="20"/>
          <w:u w:color="FF0000"/>
        </w:rPr>
        <w:t xml:space="preserve">. GCs with 4- or 6-seat capacities have 2 seats that face backwards. </w:t>
      </w:r>
    </w:p>
    <w:p w14:paraId="37A42D3B" w14:textId="77777777" w:rsidR="001541C3" w:rsidRDefault="001541C3" w:rsidP="00472B4B">
      <w:pPr>
        <w:pStyle w:val="Body"/>
        <w:spacing w:line="360" w:lineRule="auto"/>
        <w:rPr>
          <w:rStyle w:val="None"/>
          <w:rFonts w:ascii="Times New Roman" w:hAnsi="Times New Roman" w:cs="Times New Roman"/>
          <w:color w:val="000000" w:themeColor="text1"/>
          <w:sz w:val="20"/>
          <w:szCs w:val="20"/>
          <w:u w:color="FF0000"/>
        </w:rPr>
      </w:pPr>
    </w:p>
    <w:p w14:paraId="3E1C24AE" w14:textId="77777777" w:rsidR="001541C3" w:rsidRPr="001541C3" w:rsidRDefault="001541C3" w:rsidP="00472B4B">
      <w:pPr>
        <w:pStyle w:val="Body"/>
        <w:spacing w:line="360" w:lineRule="auto"/>
        <w:rPr>
          <w:rStyle w:val="None"/>
          <w:rFonts w:ascii="Times New Roman" w:hAnsi="Times New Roman" w:cs="Times New Roman"/>
          <w:b/>
          <w:bCs/>
          <w:color w:val="000000" w:themeColor="text1"/>
          <w:sz w:val="22"/>
          <w:szCs w:val="22"/>
          <w:u w:color="FF0000"/>
        </w:rPr>
      </w:pPr>
      <w:r w:rsidRPr="001541C3">
        <w:rPr>
          <w:rStyle w:val="None"/>
          <w:rFonts w:ascii="Times New Roman" w:hAnsi="Times New Roman" w:cs="Times New Roman"/>
          <w:b/>
          <w:bCs/>
          <w:color w:val="000000" w:themeColor="text1"/>
          <w:sz w:val="22"/>
          <w:szCs w:val="22"/>
          <w:u w:color="FF0000"/>
        </w:rPr>
        <w:t>TABLES</w:t>
      </w:r>
    </w:p>
    <w:p w14:paraId="23A31D34" w14:textId="77777777" w:rsidR="001541C3" w:rsidRDefault="001541C3" w:rsidP="00472B4B">
      <w:pPr>
        <w:pStyle w:val="Body"/>
        <w:spacing w:line="360" w:lineRule="auto"/>
        <w:rPr>
          <w:rStyle w:val="None"/>
          <w:rFonts w:ascii="Times New Roman" w:hAnsi="Times New Roman" w:cs="Times New Roman"/>
          <w:color w:val="000000" w:themeColor="text1"/>
          <w:sz w:val="20"/>
          <w:szCs w:val="20"/>
          <w:u w:color="FF0000"/>
        </w:rPr>
      </w:pPr>
    </w:p>
    <w:p w14:paraId="43A40A97" w14:textId="46619149" w:rsidR="001541C3" w:rsidRPr="007E061E" w:rsidRDefault="001541C3" w:rsidP="001541C3">
      <w:pPr>
        <w:pStyle w:val="Body"/>
        <w:spacing w:after="120" w:line="360" w:lineRule="auto"/>
        <w:rPr>
          <w:rStyle w:val="None"/>
          <w:rFonts w:ascii="Times New Roman" w:hAnsi="Times New Roman" w:cs="Times New Roman"/>
          <w:b/>
          <w:sz w:val="22"/>
          <w:szCs w:val="20"/>
        </w:rPr>
      </w:pPr>
      <w:r w:rsidRPr="007E061E">
        <w:rPr>
          <w:rStyle w:val="Strong"/>
          <w:rFonts w:ascii="Times New Roman" w:hAnsi="Times New Roman" w:cs="Times New Roman"/>
          <w:sz w:val="22"/>
          <w:szCs w:val="20"/>
        </w:rPr>
        <w:t>Table A</w:t>
      </w:r>
      <w:r w:rsidRPr="007E061E">
        <w:rPr>
          <w:rStyle w:val="None"/>
          <w:rFonts w:ascii="Times New Roman" w:hAnsi="Times New Roman" w:cs="Times New Roman"/>
          <w:b/>
          <w:sz w:val="22"/>
          <w:szCs w:val="20"/>
        </w:rPr>
        <w:t xml:space="preserve"> : Description of GC Crashes from July 1, 2011 to July 1, 2019</w:t>
      </w:r>
    </w:p>
    <w:tbl>
      <w:tblPr>
        <w:tblW w:w="71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70"/>
        <w:gridCol w:w="3258"/>
      </w:tblGrid>
      <w:tr w:rsidR="001541C3" w:rsidRPr="00A957BB" w14:paraId="566E4927" w14:textId="77777777" w:rsidTr="00D46068">
        <w:trPr>
          <w:trHeight w:val="290"/>
        </w:trPr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70D43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</w:tc>
        <w:tc>
          <w:tcPr>
            <w:tcW w:w="3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484FA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Totals (%)</w:t>
            </w:r>
          </w:p>
        </w:tc>
      </w:tr>
      <w:tr w:rsidR="001541C3" w:rsidRPr="00A957BB" w14:paraId="75266710" w14:textId="77777777" w:rsidTr="00D46068">
        <w:trPr>
          <w:trHeight w:val="295"/>
        </w:trPr>
        <w:tc>
          <w:tcPr>
            <w:tcW w:w="38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9514E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Age (n=391)</w:t>
            </w:r>
          </w:p>
        </w:tc>
        <w:tc>
          <w:tcPr>
            <w:tcW w:w="3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10C00" w14:textId="77777777" w:rsidR="001541C3" w:rsidRPr="00A957BB" w:rsidRDefault="001541C3" w:rsidP="00D4606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541C3" w:rsidRPr="00A957BB" w14:paraId="650DF5E3" w14:textId="77777777" w:rsidTr="00D46068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CD5CF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&lt;50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34FEC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44 (11%)</w:t>
            </w:r>
          </w:p>
        </w:tc>
      </w:tr>
      <w:tr w:rsidR="001541C3" w:rsidRPr="00A957BB" w14:paraId="5BE1F716" w14:textId="77777777" w:rsidTr="00D46068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EE78B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51-60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5B6C8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35 (9%)</w:t>
            </w:r>
          </w:p>
        </w:tc>
      </w:tr>
      <w:tr w:rsidR="001541C3" w:rsidRPr="00A957BB" w14:paraId="7462B7EC" w14:textId="77777777" w:rsidTr="00D46068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0FE6F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61-70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D89F8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111 (28%)</w:t>
            </w:r>
          </w:p>
        </w:tc>
      </w:tr>
      <w:tr w:rsidR="001541C3" w:rsidRPr="00A957BB" w14:paraId="2D6AA21D" w14:textId="77777777" w:rsidTr="00D46068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6C7DB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71-80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DDE6B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141 (36%)</w:t>
            </w:r>
          </w:p>
        </w:tc>
      </w:tr>
      <w:tr w:rsidR="001541C3" w:rsidRPr="00A957BB" w14:paraId="64AD1FD2" w14:textId="77777777" w:rsidTr="00D46068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9F418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&gt;81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63A73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60 (15%)</w:t>
            </w:r>
          </w:p>
        </w:tc>
      </w:tr>
      <w:tr w:rsidR="001541C3" w:rsidRPr="00A957BB" w14:paraId="4CBBDC99" w14:textId="77777777" w:rsidTr="00D46068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AB785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Gender (n=542)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F494E" w14:textId="77777777" w:rsidR="001541C3" w:rsidRPr="00A957BB" w:rsidRDefault="001541C3" w:rsidP="00D4606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541C3" w:rsidRPr="00A957BB" w14:paraId="2D94369D" w14:textId="77777777" w:rsidTr="00D46068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ABA50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A7C02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342 (63%)</w:t>
            </w:r>
          </w:p>
        </w:tc>
      </w:tr>
      <w:tr w:rsidR="001541C3" w:rsidRPr="00A957BB" w14:paraId="2D2F6B62" w14:textId="77777777" w:rsidTr="00D46068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FEF5E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 xml:space="preserve">Female 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EA3D1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200 (37%)</w:t>
            </w:r>
          </w:p>
        </w:tc>
      </w:tr>
      <w:tr w:rsidR="001541C3" w:rsidRPr="00A957BB" w14:paraId="501750BF" w14:textId="77777777" w:rsidTr="00D46068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75C01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Location (n=870)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15E31" w14:textId="77777777" w:rsidR="001541C3" w:rsidRPr="00A957BB" w:rsidRDefault="001541C3" w:rsidP="00D4606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541C3" w:rsidRPr="00A957BB" w14:paraId="5FD93F26" w14:textId="77777777" w:rsidTr="00D46068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18C26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Street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A62B2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548 (63%)</w:t>
            </w:r>
          </w:p>
        </w:tc>
      </w:tr>
      <w:tr w:rsidR="001541C3" w:rsidRPr="00A957BB" w14:paraId="720EC90C" w14:textId="77777777" w:rsidTr="00D46068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871A4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Golf cart path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C7C70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244 (28%)</w:t>
            </w:r>
          </w:p>
        </w:tc>
      </w:tr>
      <w:tr w:rsidR="001541C3" w:rsidRPr="00A957BB" w14:paraId="459C0404" w14:textId="77777777" w:rsidTr="00D46068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3D4EF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Parking lot/home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CAD2B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70 (8%)</w:t>
            </w:r>
          </w:p>
        </w:tc>
      </w:tr>
      <w:tr w:rsidR="001541C3" w:rsidRPr="00A957BB" w14:paraId="2FE47A1C" w14:textId="77777777" w:rsidTr="00D46068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2EC8A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Golf course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930DE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8 (1%)</w:t>
            </w:r>
          </w:p>
        </w:tc>
      </w:tr>
      <w:tr w:rsidR="001541C3" w:rsidRPr="00A957BB" w14:paraId="20E774F7" w14:textId="77777777" w:rsidTr="00D46068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D4642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Crash</w:t>
            </w: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 xml:space="preserve"> type (n=875)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D33C2" w14:textId="77777777" w:rsidR="001541C3" w:rsidRPr="00A957BB" w:rsidRDefault="001541C3" w:rsidP="00D4606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541C3" w:rsidRPr="00A957BB" w14:paraId="6D1BA8A4" w14:textId="77777777" w:rsidTr="00D46068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EF940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Stationary object collision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CFE11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169 (19%)</w:t>
            </w:r>
          </w:p>
        </w:tc>
      </w:tr>
      <w:tr w:rsidR="001541C3" w:rsidRPr="00A957BB" w14:paraId="78FF7E6C" w14:textId="77777777" w:rsidTr="00D46068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18CF2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lastRenderedPageBreak/>
              <w:t>Car/truck collision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8F302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248 (28%)</w:t>
            </w:r>
          </w:p>
        </w:tc>
      </w:tr>
      <w:tr w:rsidR="001541C3" w:rsidRPr="00A957BB" w14:paraId="415C0500" w14:textId="77777777" w:rsidTr="00D46068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1E83F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Rollover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7B232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85 (10%)</w:t>
            </w:r>
          </w:p>
        </w:tc>
      </w:tr>
      <w:tr w:rsidR="001541C3" w:rsidRPr="00A957BB" w14:paraId="354995BC" w14:textId="77777777" w:rsidTr="00D46068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8ACDE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GC collision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C6849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83 (10%)</w:t>
            </w:r>
          </w:p>
        </w:tc>
      </w:tr>
      <w:tr w:rsidR="001541C3" w:rsidRPr="00A957BB" w14:paraId="1FA40CF5" w14:textId="77777777" w:rsidTr="00D46068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21646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No collision/rollover ejection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D787C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35 (4%)</w:t>
            </w:r>
          </w:p>
        </w:tc>
      </w:tr>
      <w:tr w:rsidR="001541C3" w:rsidRPr="00A957BB" w14:paraId="7601169B" w14:textId="77777777" w:rsidTr="00D46068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1D9A9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Bicycle collision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80D40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17 (2%)</w:t>
            </w:r>
          </w:p>
        </w:tc>
      </w:tr>
      <w:tr w:rsidR="001541C3" w:rsidRPr="00A957BB" w14:paraId="788E5111" w14:textId="77777777" w:rsidTr="00D46068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D27A7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Pedestrian collision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70883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9 (1%)</w:t>
            </w:r>
          </w:p>
        </w:tc>
      </w:tr>
      <w:tr w:rsidR="001541C3" w:rsidRPr="00A957BB" w14:paraId="62473AF1" w14:textId="77777777" w:rsidTr="00D46068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90452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 xml:space="preserve">Other/unknown </w:t>
            </w: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77D1A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229 (27%)</w:t>
            </w:r>
          </w:p>
        </w:tc>
      </w:tr>
      <w:tr w:rsidR="001541C3" w:rsidRPr="00A957BB" w14:paraId="2E6F0F84" w14:textId="77777777" w:rsidTr="00D46068">
        <w:trPr>
          <w:trHeight w:val="58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D09FD" w14:textId="741EFAA4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 xml:space="preserve">Alcohol-related GC </w:t>
            </w:r>
            <w:r w:rsidR="00125709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 xml:space="preserve">crashes </w:t>
            </w:r>
            <w:r w:rsidR="00125709"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(</w:t>
            </w: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 xml:space="preserve">n=25) 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511F7" w14:textId="77777777" w:rsidR="001541C3" w:rsidRPr="00A957BB" w:rsidRDefault="001541C3" w:rsidP="00D4606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541C3" w:rsidRPr="00A957BB" w14:paraId="669D2DE8" w14:textId="77777777" w:rsidTr="00D46068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30C2C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Percent of total cases</w:t>
            </w:r>
            <w:r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None"/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6F04A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2.86%</w:t>
            </w:r>
          </w:p>
        </w:tc>
      </w:tr>
      <w:tr w:rsidR="001541C3" w:rsidRPr="00A957BB" w14:paraId="7C46D5E0" w14:textId="77777777" w:rsidTr="00D46068">
        <w:trPr>
          <w:trHeight w:val="295"/>
        </w:trPr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71431" w14:textId="77777777" w:rsidR="001541C3" w:rsidRDefault="001541C3" w:rsidP="00D46068">
            <w:pPr>
              <w:pStyle w:val="Body"/>
              <w:spacing w:line="360" w:lineRule="auto"/>
              <w:rPr>
                <w:rStyle w:val="None"/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 xml:space="preserve">Average age </w:t>
            </w:r>
            <w:r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 xml:space="preserve">of driver in alcohol-related </w:t>
            </w:r>
          </w:p>
          <w:p w14:paraId="3FCE7FC1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GC crashes (standard deviation)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F4CA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52.5 (12.3)</w:t>
            </w:r>
          </w:p>
        </w:tc>
      </w:tr>
    </w:tbl>
    <w:p w14:paraId="4487F32D" w14:textId="77777777" w:rsidR="001541C3" w:rsidRPr="00A957BB" w:rsidRDefault="001541C3" w:rsidP="001541C3">
      <w:pPr>
        <w:pStyle w:val="Body"/>
        <w:widowControl w:val="0"/>
        <w:spacing w:after="120" w:line="360" w:lineRule="auto"/>
        <w:rPr>
          <w:rStyle w:val="None"/>
          <w:rFonts w:ascii="Times New Roman" w:hAnsi="Times New Roman" w:cs="Times New Roman"/>
          <w:sz w:val="20"/>
          <w:szCs w:val="20"/>
        </w:rPr>
      </w:pPr>
    </w:p>
    <w:p w14:paraId="2E88E87B" w14:textId="77777777" w:rsidR="001541C3" w:rsidRDefault="001541C3" w:rsidP="001541C3">
      <w:pPr>
        <w:pStyle w:val="Body"/>
        <w:spacing w:before="120" w:after="120" w:line="360" w:lineRule="auto"/>
        <w:rPr>
          <w:rStyle w:val="None"/>
          <w:rFonts w:ascii="Times New Roman" w:hAnsi="Times New Roman" w:cs="Times New Roman"/>
          <w:sz w:val="20"/>
          <w:szCs w:val="20"/>
        </w:rPr>
      </w:pPr>
      <w:r w:rsidRPr="00A957BB">
        <w:rPr>
          <w:rStyle w:val="EndnoteReference"/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57BB">
        <w:rPr>
          <w:rStyle w:val="None"/>
          <w:rFonts w:ascii="Times New Roman" w:hAnsi="Times New Roman" w:cs="Times New Roman"/>
          <w:sz w:val="20"/>
          <w:szCs w:val="20"/>
        </w:rPr>
        <w:t>Details</w:t>
      </w:r>
      <w:r>
        <w:rPr>
          <w:rStyle w:val="None"/>
          <w:rFonts w:ascii="Times New Roman" w:hAnsi="Times New Roman" w:cs="Times New Roman"/>
          <w:sz w:val="20"/>
          <w:szCs w:val="20"/>
        </w:rPr>
        <w:t xml:space="preserve"> of the crash type were not m</w:t>
      </w:r>
      <w:r w:rsidRPr="00A957BB">
        <w:rPr>
          <w:rStyle w:val="None"/>
          <w:rFonts w:ascii="Times New Roman" w:hAnsi="Times New Roman" w:cs="Times New Roman"/>
          <w:sz w:val="20"/>
          <w:szCs w:val="20"/>
        </w:rPr>
        <w:t>ade available in the report</w:t>
      </w:r>
    </w:p>
    <w:p w14:paraId="554B7612" w14:textId="77777777" w:rsidR="001541C3" w:rsidRPr="00C60FD1" w:rsidRDefault="001541C3" w:rsidP="001541C3">
      <w:pPr>
        <w:pStyle w:val="Body"/>
        <w:spacing w:before="120" w:after="120" w:line="360" w:lineRule="auto"/>
        <w:rPr>
          <w:rStyle w:val="None"/>
          <w:rFonts w:ascii="Times New Roman" w:eastAsia="Arial" w:hAnsi="Times New Roman" w:cs="Times New Roman"/>
          <w:sz w:val="20"/>
          <w:szCs w:val="20"/>
        </w:rPr>
      </w:pPr>
      <w:r>
        <w:rPr>
          <w:rStyle w:val="None"/>
          <w:rFonts w:ascii="Times New Roman" w:eastAsia="Arial" w:hAnsi="Times New Roman" w:cs="Times New Roman"/>
          <w:sz w:val="20"/>
          <w:szCs w:val="20"/>
          <w:vertAlign w:val="superscript"/>
        </w:rPr>
        <w:t>b</w:t>
      </w:r>
      <w:r>
        <w:rPr>
          <w:rStyle w:val="None"/>
          <w:rFonts w:ascii="Times New Roman" w:eastAsia="Arial" w:hAnsi="Times New Roman" w:cs="Times New Roman"/>
          <w:sz w:val="20"/>
          <w:szCs w:val="20"/>
        </w:rPr>
        <w:t xml:space="preserve"> This minimum value assumes that no alcohol was involved in crashes where alcohol-involvement was not mentioned in the report.</w:t>
      </w:r>
    </w:p>
    <w:p w14:paraId="4AFD8401" w14:textId="77777777" w:rsidR="001541C3" w:rsidRPr="00823974" w:rsidRDefault="001541C3" w:rsidP="001541C3">
      <w:pPr>
        <w:pStyle w:val="Body"/>
        <w:spacing w:line="360" w:lineRule="auto"/>
        <w:rPr>
          <w:rStyle w:val="None"/>
          <w:rFonts w:ascii="Times New Roman" w:hAnsi="Times New Roman" w:cs="Times New Roman"/>
          <w:color w:val="000000" w:themeColor="text1"/>
          <w:sz w:val="20"/>
          <w:szCs w:val="20"/>
          <w:u w:color="FF0000"/>
        </w:rPr>
      </w:pPr>
      <w:r w:rsidRPr="00823974">
        <w:rPr>
          <w:rStyle w:val="None"/>
          <w:rFonts w:ascii="Times New Roman" w:hAnsi="Times New Roman" w:cs="Times New Roman"/>
          <w:color w:val="000000" w:themeColor="text1"/>
          <w:sz w:val="20"/>
          <w:szCs w:val="20"/>
          <w:u w:color="FF0000"/>
        </w:rPr>
        <w:t>Legend–Table 3A: GC crashes in relation to gender, location, age, and crash type</w:t>
      </w:r>
    </w:p>
    <w:p w14:paraId="7ABDF0AD" w14:textId="77777777" w:rsidR="001541C3" w:rsidRDefault="001541C3" w:rsidP="001541C3"/>
    <w:p w14:paraId="362832B9" w14:textId="23D89C3C" w:rsidR="001541C3" w:rsidRPr="007E061E" w:rsidRDefault="00472B4B" w:rsidP="001541C3">
      <w:pPr>
        <w:pStyle w:val="Body"/>
        <w:spacing w:after="120" w:line="360" w:lineRule="auto"/>
        <w:rPr>
          <w:rStyle w:val="None"/>
          <w:rFonts w:ascii="Times New Roman" w:hAnsi="Times New Roman" w:cs="Times New Roman"/>
          <w:b/>
          <w:sz w:val="22"/>
          <w:szCs w:val="20"/>
        </w:rPr>
      </w:pPr>
      <w:r w:rsidRPr="00823974">
        <w:rPr>
          <w:rStyle w:val="None"/>
          <w:rFonts w:ascii="Times New Roman" w:hAnsi="Times New Roman" w:cs="Times New Roman"/>
          <w:color w:val="000000" w:themeColor="text1"/>
          <w:sz w:val="20"/>
          <w:szCs w:val="20"/>
          <w:u w:color="FF0000"/>
        </w:rPr>
        <w:br/>
      </w:r>
      <w:r w:rsidR="001541C3" w:rsidRPr="007E061E">
        <w:rPr>
          <w:rStyle w:val="Strong"/>
          <w:rFonts w:ascii="Times New Roman" w:hAnsi="Times New Roman" w:cs="Times New Roman"/>
          <w:sz w:val="22"/>
          <w:szCs w:val="20"/>
        </w:rPr>
        <w:t xml:space="preserve">Table </w:t>
      </w:r>
      <w:r w:rsidR="004A1F08">
        <w:rPr>
          <w:rStyle w:val="Strong"/>
          <w:rFonts w:ascii="Times New Roman" w:hAnsi="Times New Roman" w:cs="Times New Roman"/>
          <w:sz w:val="22"/>
          <w:szCs w:val="20"/>
        </w:rPr>
        <w:t>B</w:t>
      </w:r>
      <w:bookmarkStart w:id="0" w:name="_GoBack"/>
      <w:bookmarkEnd w:id="0"/>
      <w:r w:rsidR="001541C3" w:rsidRPr="007E061E">
        <w:rPr>
          <w:rStyle w:val="None"/>
          <w:rFonts w:ascii="Times New Roman" w:hAnsi="Times New Roman" w:cs="Times New Roman"/>
          <w:b/>
          <w:sz w:val="22"/>
          <w:szCs w:val="20"/>
        </w:rPr>
        <w:t xml:space="preserve">: Injury Severity of GC </w:t>
      </w:r>
      <w:r w:rsidR="001541C3" w:rsidRPr="00823974">
        <w:rPr>
          <w:rStyle w:val="None"/>
          <w:rFonts w:ascii="Times New Roman" w:hAnsi="Times New Roman" w:cs="Times New Roman"/>
          <w:b/>
          <w:color w:val="000000" w:themeColor="text1"/>
          <w:sz w:val="22"/>
          <w:szCs w:val="20"/>
        </w:rPr>
        <w:t xml:space="preserve">Crashes </w:t>
      </w:r>
      <w:r w:rsidR="001541C3" w:rsidRPr="007E061E">
        <w:rPr>
          <w:rStyle w:val="None"/>
          <w:rFonts w:ascii="Times New Roman" w:hAnsi="Times New Roman" w:cs="Times New Roman"/>
          <w:b/>
          <w:sz w:val="22"/>
          <w:szCs w:val="20"/>
        </w:rPr>
        <w:t xml:space="preserve">with respect to Ejection Type </w:t>
      </w:r>
    </w:p>
    <w:tbl>
      <w:tblPr>
        <w:tblW w:w="97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51"/>
        <w:gridCol w:w="1638"/>
        <w:gridCol w:w="1943"/>
        <w:gridCol w:w="2088"/>
        <w:gridCol w:w="1801"/>
      </w:tblGrid>
      <w:tr w:rsidR="001541C3" w:rsidRPr="00A957BB" w14:paraId="2BD4539F" w14:textId="77777777" w:rsidTr="00D46068">
        <w:trPr>
          <w:trHeight w:val="575"/>
        </w:trPr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2EA418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Ejection total </w:t>
            </w:r>
            <w:r w:rsidRPr="00A957BB">
              <w:rPr>
                <w:rStyle w:val="None"/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A1218" w14:textId="77777777" w:rsidR="001541C3" w:rsidRPr="00A957BB" w:rsidRDefault="001541C3" w:rsidP="00D46068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b/>
                <w:bCs/>
                <w:sz w:val="20"/>
                <w:szCs w:val="20"/>
              </w:rPr>
              <w:t>Injury Severity</w:t>
            </w:r>
          </w:p>
        </w:tc>
        <w:tc>
          <w:tcPr>
            <w:tcW w:w="18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7519B4" w14:textId="77777777" w:rsidR="001541C3" w:rsidRPr="00A957BB" w:rsidRDefault="001541C3" w:rsidP="00D46068">
            <w:pPr>
              <w:pStyle w:val="Body"/>
              <w:spacing w:line="360" w:lineRule="auto"/>
              <w:rPr>
                <w:rStyle w:val="None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67F951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1541C3" w:rsidRPr="00A957BB" w14:paraId="76DB1457" w14:textId="77777777" w:rsidTr="00D46068">
        <w:trPr>
          <w:trHeight w:val="575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8C146" w14:textId="77777777" w:rsidR="001541C3" w:rsidRPr="00A957BB" w:rsidRDefault="001541C3" w:rsidP="00D460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B4AFB" w14:textId="77777777" w:rsidR="001541C3" w:rsidRDefault="001541C3" w:rsidP="00D46068">
            <w:pPr>
              <w:pStyle w:val="Body"/>
              <w:spacing w:line="360" w:lineRule="auto"/>
              <w:rPr>
                <w:rStyle w:val="None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Minor </w:t>
            </w:r>
          </w:p>
          <w:p w14:paraId="43B873FF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b/>
                <w:bCs/>
                <w:sz w:val="20"/>
                <w:szCs w:val="20"/>
              </w:rPr>
              <w:t>(0–1)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6DE5F" w14:textId="77777777" w:rsidR="001541C3" w:rsidRDefault="001541C3" w:rsidP="00D46068">
            <w:pPr>
              <w:pStyle w:val="Body"/>
              <w:spacing w:line="360" w:lineRule="auto"/>
              <w:rPr>
                <w:rStyle w:val="None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Hospitalization </w:t>
            </w:r>
          </w:p>
          <w:p w14:paraId="37CDA918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b/>
                <w:bCs/>
                <w:sz w:val="20"/>
                <w:szCs w:val="20"/>
              </w:rPr>
              <w:t>(2–3)</w:t>
            </w: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CDB9A" w14:textId="77777777" w:rsidR="001541C3" w:rsidRDefault="001541C3" w:rsidP="00D46068">
            <w:pPr>
              <w:pStyle w:val="Body"/>
              <w:spacing w:line="360" w:lineRule="auto"/>
              <w:rPr>
                <w:rStyle w:val="None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Disabled/Dead </w:t>
            </w:r>
          </w:p>
          <w:p w14:paraId="1EE193A4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b/>
                <w:bCs/>
                <w:sz w:val="20"/>
                <w:szCs w:val="20"/>
              </w:rPr>
              <w:t>(4–5)</w:t>
            </w:r>
          </w:p>
        </w:tc>
        <w:tc>
          <w:tcPr>
            <w:tcW w:w="18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9B53F" w14:textId="77777777" w:rsidR="001541C3" w:rsidRPr="00A957BB" w:rsidRDefault="001541C3" w:rsidP="00D4606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541C3" w:rsidRPr="00A957BB" w14:paraId="615376B0" w14:textId="77777777" w:rsidTr="00D46068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8415F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0A56A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90 (31%)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6AD6C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161 (55%)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7E0DF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43 (15%)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AC6A4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294 (27%)</w:t>
            </w:r>
          </w:p>
        </w:tc>
      </w:tr>
      <w:tr w:rsidR="001541C3" w:rsidRPr="00A957BB" w14:paraId="73BC60D2" w14:textId="77777777" w:rsidTr="00D46068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D3A8B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BC2F5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474 (60%)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31063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290 (37%)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88892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26 (3%)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C2460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790 (73%)</w:t>
            </w:r>
          </w:p>
        </w:tc>
      </w:tr>
      <w:tr w:rsidR="001541C3" w:rsidRPr="00A957BB" w14:paraId="33BC3862" w14:textId="77777777" w:rsidTr="00D46068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B5280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8B5DE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564 (52%)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5D66B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451 (42%)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FBFBC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69 (6%)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B4252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1084</w:t>
            </w:r>
          </w:p>
        </w:tc>
      </w:tr>
      <w:tr w:rsidR="001541C3" w:rsidRPr="00A957BB" w14:paraId="00E2334C" w14:textId="77777777" w:rsidTr="00D46068">
        <w:trPr>
          <w:trHeight w:val="86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BC411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Ejection-stationary Object collision </w:t>
            </w: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DB06B" w14:textId="77777777" w:rsidR="001541C3" w:rsidRPr="00A957BB" w:rsidRDefault="001541C3" w:rsidP="00D460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5D676" w14:textId="77777777" w:rsidR="001541C3" w:rsidRPr="00A957BB" w:rsidRDefault="001541C3" w:rsidP="00D460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11B52" w14:textId="77777777" w:rsidR="001541C3" w:rsidRPr="00A957BB" w:rsidRDefault="001541C3" w:rsidP="00D460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20A4E" w14:textId="77777777" w:rsidR="001541C3" w:rsidRPr="00A957BB" w:rsidRDefault="001541C3" w:rsidP="00D4606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541C3" w:rsidRPr="00A957BB" w14:paraId="34D686F3" w14:textId="77777777" w:rsidTr="00D46068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69FBD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AC0D2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18 (30%)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40F3E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28 (47%)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98BAD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14 (23%)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030A2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60 (32%)</w:t>
            </w:r>
          </w:p>
        </w:tc>
      </w:tr>
      <w:tr w:rsidR="001541C3" w:rsidRPr="00A957BB" w14:paraId="61C26573" w14:textId="77777777" w:rsidTr="00D46068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3F8C9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C0F10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71 (56%)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A9CB2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53 (42%)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A483C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3 (2%)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1EB07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127 (68%)</w:t>
            </w:r>
          </w:p>
        </w:tc>
      </w:tr>
      <w:tr w:rsidR="001541C3" w:rsidRPr="00A957BB" w14:paraId="7E13011F" w14:textId="77777777" w:rsidTr="00D46068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ADAEB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D6A07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89 (48%)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93D5F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81 (43%)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45382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17 (9%)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46E95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</w:tr>
      <w:tr w:rsidR="001541C3" w:rsidRPr="00A957BB" w14:paraId="4EB2DB03" w14:textId="77777777" w:rsidTr="00D46068">
        <w:trPr>
          <w:trHeight w:val="58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F0EE7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 xml:space="preserve">Ejection-car or truck Collision </w:t>
            </w: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B8B82" w14:textId="77777777" w:rsidR="001541C3" w:rsidRPr="00A957BB" w:rsidRDefault="001541C3" w:rsidP="00D460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3E108" w14:textId="77777777" w:rsidR="001541C3" w:rsidRPr="00A957BB" w:rsidRDefault="001541C3" w:rsidP="00D460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CAB79" w14:textId="77777777" w:rsidR="001541C3" w:rsidRPr="00A957BB" w:rsidRDefault="001541C3" w:rsidP="00D460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B2A4F" w14:textId="77777777" w:rsidR="001541C3" w:rsidRPr="00A957BB" w:rsidRDefault="001541C3" w:rsidP="00D4606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541C3" w:rsidRPr="00A957BB" w14:paraId="429B32B0" w14:textId="77777777" w:rsidTr="00D46068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8D26A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CFB8F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17 (18%)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B68A2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65 (67%)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9AD7F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15 (16%)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1C624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97 (30.7%)</w:t>
            </w:r>
          </w:p>
        </w:tc>
      </w:tr>
      <w:tr w:rsidR="001541C3" w:rsidRPr="00A957BB" w14:paraId="4F1490FA" w14:textId="77777777" w:rsidTr="00D46068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45B15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729F7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161 (73.5%)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1D3CD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44 (20%)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74F0B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14 (6%)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01E3A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219 (69.3%)</w:t>
            </w:r>
          </w:p>
        </w:tc>
      </w:tr>
      <w:tr w:rsidR="001541C3" w:rsidRPr="00A957BB" w14:paraId="64B3E416" w14:textId="77777777" w:rsidTr="00D46068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AB50A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021E4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178 (56%)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0F8D3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109 (34%)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69E0D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29 (9%)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A4C0A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</w:tr>
      <w:tr w:rsidR="001541C3" w:rsidRPr="00A957BB" w14:paraId="21E72D3B" w14:textId="77777777" w:rsidTr="00D46068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212A1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 xml:space="preserve">Ejection-rollover </w:t>
            </w: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1A73E" w14:textId="77777777" w:rsidR="001541C3" w:rsidRPr="00A957BB" w:rsidRDefault="001541C3" w:rsidP="00D460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9DFEB" w14:textId="77777777" w:rsidR="001541C3" w:rsidRPr="00A957BB" w:rsidRDefault="001541C3" w:rsidP="00D460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037E1" w14:textId="77777777" w:rsidR="001541C3" w:rsidRPr="00A957BB" w:rsidRDefault="001541C3" w:rsidP="00D460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C6FBB" w14:textId="77777777" w:rsidR="001541C3" w:rsidRPr="00A957BB" w:rsidRDefault="001541C3" w:rsidP="00D4606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541C3" w:rsidRPr="00A957BB" w14:paraId="14807857" w14:textId="77777777" w:rsidTr="00D46068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EFCAC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03894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14 (44%)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738B7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17 (53%)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7B219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1 (3%)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85F66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32 (30%)</w:t>
            </w:r>
          </w:p>
        </w:tc>
      </w:tr>
      <w:tr w:rsidR="001541C3" w:rsidRPr="00A957BB" w14:paraId="0DDDEDB4" w14:textId="77777777" w:rsidTr="00D46068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5627F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06127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36 (48%)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BE5CA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38 (51%)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B614F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1 (1%)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0CEE4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75 (70%)</w:t>
            </w:r>
          </w:p>
        </w:tc>
      </w:tr>
      <w:tr w:rsidR="001541C3" w:rsidRPr="00A957BB" w14:paraId="4598DA1F" w14:textId="77777777" w:rsidTr="00D46068">
        <w:trPr>
          <w:trHeight w:val="295"/>
        </w:trPr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4C2F2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78C5D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50 (47%)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0AC71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55 (51%)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45106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2 (2%)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55BA1" w14:textId="77777777" w:rsidR="001541C3" w:rsidRPr="00A957BB" w:rsidRDefault="001541C3" w:rsidP="00D46068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7BB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</w:tbl>
    <w:p w14:paraId="13F4BEAB" w14:textId="77777777" w:rsidR="001541C3" w:rsidRPr="00A957BB" w:rsidRDefault="001541C3" w:rsidP="001541C3">
      <w:pPr>
        <w:pStyle w:val="Body"/>
        <w:widowControl w:val="0"/>
        <w:spacing w:after="120" w:line="360" w:lineRule="auto"/>
        <w:rPr>
          <w:rStyle w:val="None"/>
          <w:rFonts w:ascii="Times New Roman" w:hAnsi="Times New Roman" w:cs="Times New Roman"/>
          <w:sz w:val="20"/>
          <w:szCs w:val="20"/>
        </w:rPr>
      </w:pPr>
    </w:p>
    <w:p w14:paraId="2F43582D" w14:textId="77777777" w:rsidR="001541C3" w:rsidRPr="00A957BB" w:rsidRDefault="001541C3" w:rsidP="001541C3">
      <w:pPr>
        <w:pStyle w:val="Body"/>
        <w:spacing w:line="360" w:lineRule="auto"/>
        <w:rPr>
          <w:rStyle w:val="EndnoteReference"/>
          <w:rFonts w:ascii="Times New Roman" w:hAnsi="Times New Roman" w:cs="Times New Roman"/>
          <w:sz w:val="20"/>
          <w:szCs w:val="20"/>
        </w:rPr>
      </w:pPr>
    </w:p>
    <w:p w14:paraId="459A76B6" w14:textId="77777777" w:rsidR="001541C3" w:rsidRPr="00A957BB" w:rsidRDefault="001541C3" w:rsidP="001541C3">
      <w:pPr>
        <w:pStyle w:val="Body"/>
        <w:spacing w:line="360" w:lineRule="auto"/>
        <w:rPr>
          <w:rStyle w:val="None"/>
          <w:rFonts w:ascii="Times New Roman" w:hAnsi="Times New Roman" w:cs="Times New Roman"/>
          <w:sz w:val="20"/>
          <w:szCs w:val="20"/>
        </w:rPr>
      </w:pPr>
      <w:r w:rsidRPr="00A957BB">
        <w:rPr>
          <w:rStyle w:val="EndnoteReference"/>
          <w:rFonts w:ascii="Times New Roman" w:hAnsi="Times New Roman" w:cs="Times New Roman"/>
          <w:sz w:val="20"/>
          <w:szCs w:val="20"/>
        </w:rPr>
        <w:t>a</w:t>
      </w:r>
      <w:r>
        <w:rPr>
          <w:rStyle w:val="None"/>
          <w:rFonts w:ascii="Times New Roman" w:hAnsi="Times New Roman" w:cs="Times New Roman"/>
          <w:sz w:val="20"/>
          <w:szCs w:val="20"/>
        </w:rPr>
        <w:t xml:space="preserve"> GC crashes</w:t>
      </w:r>
      <w:r w:rsidRPr="00A957BB">
        <w:rPr>
          <w:rStyle w:val="None"/>
          <w:rFonts w:ascii="Times New Roman" w:hAnsi="Times New Roman" w:cs="Times New Roman"/>
          <w:sz w:val="20"/>
          <w:szCs w:val="20"/>
        </w:rPr>
        <w:t xml:space="preserve"> showing numbers of people injured by ejection from the vehicle during the observation period of July 1, 2011 to July 1, 2019</w:t>
      </w:r>
    </w:p>
    <w:p w14:paraId="51C8FF14" w14:textId="77777777" w:rsidR="001541C3" w:rsidRPr="00A957BB" w:rsidRDefault="001541C3" w:rsidP="001541C3">
      <w:pPr>
        <w:pStyle w:val="Body"/>
        <w:spacing w:line="360" w:lineRule="auto"/>
        <w:rPr>
          <w:rStyle w:val="None"/>
          <w:rFonts w:ascii="Times New Roman" w:hAnsi="Times New Roman" w:cs="Times New Roman"/>
          <w:sz w:val="20"/>
          <w:szCs w:val="20"/>
        </w:rPr>
      </w:pPr>
      <w:r w:rsidRPr="00A957BB">
        <w:rPr>
          <w:rStyle w:val="EndnoteReference"/>
          <w:rFonts w:ascii="Times New Roman" w:hAnsi="Times New Roman" w:cs="Times New Roman"/>
          <w:sz w:val="20"/>
          <w:szCs w:val="20"/>
        </w:rPr>
        <w:t>b</w:t>
      </w:r>
      <w:r w:rsidRPr="00A957BB">
        <w:rPr>
          <w:rStyle w:val="None"/>
          <w:rFonts w:ascii="Times New Roman" w:hAnsi="Times New Roman" w:cs="Times New Roman"/>
          <w:sz w:val="20"/>
          <w:szCs w:val="20"/>
        </w:rPr>
        <w:t xml:space="preserve"> Severity of injury in relation to ejecti</w:t>
      </w:r>
      <w:r>
        <w:rPr>
          <w:rStyle w:val="None"/>
          <w:rFonts w:ascii="Times New Roman" w:hAnsi="Times New Roman" w:cs="Times New Roman"/>
          <w:sz w:val="20"/>
          <w:szCs w:val="20"/>
        </w:rPr>
        <w:t>on from the GC when the crash</w:t>
      </w:r>
      <w:r w:rsidRPr="00A957BB">
        <w:rPr>
          <w:rStyle w:val="None"/>
          <w:rFonts w:ascii="Times New Roman" w:hAnsi="Times New Roman" w:cs="Times New Roman"/>
          <w:sz w:val="20"/>
          <w:szCs w:val="20"/>
        </w:rPr>
        <w:t xml:space="preserve"> was due to collision with a stationary object. Percentages reflect injury in relation to either ejection or lack of ejection from the GC.</w:t>
      </w:r>
    </w:p>
    <w:p w14:paraId="26EE8FBD" w14:textId="77777777" w:rsidR="001541C3" w:rsidRPr="00A957BB" w:rsidRDefault="001541C3" w:rsidP="001541C3">
      <w:pPr>
        <w:pStyle w:val="Body"/>
        <w:spacing w:line="360" w:lineRule="auto"/>
        <w:rPr>
          <w:rStyle w:val="None"/>
          <w:rFonts w:ascii="Times New Roman" w:hAnsi="Times New Roman" w:cs="Times New Roman"/>
          <w:sz w:val="20"/>
          <w:szCs w:val="20"/>
        </w:rPr>
      </w:pPr>
      <w:r w:rsidRPr="00A957BB">
        <w:rPr>
          <w:rStyle w:val="EndnoteReference"/>
          <w:rFonts w:ascii="Times New Roman" w:hAnsi="Times New Roman" w:cs="Times New Roman"/>
          <w:sz w:val="20"/>
          <w:szCs w:val="20"/>
        </w:rPr>
        <w:t xml:space="preserve">c </w:t>
      </w:r>
      <w:r w:rsidRPr="00A957BB">
        <w:rPr>
          <w:rStyle w:val="None"/>
          <w:rFonts w:ascii="Times New Roman" w:hAnsi="Times New Roman" w:cs="Times New Roman"/>
          <w:sz w:val="20"/>
          <w:szCs w:val="20"/>
        </w:rPr>
        <w:t xml:space="preserve">Severity of injury in relation to ejection from the GC in a collision with a car or truck. </w:t>
      </w:r>
    </w:p>
    <w:p w14:paraId="290D0799" w14:textId="77777777" w:rsidR="001541C3" w:rsidRPr="00823974" w:rsidRDefault="001541C3" w:rsidP="001541C3">
      <w:pPr>
        <w:pStyle w:val="Body"/>
        <w:spacing w:line="360" w:lineRule="auto"/>
        <w:rPr>
          <w:rStyle w:val="None"/>
          <w:rFonts w:ascii="Times New Roman" w:hAnsi="Times New Roman" w:cs="Times New Roman"/>
          <w:color w:val="000000" w:themeColor="text1"/>
          <w:sz w:val="20"/>
          <w:szCs w:val="20"/>
        </w:rPr>
      </w:pPr>
      <w:r w:rsidRPr="00A957BB">
        <w:rPr>
          <w:rStyle w:val="EndnoteReference"/>
          <w:rFonts w:ascii="Times New Roman" w:hAnsi="Times New Roman" w:cs="Times New Roman"/>
          <w:sz w:val="20"/>
          <w:szCs w:val="20"/>
        </w:rPr>
        <w:t xml:space="preserve">d </w:t>
      </w:r>
      <w:r w:rsidRPr="00823974">
        <w:rPr>
          <w:rStyle w:val="None"/>
          <w:rFonts w:ascii="Times New Roman" w:hAnsi="Times New Roman" w:cs="Times New Roman"/>
          <w:color w:val="000000" w:themeColor="text1"/>
          <w:sz w:val="20"/>
          <w:szCs w:val="20"/>
        </w:rPr>
        <w:t xml:space="preserve">GC crashes as a result of rollover showing severity of injury and ejection from the vehicle. </w:t>
      </w:r>
    </w:p>
    <w:p w14:paraId="73E94C6D" w14:textId="77777777" w:rsidR="001541C3" w:rsidRPr="00823974" w:rsidRDefault="001541C3" w:rsidP="001541C3">
      <w:pPr>
        <w:pStyle w:val="Body"/>
        <w:spacing w:before="240" w:line="360" w:lineRule="auto"/>
        <w:rPr>
          <w:rStyle w:val="None"/>
          <w:rFonts w:ascii="Times New Roman" w:hAnsi="Times New Roman" w:cs="Times New Roman"/>
          <w:color w:val="000000" w:themeColor="text1"/>
          <w:sz w:val="20"/>
          <w:szCs w:val="20"/>
          <w:u w:color="FF0000"/>
        </w:rPr>
      </w:pPr>
      <w:r w:rsidRPr="00823974">
        <w:rPr>
          <w:rStyle w:val="None"/>
          <w:rFonts w:ascii="Times New Roman" w:hAnsi="Times New Roman" w:cs="Times New Roman"/>
          <w:b/>
          <w:bCs/>
          <w:color w:val="000000" w:themeColor="text1"/>
          <w:sz w:val="20"/>
          <w:szCs w:val="20"/>
          <w:u w:color="FF0000"/>
        </w:rPr>
        <w:t>Legend</w:t>
      </w:r>
      <w:r w:rsidRPr="00823974">
        <w:rPr>
          <w:rStyle w:val="None"/>
          <w:rFonts w:ascii="Times New Roman" w:hAnsi="Times New Roman" w:cs="Times New Roman"/>
          <w:color w:val="000000" w:themeColor="text1"/>
          <w:sz w:val="20"/>
          <w:szCs w:val="20"/>
          <w:u w:color="FF0000"/>
        </w:rPr>
        <w:t>–</w:t>
      </w:r>
      <w:r w:rsidRPr="00823974">
        <w:rPr>
          <w:rStyle w:val="None"/>
          <w:rFonts w:ascii="Times New Roman" w:hAnsi="Times New Roman" w:cs="Times New Roman"/>
          <w:b/>
          <w:bCs/>
          <w:color w:val="000000" w:themeColor="text1"/>
          <w:sz w:val="20"/>
          <w:szCs w:val="20"/>
          <w:u w:color="FF0000"/>
        </w:rPr>
        <w:t>Table 5A</w:t>
      </w:r>
      <w:r w:rsidRPr="00823974">
        <w:rPr>
          <w:rStyle w:val="None"/>
          <w:rFonts w:ascii="Times New Roman" w:hAnsi="Times New Roman" w:cs="Times New Roman"/>
          <w:color w:val="000000" w:themeColor="text1"/>
          <w:sz w:val="20"/>
          <w:szCs w:val="20"/>
          <w:u w:color="FF0000"/>
        </w:rPr>
        <w:t>: Injury severity depicted as a function of crash ejection type and rollover from July 1, 2011 to July 1, 2019</w:t>
      </w:r>
    </w:p>
    <w:p w14:paraId="5825D540" w14:textId="77777777" w:rsidR="001541C3" w:rsidRPr="00415AD1" w:rsidRDefault="001541C3" w:rsidP="001541C3">
      <w:pPr>
        <w:pStyle w:val="Body"/>
        <w:rPr>
          <w:rStyle w:val="None"/>
          <w:rFonts w:ascii="Times New Roman" w:hAnsi="Times New Roman" w:cs="Times New Roman"/>
          <w:color w:val="FF0000"/>
          <w:u w:color="FF0000"/>
        </w:rPr>
      </w:pPr>
    </w:p>
    <w:p w14:paraId="3E72E891" w14:textId="77777777" w:rsidR="001541C3" w:rsidRDefault="001541C3" w:rsidP="001541C3"/>
    <w:p w14:paraId="5B8315FC" w14:textId="5950E73A" w:rsidR="00472B4B" w:rsidRPr="00823974" w:rsidRDefault="00472B4B" w:rsidP="00472B4B">
      <w:pPr>
        <w:pStyle w:val="Body"/>
        <w:spacing w:line="360" w:lineRule="auto"/>
        <w:rPr>
          <w:rStyle w:val="None"/>
          <w:rFonts w:ascii="Times New Roman" w:eastAsia="Times New Roman" w:hAnsi="Times New Roman" w:cs="Times New Roman"/>
          <w:color w:val="000000" w:themeColor="text1"/>
          <w:sz w:val="20"/>
          <w:szCs w:val="20"/>
          <w:u w:color="FF0000"/>
        </w:rPr>
      </w:pPr>
    </w:p>
    <w:p w14:paraId="4EEF4EA5" w14:textId="77777777" w:rsidR="00472B4B" w:rsidRPr="00415AD1" w:rsidRDefault="00472B4B" w:rsidP="00472B4B">
      <w:pPr>
        <w:pStyle w:val="Heading1"/>
      </w:pPr>
      <w:r w:rsidRPr="00415AD1">
        <w:lastRenderedPageBreak/>
        <w:t>BIBLIOGRAPHY</w:t>
      </w:r>
    </w:p>
    <w:p w14:paraId="4DA8F193" w14:textId="77777777" w:rsidR="00472B4B" w:rsidRPr="004A0211" w:rsidRDefault="00472B4B" w:rsidP="00472B4B">
      <w:pPr>
        <w:pStyle w:val="References"/>
        <w:rPr>
          <w:sz w:val="20"/>
          <w:szCs w:val="20"/>
        </w:rPr>
      </w:pPr>
      <w:r w:rsidRPr="004A0211">
        <w:rPr>
          <w:sz w:val="20"/>
          <w:szCs w:val="20"/>
        </w:rPr>
        <w:t xml:space="preserve">Property Owners’ Association. 2012. A Case for Golf Cart Seatbelts. [accessed 2019 July 31]. https://www.poa4us.org/golfcart_crashes_2.html. </w:t>
      </w:r>
    </w:p>
    <w:p w14:paraId="654861E0" w14:textId="77777777" w:rsidR="00472B4B" w:rsidRPr="004A0211" w:rsidRDefault="00472B4B" w:rsidP="00472B4B">
      <w:pPr>
        <w:pStyle w:val="References"/>
        <w:rPr>
          <w:sz w:val="20"/>
          <w:szCs w:val="20"/>
        </w:rPr>
      </w:pPr>
      <w:r w:rsidRPr="004A0211">
        <w:rPr>
          <w:sz w:val="20"/>
          <w:szCs w:val="20"/>
        </w:rPr>
        <w:t xml:space="preserve">Golf Cart Resource (GCR). 2020. Golf cart state laws and regulations. [accessed 2019 July 31]. Golfcartesource.com/golf-cart-state-laws-regulations/ </w:t>
      </w:r>
      <w:hyperlink r:id="rId6" w:history="1">
        <w:r w:rsidRPr="004A0211">
          <w:rPr>
            <w:rStyle w:val="Hyperlink0"/>
            <w:sz w:val="20"/>
            <w:szCs w:val="20"/>
          </w:rPr>
          <w:t>https://golfcartresource.com/golf-cart-state-laws-regulations</w:t>
        </w:r>
      </w:hyperlink>
      <w:r w:rsidRPr="004A0211">
        <w:rPr>
          <w:sz w:val="20"/>
          <w:szCs w:val="20"/>
        </w:rPr>
        <w:t xml:space="preserve">  </w:t>
      </w:r>
    </w:p>
    <w:p w14:paraId="24DFC789" w14:textId="77777777" w:rsidR="00472B4B" w:rsidRDefault="00472B4B" w:rsidP="00472B4B">
      <w:pPr>
        <w:pStyle w:val="References"/>
        <w:rPr>
          <w:sz w:val="20"/>
          <w:szCs w:val="20"/>
        </w:rPr>
      </w:pPr>
      <w:r w:rsidRPr="004A0211">
        <w:rPr>
          <w:sz w:val="20"/>
          <w:szCs w:val="20"/>
        </w:rPr>
        <w:t>Sumter County Sheriff’s Office. 2017-2019. Highway Safety &amp; Motor Vehicles Traffic Crash</w:t>
      </w:r>
      <w:r w:rsidRPr="004A0211">
        <w:rPr>
          <w:i/>
          <w:iCs/>
          <w:sz w:val="20"/>
          <w:szCs w:val="20"/>
        </w:rPr>
        <w:t xml:space="preserve">. </w:t>
      </w:r>
      <w:r w:rsidRPr="004A0211">
        <w:rPr>
          <w:sz w:val="20"/>
          <w:szCs w:val="20"/>
        </w:rPr>
        <w:t>Tallahassee, FL</w:t>
      </w:r>
    </w:p>
    <w:p w14:paraId="37F6A198" w14:textId="77777777" w:rsidR="00472B4B" w:rsidRPr="004A0211" w:rsidRDefault="00472B4B" w:rsidP="00472B4B">
      <w:pPr>
        <w:pStyle w:val="References"/>
        <w:rPr>
          <w:sz w:val="20"/>
          <w:szCs w:val="20"/>
        </w:rPr>
      </w:pPr>
      <w:r w:rsidRPr="004A0211">
        <w:rPr>
          <w:sz w:val="20"/>
          <w:szCs w:val="20"/>
        </w:rPr>
        <w:t xml:space="preserve">Seat Belts Plus. 2020. Golf Cart &amp; Go Kart Seat Belts. [accessed 2019 July 31]. </w:t>
      </w:r>
      <w:hyperlink r:id="rId7" w:history="1">
        <w:r w:rsidRPr="004A0211">
          <w:rPr>
            <w:rStyle w:val="Hyperlink0"/>
            <w:sz w:val="20"/>
            <w:szCs w:val="20"/>
          </w:rPr>
          <w:t>https://www.seatbeltsplus.com/category/golf-cart-go-kart-seat-belts.html</w:t>
        </w:r>
      </w:hyperlink>
      <w:r w:rsidRPr="004A0211">
        <w:rPr>
          <w:sz w:val="20"/>
          <w:szCs w:val="20"/>
        </w:rPr>
        <w:t xml:space="preserve"> </w:t>
      </w:r>
    </w:p>
    <w:p w14:paraId="0BA2215C" w14:textId="77777777" w:rsidR="00472B4B" w:rsidRPr="004A0211" w:rsidRDefault="00472B4B" w:rsidP="00472B4B">
      <w:pPr>
        <w:pStyle w:val="References"/>
        <w:rPr>
          <w:sz w:val="20"/>
          <w:szCs w:val="20"/>
          <w:u w:val="single"/>
        </w:rPr>
      </w:pPr>
      <w:r w:rsidRPr="004A0211">
        <w:rPr>
          <w:sz w:val="20"/>
          <w:szCs w:val="20"/>
        </w:rPr>
        <w:t xml:space="preserve">Mohn T. 2017. The (Mostly) Safe Golf Cart. The New York Times. [accessed 2019 July 31]. https://www.nytimes.com/2017/03/04/business/retirement/the-mostly-safe-golf-cart.html. </w:t>
      </w:r>
    </w:p>
    <w:p w14:paraId="65E6716E" w14:textId="77777777" w:rsidR="00472B4B" w:rsidRPr="004A0211" w:rsidRDefault="00472B4B" w:rsidP="00472B4B">
      <w:pPr>
        <w:pStyle w:val="References"/>
        <w:rPr>
          <w:sz w:val="20"/>
          <w:szCs w:val="20"/>
        </w:rPr>
      </w:pPr>
      <w:r w:rsidRPr="004A0211">
        <w:rPr>
          <w:sz w:val="20"/>
          <w:szCs w:val="20"/>
        </w:rPr>
        <w:t>The Villages, FL: Public Safety Home. The Villages Community Development Districts. 2011. The Villages Public Safety Department Incident Type Report and Property. [accessed 2019 July 31]</w:t>
      </w:r>
      <w:r w:rsidRPr="004A0211">
        <w:rPr>
          <w:i/>
          <w:iCs/>
          <w:sz w:val="20"/>
          <w:szCs w:val="20"/>
        </w:rPr>
        <w:t xml:space="preserve">. </w:t>
      </w:r>
      <w:r w:rsidRPr="004A0211">
        <w:rPr>
          <w:sz w:val="20"/>
          <w:szCs w:val="20"/>
        </w:rPr>
        <w:t xml:space="preserve">https://www.districtgov.org/departments/Public-Safety/public- safety.aspx. </w:t>
      </w:r>
    </w:p>
    <w:p w14:paraId="549A6CD7" w14:textId="77777777" w:rsidR="00472B4B" w:rsidRPr="004A0211" w:rsidRDefault="00472B4B" w:rsidP="00472B4B">
      <w:pPr>
        <w:pStyle w:val="References"/>
        <w:rPr>
          <w:sz w:val="20"/>
          <w:szCs w:val="20"/>
          <w:u w:val="single"/>
        </w:rPr>
      </w:pPr>
      <w:r w:rsidRPr="004A0211">
        <w:rPr>
          <w:sz w:val="20"/>
          <w:szCs w:val="20"/>
        </w:rPr>
        <w:t>U.S. Consumer Product Safety Commission. 2019. The National Electronic Injury Surveillance System: a tool for researchers. Washington DC. U.S. Consumer product safety Commission 2019</w:t>
      </w:r>
      <w:r w:rsidRPr="004A0211">
        <w:rPr>
          <w:sz w:val="20"/>
          <w:szCs w:val="20"/>
          <w:u w:val="single"/>
        </w:rPr>
        <w:t xml:space="preserve"> </w:t>
      </w:r>
    </w:p>
    <w:p w14:paraId="434E52D1" w14:textId="77777777" w:rsidR="00472B4B" w:rsidRPr="004A0211" w:rsidRDefault="00472B4B" w:rsidP="00472B4B">
      <w:pPr>
        <w:pStyle w:val="References"/>
        <w:rPr>
          <w:sz w:val="20"/>
          <w:szCs w:val="20"/>
        </w:rPr>
      </w:pPr>
      <w:r w:rsidRPr="004A0211">
        <w:rPr>
          <w:sz w:val="20"/>
          <w:szCs w:val="20"/>
        </w:rPr>
        <w:t xml:space="preserve">Villages-News. [accessed 2013 October – 2019 June]. </w:t>
      </w:r>
      <w:hyperlink r:id="rId8" w:history="1">
        <w:r w:rsidRPr="004A0211">
          <w:rPr>
            <w:rStyle w:val="Hyperlink0"/>
            <w:sz w:val="20"/>
            <w:szCs w:val="20"/>
          </w:rPr>
          <w:t>https://www.villages-news</w:t>
        </w:r>
      </w:hyperlink>
      <w:r w:rsidRPr="004A0211">
        <w:rPr>
          <w:sz w:val="20"/>
          <w:szCs w:val="20"/>
        </w:rPr>
        <w:t xml:space="preserve">.com/category/breaking/. </w:t>
      </w:r>
    </w:p>
    <w:p w14:paraId="2ECBE62E" w14:textId="77777777" w:rsidR="00472B4B" w:rsidRPr="00415AD1" w:rsidRDefault="00472B4B" w:rsidP="00472B4B">
      <w:pPr>
        <w:pStyle w:val="References"/>
      </w:pPr>
    </w:p>
    <w:p w14:paraId="5F4A4CC6" w14:textId="77777777" w:rsidR="00472B4B" w:rsidRPr="00415AD1" w:rsidRDefault="00472B4B" w:rsidP="00472B4B">
      <w:pPr>
        <w:pStyle w:val="References"/>
      </w:pPr>
    </w:p>
    <w:p w14:paraId="40702E82" w14:textId="77777777" w:rsidR="00472B4B" w:rsidRPr="00415AD1" w:rsidRDefault="00472B4B" w:rsidP="00472B4B">
      <w:pPr>
        <w:pStyle w:val="Body"/>
      </w:pPr>
    </w:p>
    <w:p w14:paraId="2AB4FE41" w14:textId="77777777" w:rsidR="00472B4B" w:rsidRPr="00415AD1" w:rsidRDefault="00472B4B" w:rsidP="00472B4B">
      <w:pPr>
        <w:pStyle w:val="Body"/>
      </w:pPr>
    </w:p>
    <w:p w14:paraId="7C8AD2F5" w14:textId="77777777" w:rsidR="00472B4B" w:rsidRPr="00415AD1" w:rsidRDefault="00472B4B" w:rsidP="00472B4B">
      <w:pPr>
        <w:pStyle w:val="Body"/>
        <w:rPr>
          <w:rStyle w:val="None"/>
          <w:rFonts w:ascii="Times New Roman" w:eastAsia="Times New Roman" w:hAnsi="Times New Roman" w:cs="Times New Roman"/>
          <w:color w:val="FF0000"/>
          <w:sz w:val="22"/>
          <w:szCs w:val="22"/>
          <w:u w:color="FF0000"/>
        </w:rPr>
      </w:pPr>
    </w:p>
    <w:p w14:paraId="74CC0EEA" w14:textId="77777777" w:rsidR="00472B4B" w:rsidRDefault="00472B4B" w:rsidP="00472B4B">
      <w:pPr>
        <w:pBdr>
          <w:top w:val="nil"/>
          <w:left w:val="nil"/>
          <w:bottom w:val="nil"/>
          <w:right w:val="nil"/>
          <w:between w:val="nil"/>
          <w:bar w:val="nil"/>
        </w:pBdr>
        <w:rPr>
          <w:rStyle w:val="Hyperlink1"/>
          <w:b/>
          <w:bCs/>
          <w:kern w:val="32"/>
          <w:szCs w:val="32"/>
        </w:rPr>
      </w:pPr>
      <w:r>
        <w:rPr>
          <w:rStyle w:val="Hyperlink1"/>
        </w:rPr>
        <w:br w:type="page"/>
      </w:r>
    </w:p>
    <w:p w14:paraId="53652868" w14:textId="77777777" w:rsidR="00867FB3" w:rsidRDefault="00867FB3"/>
    <w:sectPr w:rsidR="00867FB3" w:rsidSect="006B34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C1A82" w14:textId="77777777" w:rsidR="00760888" w:rsidRDefault="00760888" w:rsidP="004A1F08">
      <w:pPr>
        <w:spacing w:after="0" w:line="240" w:lineRule="auto"/>
      </w:pPr>
      <w:r>
        <w:separator/>
      </w:r>
    </w:p>
  </w:endnote>
  <w:endnote w:type="continuationSeparator" w:id="0">
    <w:p w14:paraId="088EE4EA" w14:textId="77777777" w:rsidR="00760888" w:rsidRDefault="00760888" w:rsidP="004A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97733" w14:textId="77777777" w:rsidR="004A1F08" w:rsidRDefault="004A1F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81AC0" w14:textId="041AA439" w:rsidR="004A1F08" w:rsidRDefault="004A1F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1AD9AE" wp14:editId="5DF17A23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62a842c0bd27a4083138bb42" descr="{&quot;HashCode&quot;:156159341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FEF0F7" w14:textId="50EB6466" w:rsidR="004A1F08" w:rsidRPr="004A1F08" w:rsidRDefault="004A1F08" w:rsidP="004A1F08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4A1F08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1AD9AE" id="_x0000_t202" coordsize="21600,21600" o:spt="202" path="m,l,21600r21600,l21600,xe">
              <v:stroke joinstyle="miter"/>
              <v:path gradientshapeok="t" o:connecttype="rect"/>
            </v:shapetype>
            <v:shape id="MSIPCM62a842c0bd27a4083138bb42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Bdr3IWGgMAADcGAAAOAAAAAAAAAAAAAAAA&#10;AC4CAABkcnMvZTJvRG9jLnhtbFBLAQItABQABgAIAAAAIQC7QO0x3AAAAAsBAAAPAAAAAAAAAAAA&#10;AAAAAHQFAABkcnMvZG93bnJldi54bWxQSwUGAAAAAAQABADzAAAAfQYAAAAA&#10;" o:allowincell="f" filled="f" stroked="f" strokeweight=".5pt">
              <v:fill o:detectmouseclick="t"/>
              <v:textbox inset="20pt,0,,0">
                <w:txbxContent>
                  <w:p w14:paraId="79FEF0F7" w14:textId="50EB6466" w:rsidR="004A1F08" w:rsidRPr="004A1F08" w:rsidRDefault="004A1F08" w:rsidP="004A1F08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4A1F08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0115F" w14:textId="77777777" w:rsidR="004A1F08" w:rsidRDefault="004A1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119D7" w14:textId="77777777" w:rsidR="00760888" w:rsidRDefault="00760888" w:rsidP="004A1F08">
      <w:pPr>
        <w:spacing w:after="0" w:line="240" w:lineRule="auto"/>
      </w:pPr>
      <w:r>
        <w:separator/>
      </w:r>
    </w:p>
  </w:footnote>
  <w:footnote w:type="continuationSeparator" w:id="0">
    <w:p w14:paraId="70B72511" w14:textId="77777777" w:rsidR="00760888" w:rsidRDefault="00760888" w:rsidP="004A1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30DE0" w14:textId="77777777" w:rsidR="004A1F08" w:rsidRDefault="004A1F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4C335" w14:textId="77777777" w:rsidR="004A1F08" w:rsidRDefault="004A1F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74DC1" w14:textId="77777777" w:rsidR="004A1F08" w:rsidRDefault="004A1F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B4B"/>
    <w:rsid w:val="00125709"/>
    <w:rsid w:val="001541C3"/>
    <w:rsid w:val="00472B4B"/>
    <w:rsid w:val="004A1F08"/>
    <w:rsid w:val="006B3468"/>
    <w:rsid w:val="00760888"/>
    <w:rsid w:val="0081461A"/>
    <w:rsid w:val="0086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6B265"/>
  <w15:docId w15:val="{B63501D0-8FB6-400C-AE27-749DDA05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2B4B"/>
  </w:style>
  <w:style w:type="paragraph" w:styleId="Heading1">
    <w:name w:val="heading 1"/>
    <w:basedOn w:val="Normal"/>
    <w:next w:val="Normal"/>
    <w:link w:val="Heading1Char"/>
    <w:qFormat/>
    <w:rsid w:val="00472B4B"/>
    <w:pPr>
      <w:keepNext/>
      <w:spacing w:before="360" w:after="60" w:line="360" w:lineRule="auto"/>
      <w:ind w:right="567"/>
      <w:contextualSpacing/>
      <w:outlineLvl w:val="0"/>
    </w:pPr>
    <w:rPr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2B4B"/>
    <w:rPr>
      <w:b/>
      <w:bCs/>
      <w:kern w:val="32"/>
      <w:szCs w:val="32"/>
    </w:rPr>
  </w:style>
  <w:style w:type="paragraph" w:customStyle="1" w:styleId="Body">
    <w:name w:val="Body"/>
    <w:rsid w:val="00472B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472B4B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472B4B"/>
  </w:style>
  <w:style w:type="character" w:customStyle="1" w:styleId="Hyperlink1">
    <w:name w:val="Hyperlink.1"/>
    <w:basedOn w:val="None"/>
    <w:rsid w:val="00472B4B"/>
    <w:rPr>
      <w:shd w:val="clear" w:color="auto" w:fill="FFFFFF"/>
    </w:rPr>
  </w:style>
  <w:style w:type="paragraph" w:customStyle="1" w:styleId="References">
    <w:name w:val="References"/>
    <w:basedOn w:val="Normal"/>
    <w:qFormat/>
    <w:rsid w:val="00472B4B"/>
    <w:pPr>
      <w:spacing w:before="120" w:line="360" w:lineRule="auto"/>
      <w:ind w:left="720" w:hanging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2B4B"/>
    <w:rPr>
      <w:color w:val="0000FF" w:themeColor="hyperlink"/>
      <w:u w:val="single"/>
    </w:rPr>
  </w:style>
  <w:style w:type="character" w:styleId="EndnoteReference">
    <w:name w:val="endnote reference"/>
    <w:basedOn w:val="DefaultParagraphFont"/>
    <w:rsid w:val="001541C3"/>
    <w:rPr>
      <w:vertAlign w:val="superscript"/>
    </w:rPr>
  </w:style>
  <w:style w:type="character" w:styleId="Strong">
    <w:name w:val="Strong"/>
    <w:rsid w:val="001541C3"/>
    <w:rPr>
      <w:rFonts w:ascii="Calibri" w:eastAsia="Calibri" w:hAnsi="Calibri" w:cs="Calibri"/>
      <w:b/>
      <w:bCs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A1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F08"/>
  </w:style>
  <w:style w:type="paragraph" w:styleId="Footer">
    <w:name w:val="footer"/>
    <w:basedOn w:val="Normal"/>
    <w:link w:val="FooterChar"/>
    <w:uiPriority w:val="99"/>
    <w:unhideWhenUsed/>
    <w:rsid w:val="004A1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llages-new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seatbeltsplus.com/category/golf-cart-go-kart-seat-belts.htm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olfcartresource.com/golf-cart-state-laws-regulation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Castaldo</dc:creator>
  <cp:lastModifiedBy>Jones, Jason</cp:lastModifiedBy>
  <cp:revision>4</cp:revision>
  <dcterms:created xsi:type="dcterms:W3CDTF">2020-07-02T19:46:00Z</dcterms:created>
  <dcterms:modified xsi:type="dcterms:W3CDTF">2020-07-21T13:50:00Z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Jason.Jones@informa.com</vt:lpwstr>
  </property>
  <property fmtid="{D5CDD505-2E9C-101B-9397-08002B2CF9AE}" pid="5" name="MSIP_Label_181c070e-054b-4d1c-ba4c-fc70b099192e_SetDate">
    <vt:lpwstr>2020-07-21T13:50:24.0832636Z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4cd3a5eb-d94b-493e-9ced-f59b3e4ee9ed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Jason.Jones@informa.com</vt:lpwstr>
  </property>
  <property fmtid="{D5CDD505-2E9C-101B-9397-08002B2CF9AE}" pid="13" name="MSIP_Label_2bbab825-a111-45e4-86a1-18cee0005896_SetDate">
    <vt:lpwstr>2020-07-21T13:50:24.0832636Z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4cd3a5eb-d94b-493e-9ced-f59b3e4ee9ed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