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spacing w:line="360" w:lineRule="auto"/>
        <w:jc w:val="center"/>
        <w:rPr>
          <w:b/>
          <w:sz w:val="28"/>
          <w:szCs w:val="28"/>
        </w:rPr>
      </w:pPr>
      <w:r>
        <w:rPr>
          <w:b/>
          <w:sz w:val="28"/>
          <w:szCs w:val="28"/>
        </w:rPr>
        <w:t xml:space="preserve">Supplementary information for </w:t>
      </w:r>
    </w:p>
    <w:p>
      <w:pPr>
        <w:spacing w:line="360" w:lineRule="auto"/>
        <w:jc w:val="center"/>
        <w:rPr>
          <w:b/>
          <w:sz w:val="28"/>
          <w:szCs w:val="28"/>
        </w:rPr>
      </w:pPr>
      <w:r>
        <w:rPr>
          <w:b/>
          <w:sz w:val="28"/>
          <w:szCs w:val="28"/>
        </w:rPr>
        <w:t>Potential interferences in photolytic nitrogen dioxide converters for ambient air monitoring: Evaluation of a prototype</w:t>
      </w:r>
    </w:p>
    <w:p>
      <w:pPr>
        <w:spacing w:line="360" w:lineRule="auto"/>
      </w:pPr>
    </w:p>
    <w:p>
      <w:pPr>
        <w:spacing w:line="360" w:lineRule="auto"/>
        <w:jc w:val="center"/>
      </w:pPr>
      <w:r>
        <w:t xml:space="preserve">Nick Jordan, Natasha M. Garner, Laura C. </w:t>
      </w:r>
      <w:proofErr w:type="spellStart"/>
      <w:r>
        <w:t>Matchett,</w:t>
      </w:r>
      <w:r>
        <w:rPr>
          <w:vertAlign w:val="superscript"/>
        </w:rPr>
        <w:t>a</w:t>
      </w:r>
      <w:proofErr w:type="spellEnd"/>
      <w:r>
        <w:t xml:space="preserve"> Travis W. Tokarek, and Hans D. Osthoff*</w:t>
      </w:r>
    </w:p>
    <w:p>
      <w:pPr>
        <w:spacing w:line="360" w:lineRule="auto"/>
        <w:jc w:val="center"/>
      </w:pPr>
      <w:r>
        <w:t>Department of Chemistry, 2500 University Drive NW, University of Calgary, Calgary, AB T2N 1N4, Canada</w:t>
      </w:r>
    </w:p>
    <w:p>
      <w:pPr>
        <w:spacing w:line="360" w:lineRule="auto"/>
        <w:jc w:val="center"/>
      </w:pPr>
    </w:p>
    <w:p>
      <w:pPr>
        <w:spacing w:line="360" w:lineRule="auto"/>
        <w:jc w:val="center"/>
      </w:pPr>
      <w:r>
        <w:t xml:space="preserve">Charles A. Odame-Ankrah, Charles E. Grimm, Kelly N. </w:t>
      </w:r>
      <w:proofErr w:type="spellStart"/>
      <w:r>
        <w:t>Pickrell</w:t>
      </w:r>
      <w:proofErr w:type="spellEnd"/>
      <w:r>
        <w:t xml:space="preserve">, Christopher </w:t>
      </w:r>
      <w:proofErr w:type="spellStart"/>
      <w:r>
        <w:t>Swainson</w:t>
      </w:r>
      <w:proofErr w:type="spellEnd"/>
      <w:r>
        <w:t>, and Brian W. Rosentreter</w:t>
      </w:r>
    </w:p>
    <w:p>
      <w:pPr>
        <w:spacing w:line="360" w:lineRule="auto"/>
        <w:jc w:val="center"/>
      </w:pPr>
      <w:r>
        <w:t>Global Analyzer Systems Ltd., #5, 1411 – 25th Avenue N.E., Calgary AB T2E 7L6, Canada</w:t>
      </w:r>
    </w:p>
    <w:p>
      <w:pPr>
        <w:spacing w:line="360" w:lineRule="auto"/>
        <w:jc w:val="center"/>
      </w:pPr>
    </w:p>
    <w:p>
      <w:pPr>
        <w:spacing w:line="480" w:lineRule="auto"/>
        <w:jc w:val="center"/>
      </w:pPr>
      <w:r>
        <w:rPr>
          <w:vertAlign w:val="superscript"/>
        </w:rPr>
        <w:t>*</w:t>
      </w:r>
      <w:r>
        <w:t xml:space="preserve"> Author to whom correspondence should be addressed</w:t>
      </w:r>
      <w:r>
        <w:br/>
        <w:t xml:space="preserve">email </w:t>
      </w:r>
      <w:hyperlink r:id="rId8" w:history="1">
        <w:r>
          <w:rPr>
            <w:rStyle w:val="Hyperlink"/>
          </w:rPr>
          <w:t>hosthoff@ucalgary.ca</w:t>
        </w:r>
      </w:hyperlink>
      <w:r>
        <w:t>, phone 403-220-8689</w:t>
      </w:r>
    </w:p>
    <w:p>
      <w:pPr>
        <w:spacing w:line="480" w:lineRule="auto"/>
        <w:jc w:val="center"/>
      </w:pPr>
    </w:p>
    <w:p>
      <w:pPr>
        <w:spacing w:line="480" w:lineRule="auto"/>
        <w:jc w:val="center"/>
      </w:pPr>
      <w:proofErr w:type="spellStart"/>
      <w:r>
        <w:rPr>
          <w:vertAlign w:val="superscript"/>
        </w:rPr>
        <w:t>a</w:t>
      </w:r>
      <w:r>
        <w:t>now</w:t>
      </w:r>
      <w:proofErr w:type="spellEnd"/>
      <w:r>
        <w:t xml:space="preserve"> at: Department of Chemistry, 11227 Saskatchewan Drive, University of Alberta, Edmonton, AB T6G 2G2, Canada</w:t>
      </w:r>
    </w:p>
    <w:p>
      <w:pPr>
        <w:spacing w:line="480" w:lineRule="auto"/>
        <w:jc w:val="center"/>
      </w:pPr>
    </w:p>
    <w:p>
      <w:pPr>
        <w:spacing w:line="480" w:lineRule="auto"/>
        <w:jc w:val="center"/>
      </w:pPr>
      <w:r>
        <w:t xml:space="preserve">For the </w:t>
      </w:r>
      <w:r>
        <w:rPr>
          <w:i/>
          <w:iCs/>
        </w:rPr>
        <w:t>Journal of the Air &amp; Waste Management Association</w:t>
      </w:r>
      <w:r>
        <w:t xml:space="preserve"> </w:t>
      </w:r>
    </w:p>
    <w:p>
      <w:pPr>
        <w:spacing w:line="480" w:lineRule="auto"/>
        <w:jc w:val="center"/>
      </w:pPr>
      <w:r>
        <w:fldChar w:fldCharType="begin"/>
      </w:r>
      <w:r>
        <w:instrText xml:space="preserve"> DATE \@ "MMMM d, yyyy" </w:instrText>
      </w:r>
      <w:r>
        <w:fldChar w:fldCharType="separate"/>
      </w:r>
      <w:r>
        <w:rPr>
          <w:noProof/>
        </w:rPr>
        <w:t>April 17, 2020</w:t>
      </w:r>
      <w:r>
        <w:fldChar w:fldCharType="end"/>
      </w:r>
    </w:p>
    <w:p>
      <w:r>
        <w:br w:type="page"/>
      </w:r>
    </w:p>
    <w:p>
      <w:pPr>
        <w:spacing w:line="360" w:lineRule="auto"/>
      </w:pPr>
      <w:r>
        <w:lastRenderedPageBreak/>
        <w:t>Experimental setup</w:t>
      </w:r>
    </w:p>
    <w:p>
      <w:pPr>
        <w:spacing w:line="360" w:lineRule="auto"/>
      </w:pPr>
      <w:r>
        <w:rPr>
          <w:noProof/>
        </w:rPr>
        <w:drawing>
          <wp:inline distT="0" distB="0" distL="0" distR="0">
            <wp:extent cx="5885318" cy="371919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S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85318" cy="3719195"/>
                    </a:xfrm>
                    <a:prstGeom prst="rect">
                      <a:avLst/>
                    </a:prstGeom>
                  </pic:spPr>
                </pic:pic>
              </a:graphicData>
            </a:graphic>
          </wp:inline>
        </w:drawing>
      </w:r>
    </w:p>
    <w:p>
      <w:pPr>
        <w:spacing w:line="360" w:lineRule="auto"/>
      </w:pPr>
      <w:r>
        <w:t xml:space="preserve">Figure S1. Experimental setup. MFC = mass flow controller; slpm = standard liter per minute; RH/T = relative humidity and temperature; ZA = zero air; </w:t>
      </w:r>
      <w:proofErr w:type="spellStart"/>
      <w:r>
        <w:t>n.o</w:t>
      </w:r>
      <w:proofErr w:type="spellEnd"/>
      <w:r>
        <w:t xml:space="preserve">. = normally open; FEP = fluorinated ethylene propylene; PMT = photomultiplier tube; PT = pressure transducer; HR = high reflectivity; BS = beam splitter </w:t>
      </w:r>
      <w:r>
        <w:br w:type="page"/>
      </w:r>
    </w:p>
    <w:p>
      <w:pPr>
        <w:spacing w:line="360" w:lineRule="auto"/>
      </w:pPr>
      <w:r>
        <w:lastRenderedPageBreak/>
        <w:t xml:space="preserve">Generation and delivery of </w:t>
      </w:r>
      <w:proofErr w:type="spellStart"/>
      <w:r>
        <w:t>NO</w:t>
      </w:r>
      <w:r>
        <w:rPr>
          <w:vertAlign w:val="subscript"/>
        </w:rPr>
        <w:t>z</w:t>
      </w:r>
      <w:proofErr w:type="spellEnd"/>
      <w:r>
        <w:t xml:space="preserve"> species</w:t>
      </w:r>
    </w:p>
    <w:p>
      <w:pPr>
        <w:spacing w:line="360" w:lineRule="auto"/>
      </w:pPr>
      <w:r>
        <w:rPr>
          <w:i/>
        </w:rPr>
        <w:t xml:space="preserve">Generation of gas streams containing PAN. </w:t>
      </w:r>
      <w:r>
        <w:t>Peroxyacetic nitric anhydride was synthesized by combining 2.5 mL of 32% peracetic solution (Sigma-Aldrich) with 20 mL of tridecane (Sigma-Aldrich) in a 100 mL round bottom flask, which was cooled externally using an ice-water bath. Approximately 5 mL of pre-cooled, concentrated H</w:t>
      </w:r>
      <w:r>
        <w:rPr>
          <w:vertAlign w:val="subscript"/>
        </w:rPr>
        <w:t>2</w:t>
      </w:r>
      <w:r>
        <w:t>SO</w:t>
      </w:r>
      <w:r>
        <w:rPr>
          <w:vertAlign w:val="subscript"/>
        </w:rPr>
        <w:t>4</w:t>
      </w:r>
      <w:r>
        <w:t xml:space="preserve"> (Sigma-Aldrich, fuming) were added dropwise to the stirred solution, followed by dropwise addition of ice-cold, concentrated HNO</w:t>
      </w:r>
      <w:r>
        <w:rPr>
          <w:vertAlign w:val="subscript"/>
        </w:rPr>
        <w:t>3</w:t>
      </w:r>
      <w:r>
        <w:t xml:space="preserve"> (Sigma-Aldrich, ACS reagent, 90%). After 15 min, the mixture was transferred to a pre-cooled separatory funnel. The organic layer was washed with three 50 mL batches of ice-cold deionized water and dried with anhydrous MgSO</w:t>
      </w:r>
      <w:r>
        <w:rPr>
          <w:vertAlign w:val="subscript"/>
        </w:rPr>
        <w:t>4</w:t>
      </w:r>
      <w:r>
        <w:t xml:space="preserve"> (EMD). Aliquots of PAN in tridecane were filtered into 2 mL centrifuge vials (VWR), which were stored in a freezer until use. To generate gas streams containing PAN, the contents of a vial containing PAN in tridecane were transferred to a 3-neck flask cooled externally with water-ice and eluted using a stream of ~100 sccm oxygen (Praxair).</w:t>
      </w:r>
      <w:hyperlink w:anchor="_ENREF_1" w:tooltip="Mielke, 2012 #2962" w:history="1">
        <w:r>
          <w:fldChar w:fldCharType="begin"/>
        </w:r>
        <w:r>
          <w:instrText xml:space="preserve"> ADDIN EN.CITE &lt;EndNote&gt;&lt;Cite&gt;&lt;Author&gt;Mielke&lt;/Author&gt;&lt;Year&gt;2012&lt;/Year&gt;&lt;RecNum&gt;2962&lt;/RecNum&gt;&lt;DisplayText&gt;&lt;style face="superscript"&gt;1&lt;/style&gt;&lt;/DisplayText&gt;&lt;record&gt;&lt;rec-number&gt;2962&lt;/rec-number&gt;&lt;foreign-keys&gt;&lt;key app="EN" db-id="952ffrrvyzt5pcepatvvdz2zvw0da2px2dft"&gt;2962&lt;/key&gt;&lt;/foreign-keys&gt;&lt;ref-type name="Journal Article"&gt;17&lt;/ref-type&gt;&lt;contributors&gt;&lt;authors&gt;&lt;author&gt;Mielke, L. H.&lt;/author&gt;&lt;author&gt;Osthoff, H. D.&lt;/author&gt;&lt;/authors&gt;&lt;/contributors&gt;&lt;titles&gt;&lt;title&gt;On quantitative measurements of peroxycarboxylic nitric anhydride mixing ratios by thermal dissociation chemical ionization mass spectrometry&lt;/title&gt;&lt;secondary-title&gt;International Journal of Mass Spectrometry&lt;/secondary-title&gt;&lt;short-title&gt;Internat. J. Mass. Spec.&lt;/short-title&gt;&lt;/titles&gt;&lt;periodical&gt;&lt;full-title&gt;International Journal of Mass Spectrometry&lt;/full-title&gt;&lt;abbr-1&gt;Int. J. Mass Spectrom.&lt;/abbr-1&gt;&lt;/periodical&gt;&lt;pages&gt;1-9&lt;/pages&gt;&lt;volume&gt;310&lt;/volume&gt;&lt;keywords&gt;&lt;keyword&gt;Peroxycarboxylic nitric anhydrides (PAN)&lt;/keyword&gt;&lt;keyword&gt;Thermal dissociation chemical ionization mass spectrometry (TD-CIMS)&lt;/keyword&gt;&lt;keyword&gt;Interferences&lt;/keyword&gt;&lt;keyword&gt;Quantitative measurements&lt;/keyword&gt;&lt;/keywords&gt;&lt;dates&gt;&lt;year&gt;2012&lt;/year&gt;&lt;/dates&gt;&lt;isbn&gt;1387-3806&lt;/isbn&gt;&lt;urls&gt;&lt;related-urls&gt;&lt;url&gt;http://www.sciencedirect.com/science/article/pii/S1387380611004283&lt;/url&gt;&lt;/related-urls&gt;&lt;/urls&gt;&lt;electronic-resource-num&gt;10.1016/j.ijms.2011.10.005&lt;/electronic-resource-num&gt;&lt;/record&gt;&lt;/Cite&gt;&lt;/EndNote&gt;</w:instrText>
        </w:r>
        <w:r>
          <w:fldChar w:fldCharType="separate"/>
        </w:r>
        <w:r>
          <w:rPr>
            <w:noProof/>
            <w:vertAlign w:val="superscript"/>
          </w:rPr>
          <w:t>1</w:t>
        </w:r>
        <w:r>
          <w:fldChar w:fldCharType="end"/>
        </w:r>
      </w:hyperlink>
    </w:p>
    <w:p>
      <w:pPr>
        <w:spacing w:line="360" w:lineRule="auto"/>
      </w:pPr>
      <w:r>
        <w:rPr>
          <w:i/>
        </w:rPr>
        <w:t xml:space="preserve">Generation of gas streams containing HONO. </w:t>
      </w:r>
      <w:r>
        <w:t>Mixtures of HONO in air were generated by placing 100 mg of sodium nitrite (Sigma-Aldrich) and 5 mL of a solution buffered to pH 3.74 using sodium oxalate / oxalic acid in a 3-neck flask. The head space of this solution initially contained high concentrations of NO</w:t>
      </w:r>
      <w:r>
        <w:rPr>
          <w:vertAlign w:val="subscript"/>
        </w:rPr>
        <w:t>x</w:t>
      </w:r>
      <w:r>
        <w:t>, which was removed through continuous flushing with N</w:t>
      </w:r>
      <w:r>
        <w:rPr>
          <w:vertAlign w:val="subscript"/>
        </w:rPr>
        <w:t>2</w:t>
      </w:r>
      <w:r>
        <w:t xml:space="preserve"> gas over periods of several days and by keeping the solution in the dark.</w:t>
      </w:r>
    </w:p>
    <w:p>
      <w:pPr>
        <w:spacing w:line="360" w:lineRule="auto"/>
      </w:pPr>
      <w:r>
        <w:rPr>
          <w:i/>
        </w:rPr>
        <w:t>Generation of gas streams containing isopropyl nitrate (IPN)</w:t>
      </w:r>
      <w:r>
        <w:t>. Isopropyl nitrate was purchased from Sigma-Aldrich and used as received. A permeation source was constructed by filling a "low emission" polytetrafluoroethylene (PTFE) permeation tube (Chromatographic Specialties) with IPN and sealing both ends using solid PTFE plugs that were externally compressed using stainless steel rings.</w:t>
      </w:r>
      <w:hyperlink w:anchor="_ENREF_2" w:tooltip="Ye, 2016 #4472" w:history="1">
        <w:r>
          <w:fldChar w:fldCharType="begin"/>
        </w:r>
        <w:r>
          <w:instrText xml:space="preserve"> ADDIN EN.CITE &lt;EndNote&gt;&lt;Cite&gt;&lt;Author&gt;Ye&lt;/Author&gt;&lt;Year&gt;2016&lt;/Year&gt;&lt;RecNum&gt;4472&lt;/RecNum&gt;&lt;DisplayText&gt;&lt;style face="superscript"&gt;2&lt;/style&gt;&lt;/DisplayText&gt;&lt;record&gt;&lt;rec-number&gt;4472&lt;/rec-number&gt;&lt;foreign-keys&gt;&lt;key app="EN" db-id="952ffrrvyzt5pcepatvvdz2zvw0da2px2dft"&gt;4472&lt;/key&gt;&lt;/foreign-keys&gt;&lt;ref-type name="Thesis"&gt;32&lt;/ref-type&gt;&lt;contributors&gt;&lt;authors&gt;&lt;author&gt;Ye, C. Z.&lt;/author&gt;&lt;/authors&gt;&lt;tertiary-authors&gt;&lt;author&gt;Osthoff, H. D.&lt;/author&gt;&lt;/tertiary-authors&gt;&lt;/contributors&gt;&lt;titles&gt;&lt;title&gt;Development of Purge-and-Trap Sample Preconcentrator for Enhanced Detection of Alkyl Nitrates by Thermal Dissociation Cavity Ring-Down Spectroscopy&lt;/title&gt;&lt;secondary-title&gt;Chemistry&lt;/secondary-title&gt;&lt;/titles&gt;&lt;volume&gt;M. Sc.&lt;/volume&gt;&lt;dates&gt;&lt;year&gt;2016&lt;/year&gt;&lt;pub-dates&gt;&lt;date&gt;2016&lt;/date&gt;&lt;/pub-dates&gt;&lt;/dates&gt;&lt;pub-location&gt;Calgary&lt;/pub-location&gt;&lt;publisher&gt;University of Calgary, http://hdl.handle.net/11023/3510, 10.5072/PRISM/25688&lt;/publisher&gt;&lt;urls&gt;&lt;/urls&gt;&lt;electronic-resource-num&gt;10.5072/PRISM/25688&lt;/electronic-resource-num&gt;&lt;/record&gt;&lt;/Cite&gt;&lt;/EndNote&gt;</w:instrText>
        </w:r>
        <w:r>
          <w:fldChar w:fldCharType="separate"/>
        </w:r>
        <w:r>
          <w:rPr>
            <w:noProof/>
            <w:vertAlign w:val="superscript"/>
          </w:rPr>
          <w:t>2</w:t>
        </w:r>
        <w:r>
          <w:fldChar w:fldCharType="end"/>
        </w:r>
      </w:hyperlink>
      <w:r>
        <w:t xml:space="preserve">  The permeation tube was place inside 3/4" (1.9 cm) </w:t>
      </w:r>
      <w:proofErr w:type="spellStart"/>
      <w:r>
        <w:t>o.d.</w:t>
      </w:r>
      <w:proofErr w:type="spellEnd"/>
      <w:r>
        <w:t xml:space="preserve"> FEP Teflon™ tubing, which was continuously flushed with ~100 sccm oxygen (Praxair). This assembly was operated at room temperature but could be externally heated if a higher emission rate was desired.</w:t>
      </w:r>
    </w:p>
    <w:p>
      <w:pPr>
        <w:spacing w:line="360" w:lineRule="auto"/>
      </w:pPr>
      <w:r>
        <w:rPr>
          <w:i/>
        </w:rPr>
        <w:t>Generation of gas streams containing HNO</w:t>
      </w:r>
      <w:r>
        <w:rPr>
          <w:i/>
          <w:vertAlign w:val="subscript"/>
        </w:rPr>
        <w:t>3</w:t>
      </w:r>
      <w:r>
        <w:t>. A permeation tube filled by a commercial vendor (KIN-TEK Analytical) with 68% HNO</w:t>
      </w:r>
      <w:r>
        <w:rPr>
          <w:vertAlign w:val="subscript"/>
        </w:rPr>
        <w:t>3</w:t>
      </w:r>
      <w:r>
        <w:t xml:space="preserve"> was placed inside a flow chamber (VICI </w:t>
      </w:r>
      <w:proofErr w:type="spellStart"/>
      <w:r>
        <w:t>Dynacalibrator</w:t>
      </w:r>
      <w:proofErr w:type="spellEnd"/>
      <w:r>
        <w:t>) heated to a temperature of 60.0 °C and operated at a flow of 0.15 Liters per minute. Its output was immediately diluted in ~100 sccm of oxygen.</w:t>
      </w:r>
      <w:r>
        <w:br w:type="page"/>
      </w:r>
    </w:p>
    <w:p>
      <w:pPr>
        <w:spacing w:line="360" w:lineRule="auto"/>
      </w:pPr>
      <w:r>
        <w:lastRenderedPageBreak/>
        <w:t>Box model simulations</w:t>
      </w:r>
    </w:p>
    <w:p>
      <w:pPr>
        <w:spacing w:line="360" w:lineRule="auto"/>
      </w:pPr>
    </w:p>
    <w:p>
      <w:pPr>
        <w:spacing w:line="360" w:lineRule="auto"/>
      </w:pPr>
      <w:r>
        <w:t>A macro was written in Igor Pro 6 (</w:t>
      </w:r>
      <w:proofErr w:type="spellStart"/>
      <w:r>
        <w:t>Wavemetrics</w:t>
      </w:r>
      <w:proofErr w:type="spellEnd"/>
      <w:r>
        <w:t xml:space="preserve">, Lake Oswego, Oregon) to rationalize the experiment shown in Figure 5B. The simulation models the chemistry that occurs in a parcel of air as it travels through the photolytic converter and the tubing connected to the analyzer at a mass flow rate of 903 sccm. The reactions are summarized in Table S1. The model assumes a pressure of 420 Torr throughout, a room temperature of 298 K, a temperature of 318 K inside the converter, and </w:t>
      </w:r>
      <w:proofErr w:type="spellStart"/>
      <w:r>
        <w:rPr>
          <w:i/>
        </w:rPr>
        <w:t>t</w:t>
      </w:r>
      <w:r>
        <w:rPr>
          <w:i/>
          <w:vertAlign w:val="subscript"/>
        </w:rPr>
        <w:t>res</w:t>
      </w:r>
      <w:proofErr w:type="spellEnd"/>
      <w:r>
        <w:rPr>
          <w:i/>
        </w:rPr>
        <w:t xml:space="preserve"> </w:t>
      </w:r>
      <w:r>
        <w:t>= 3.5 sec, calculated from the inner dimensions of the photolysis cell and volumetric flow rate. Photolysis was assumed to be uniform inside the converter and turned off outside. Simulations were initialized with 21 ppbv NO</w:t>
      </w:r>
      <w:r>
        <w:rPr>
          <w:vertAlign w:val="subscript"/>
        </w:rPr>
        <w:t>2</w:t>
      </w:r>
      <w:r>
        <w:t xml:space="preserve"> (2.9</w:t>
      </w:r>
      <w:r>
        <w:sym w:font="Symbol" w:char="F0B4"/>
      </w:r>
      <w:r>
        <w:t>10</w:t>
      </w:r>
      <w:r>
        <w:rPr>
          <w:vertAlign w:val="superscript"/>
        </w:rPr>
        <w:t>11</w:t>
      </w:r>
      <w:r>
        <w:t> molecules cm</w:t>
      </w:r>
      <w:r>
        <w:rPr>
          <w:vertAlign w:val="superscript"/>
        </w:rPr>
        <w:t>-3</w:t>
      </w:r>
      <w:r>
        <w:t>), 79% N</w:t>
      </w:r>
      <w:r>
        <w:rPr>
          <w:vertAlign w:val="subscript"/>
        </w:rPr>
        <w:t>2</w:t>
      </w:r>
      <w:r>
        <w:t xml:space="preserve"> (1.1</w:t>
      </w:r>
      <w:r>
        <w:sym w:font="Symbol" w:char="F0B4"/>
      </w:r>
      <w:r>
        <w:t>10</w:t>
      </w:r>
      <w:r>
        <w:rPr>
          <w:vertAlign w:val="superscript"/>
        </w:rPr>
        <w:t>19</w:t>
      </w:r>
      <w:r>
        <w:t> molecules cm</w:t>
      </w:r>
      <w:r>
        <w:rPr>
          <w:vertAlign w:val="superscript"/>
        </w:rPr>
        <w:t>-3</w:t>
      </w:r>
      <w:r>
        <w:t>), 21% O</w:t>
      </w:r>
      <w:r>
        <w:rPr>
          <w:vertAlign w:val="subscript"/>
        </w:rPr>
        <w:t>2</w:t>
      </w:r>
      <w:r>
        <w:t xml:space="preserve"> (2.8</w:t>
      </w:r>
      <w:r>
        <w:sym w:font="Symbol" w:char="F0B4"/>
      </w:r>
      <w:r>
        <w:t>10</w:t>
      </w:r>
      <w:r>
        <w:rPr>
          <w:vertAlign w:val="superscript"/>
        </w:rPr>
        <w:t>18</w:t>
      </w:r>
      <w:r>
        <w:t xml:space="preserve"> molecules cm</w:t>
      </w:r>
      <w:r>
        <w:rPr>
          <w:vertAlign w:val="superscript"/>
        </w:rPr>
        <w:t>-3</w:t>
      </w:r>
      <w:r>
        <w:t>), H</w:t>
      </w:r>
      <w:r>
        <w:rPr>
          <w:vertAlign w:val="subscript"/>
        </w:rPr>
        <w:t>2</w:t>
      </w:r>
      <w:r>
        <w:t>O (1</w:t>
      </w:r>
      <w:r>
        <w:sym w:font="Symbol" w:char="F0B4"/>
      </w:r>
      <w:r>
        <w:t>10</w:t>
      </w:r>
      <w:r>
        <w:rPr>
          <w:vertAlign w:val="superscript"/>
        </w:rPr>
        <w:t>17</w:t>
      </w:r>
      <w:r>
        <w:t xml:space="preserve"> molecules cm</w:t>
      </w:r>
      <w:r>
        <w:rPr>
          <w:vertAlign w:val="superscript"/>
        </w:rPr>
        <w:t>-3</w:t>
      </w:r>
      <w:r>
        <w:t>), CH</w:t>
      </w:r>
      <w:r>
        <w:rPr>
          <w:vertAlign w:val="subscript"/>
        </w:rPr>
        <w:t>4</w:t>
      </w:r>
      <w:r>
        <w:t xml:space="preserve"> (3</w:t>
      </w:r>
      <w:r>
        <w:sym w:font="Symbol" w:char="F0B4"/>
      </w:r>
      <w:r>
        <w:t>10</w:t>
      </w:r>
      <w:r>
        <w:rPr>
          <w:vertAlign w:val="superscript"/>
        </w:rPr>
        <w:t>13  </w:t>
      </w:r>
      <w:r>
        <w:t>molecules cm</w:t>
      </w:r>
      <w:r>
        <w:rPr>
          <w:vertAlign w:val="superscript"/>
        </w:rPr>
        <w:t>-3</w:t>
      </w:r>
      <w:r>
        <w:t>), CO (2</w:t>
      </w:r>
      <w:r>
        <w:sym w:font="Symbol" w:char="F0B4"/>
      </w:r>
      <w:r>
        <w:t>10</w:t>
      </w:r>
      <w:r>
        <w:rPr>
          <w:vertAlign w:val="superscript"/>
        </w:rPr>
        <w:t>12</w:t>
      </w:r>
      <w:r>
        <w:t> molecules cm</w:t>
      </w:r>
      <w:r>
        <w:rPr>
          <w:vertAlign w:val="superscript"/>
        </w:rPr>
        <w:t>-3</w:t>
      </w:r>
      <w:r>
        <w:t>), and NO mixing ratios of 0, 4, 43, 111, and 194 ppbv (0, 5.6</w:t>
      </w:r>
      <w:r>
        <w:sym w:font="Symbol" w:char="F0B4"/>
      </w:r>
      <w:r>
        <w:t>10</w:t>
      </w:r>
      <w:r>
        <w:rPr>
          <w:vertAlign w:val="superscript"/>
        </w:rPr>
        <w:t>10</w:t>
      </w:r>
      <w:r>
        <w:t>, 6.0</w:t>
      </w:r>
      <w:r>
        <w:sym w:font="Symbol" w:char="F0B4"/>
      </w:r>
      <w:r>
        <w:t>10</w:t>
      </w:r>
      <w:r>
        <w:rPr>
          <w:vertAlign w:val="superscript"/>
        </w:rPr>
        <w:t>11</w:t>
      </w:r>
      <w:r>
        <w:t>, 1.5</w:t>
      </w:r>
      <w:r>
        <w:sym w:font="Symbol" w:char="F0B4"/>
      </w:r>
      <w:r>
        <w:t>10</w:t>
      </w:r>
      <w:r>
        <w:rPr>
          <w:vertAlign w:val="superscript"/>
        </w:rPr>
        <w:t>12</w:t>
      </w:r>
      <w:r>
        <w:t>, and 2.7</w:t>
      </w:r>
      <w:r>
        <w:sym w:font="Symbol" w:char="F0B4"/>
      </w:r>
      <w:r>
        <w:t>10</w:t>
      </w:r>
      <w:r>
        <w:rPr>
          <w:vertAlign w:val="superscript"/>
        </w:rPr>
        <w:t>12</w:t>
      </w:r>
      <w:r>
        <w:t xml:space="preserve"> molecules cm</w:t>
      </w:r>
      <w:r>
        <w:rPr>
          <w:vertAlign w:val="superscript"/>
        </w:rPr>
        <w:t>-3</w:t>
      </w:r>
      <w:r>
        <w:t xml:space="preserve">, respectively). </w:t>
      </w:r>
    </w:p>
    <w:p>
      <w:r>
        <w:br w:type="page"/>
      </w:r>
    </w:p>
    <w:p>
      <w:pPr>
        <w:spacing w:line="360" w:lineRule="auto"/>
      </w:pPr>
      <w:r>
        <w:lastRenderedPageBreak/>
        <w:t>Table S1: Mechanism used in box model simulations. n/a = not applicable. F</w:t>
      </w:r>
      <w:r>
        <w:rPr>
          <w:vertAlign w:val="subscript"/>
        </w:rPr>
        <w:t>c</w:t>
      </w:r>
      <w:r>
        <w:t xml:space="preserve"> = 0.6 unless noted otherwise. </w:t>
      </w:r>
    </w:p>
    <w:tbl>
      <w:tblPr>
        <w:tblW w:w="0" w:type="auto"/>
        <w:tblBorders>
          <w:insideH w:val="single" w:sz="4" w:space="0" w:color="auto"/>
          <w:insideV w:val="single" w:sz="4" w:space="0" w:color="auto"/>
        </w:tblBorders>
        <w:tblLook w:val="00A0" w:firstRow="1" w:lastRow="0" w:firstColumn="1" w:lastColumn="0" w:noHBand="0" w:noVBand="0"/>
      </w:tblPr>
      <w:tblGrid>
        <w:gridCol w:w="456"/>
        <w:gridCol w:w="2805"/>
        <w:gridCol w:w="5244"/>
        <w:gridCol w:w="855"/>
      </w:tblGrid>
      <w:tr>
        <w:tc>
          <w:tcPr>
            <w:tcW w:w="0" w:type="auto"/>
            <w:vAlign w:val="center"/>
          </w:tcPr>
          <w:p>
            <w:pPr>
              <w:spacing w:line="360" w:lineRule="auto"/>
              <w:jc w:val="center"/>
              <w:rPr>
                <w:b/>
              </w:rPr>
            </w:pPr>
            <w:r>
              <w:rPr>
                <w:b/>
              </w:rPr>
              <w:t>#</w:t>
            </w:r>
          </w:p>
        </w:tc>
        <w:tc>
          <w:tcPr>
            <w:tcW w:w="2805" w:type="dxa"/>
            <w:vAlign w:val="center"/>
          </w:tcPr>
          <w:p>
            <w:pPr>
              <w:spacing w:line="360" w:lineRule="auto"/>
              <w:jc w:val="center"/>
              <w:rPr>
                <w:b/>
              </w:rPr>
            </w:pPr>
            <w:r>
              <w:rPr>
                <w:b/>
              </w:rPr>
              <w:t>Reaction</w:t>
            </w:r>
          </w:p>
        </w:tc>
        <w:tc>
          <w:tcPr>
            <w:tcW w:w="5244" w:type="dxa"/>
            <w:vAlign w:val="center"/>
          </w:tcPr>
          <w:p>
            <w:pPr>
              <w:spacing w:line="360" w:lineRule="auto"/>
              <w:jc w:val="center"/>
              <w:rPr>
                <w:b/>
              </w:rPr>
            </w:pPr>
            <w:r>
              <w:rPr>
                <w:b/>
              </w:rPr>
              <w:t>Rate constant or expression</w:t>
            </w:r>
          </w:p>
        </w:tc>
        <w:tc>
          <w:tcPr>
            <w:tcW w:w="855" w:type="dxa"/>
            <w:vAlign w:val="center"/>
          </w:tcPr>
          <w:p>
            <w:pPr>
              <w:spacing w:line="360" w:lineRule="auto"/>
              <w:jc w:val="center"/>
              <w:rPr>
                <w:b/>
              </w:rPr>
            </w:pPr>
            <w:r>
              <w:rPr>
                <w:b/>
              </w:rPr>
              <w:t>Ref.</w:t>
            </w:r>
          </w:p>
        </w:tc>
      </w:tr>
      <w:tr>
        <w:tc>
          <w:tcPr>
            <w:tcW w:w="0" w:type="auto"/>
            <w:vAlign w:val="center"/>
          </w:tcPr>
          <w:p>
            <w:pPr>
              <w:spacing w:line="360" w:lineRule="auto"/>
              <w:jc w:val="center"/>
            </w:pPr>
            <w:r>
              <w:t>1</w:t>
            </w:r>
          </w:p>
        </w:tc>
        <w:tc>
          <w:tcPr>
            <w:tcW w:w="2805" w:type="dxa"/>
            <w:vAlign w:val="center"/>
          </w:tcPr>
          <w:p>
            <w:pPr>
              <w:spacing w:line="360" w:lineRule="auto"/>
              <w:jc w:val="center"/>
            </w:pPr>
            <w:r>
              <w:t>NO</w:t>
            </w:r>
            <w:r>
              <w:rPr>
                <w:vertAlign w:val="subscript"/>
              </w:rPr>
              <w:t>2</w:t>
            </w:r>
            <w:r>
              <w:t xml:space="preserve"> + </w:t>
            </w:r>
            <w:proofErr w:type="spellStart"/>
            <w:r>
              <w:t>hν</w:t>
            </w:r>
            <w:proofErr w:type="spellEnd"/>
            <w:r>
              <w:t xml:space="preserve"> </w:t>
            </w:r>
            <w:r>
              <w:sym w:font="Symbol" w:char="F0AE"/>
            </w:r>
            <w:r>
              <w:t xml:space="preserve"> NO + O(</w:t>
            </w:r>
            <w:r>
              <w:rPr>
                <w:vertAlign w:val="superscript"/>
              </w:rPr>
              <w:t>3</w:t>
            </w:r>
            <w:r>
              <w:t>P)</w:t>
            </w:r>
          </w:p>
        </w:tc>
        <w:tc>
          <w:tcPr>
            <w:tcW w:w="5244" w:type="dxa"/>
            <w:vAlign w:val="center"/>
          </w:tcPr>
          <w:p>
            <w:pPr>
              <w:spacing w:line="360" w:lineRule="auto"/>
              <w:jc w:val="center"/>
            </w:pPr>
            <w:r>
              <w:t xml:space="preserve">4.2 </w:t>
            </w:r>
            <w:proofErr w:type="gramStart"/>
            <w:r>
              <w:t>sec</w:t>
            </w:r>
            <w:r>
              <w:rPr>
                <w:vertAlign w:val="superscript"/>
              </w:rPr>
              <w:t>-1</w:t>
            </w:r>
            <w:proofErr w:type="gramEnd"/>
          </w:p>
        </w:tc>
        <w:tc>
          <w:tcPr>
            <w:tcW w:w="855" w:type="dxa"/>
            <w:vAlign w:val="center"/>
          </w:tcPr>
          <w:p>
            <w:pPr>
              <w:spacing w:line="360" w:lineRule="auto"/>
              <w:jc w:val="center"/>
            </w:pPr>
            <w:r>
              <w:t>n/a</w:t>
            </w:r>
          </w:p>
        </w:tc>
      </w:tr>
      <w:tr>
        <w:tc>
          <w:tcPr>
            <w:tcW w:w="0" w:type="auto"/>
            <w:vAlign w:val="center"/>
          </w:tcPr>
          <w:p>
            <w:pPr>
              <w:spacing w:line="360" w:lineRule="auto"/>
              <w:jc w:val="center"/>
            </w:pPr>
            <w:r>
              <w:t>2</w:t>
            </w:r>
          </w:p>
        </w:tc>
        <w:tc>
          <w:tcPr>
            <w:tcW w:w="2805" w:type="dxa"/>
            <w:vAlign w:val="center"/>
          </w:tcPr>
          <w:p>
            <w:pPr>
              <w:spacing w:line="360" w:lineRule="auto"/>
              <w:jc w:val="center"/>
            </w:pPr>
            <w:r>
              <w:t xml:space="preserve">HONO+ </w:t>
            </w:r>
            <w:proofErr w:type="spellStart"/>
            <w:r>
              <w:t>hν</w:t>
            </w:r>
            <w:proofErr w:type="spellEnd"/>
            <w:r>
              <w:t xml:space="preserve"> </w:t>
            </w:r>
            <w:r>
              <w:sym w:font="Symbol" w:char="F0AE"/>
            </w:r>
            <w:r>
              <w:t xml:space="preserve"> HO + NO</w:t>
            </w:r>
          </w:p>
        </w:tc>
        <w:tc>
          <w:tcPr>
            <w:tcW w:w="5244" w:type="dxa"/>
            <w:vAlign w:val="center"/>
          </w:tcPr>
          <w:p>
            <w:pPr>
              <w:spacing w:line="360" w:lineRule="auto"/>
              <w:jc w:val="center"/>
            </w:pPr>
            <w:r>
              <w:t xml:space="preserve">0.137 </w:t>
            </w:r>
            <w:proofErr w:type="gramStart"/>
            <w:r>
              <w:t>sec</w:t>
            </w:r>
            <w:r>
              <w:rPr>
                <w:vertAlign w:val="superscript"/>
              </w:rPr>
              <w:t>-1</w:t>
            </w:r>
            <w:proofErr w:type="gramEnd"/>
          </w:p>
        </w:tc>
        <w:tc>
          <w:tcPr>
            <w:tcW w:w="855" w:type="dxa"/>
            <w:vAlign w:val="center"/>
          </w:tcPr>
          <w:p>
            <w:pPr>
              <w:spacing w:line="360" w:lineRule="auto"/>
              <w:jc w:val="center"/>
            </w:pPr>
            <w:r>
              <w:t>n/a</w:t>
            </w:r>
          </w:p>
        </w:tc>
      </w:tr>
      <w:tr>
        <w:tc>
          <w:tcPr>
            <w:tcW w:w="0" w:type="auto"/>
            <w:vAlign w:val="center"/>
          </w:tcPr>
          <w:p>
            <w:pPr>
              <w:spacing w:line="360" w:lineRule="auto"/>
              <w:jc w:val="center"/>
            </w:pPr>
            <w:r>
              <w:t>3</w:t>
            </w:r>
          </w:p>
        </w:tc>
        <w:tc>
          <w:tcPr>
            <w:tcW w:w="2805" w:type="dxa"/>
            <w:vAlign w:val="center"/>
          </w:tcPr>
          <w:p>
            <w:pPr>
              <w:spacing w:line="360" w:lineRule="auto"/>
              <w:jc w:val="center"/>
            </w:pPr>
            <w:r>
              <w:t>O</w:t>
            </w:r>
            <w:r>
              <w:rPr>
                <w:vertAlign w:val="subscript"/>
              </w:rPr>
              <w:t>3</w:t>
            </w:r>
            <w:r>
              <w:t xml:space="preserve"> + </w:t>
            </w:r>
            <w:proofErr w:type="spellStart"/>
            <w:r>
              <w:t>hν</w:t>
            </w:r>
            <w:proofErr w:type="spellEnd"/>
            <w:r>
              <w:t xml:space="preserve"> </w:t>
            </w:r>
            <w:r>
              <w:sym w:font="Symbol" w:char="F0AE"/>
            </w:r>
            <w:r>
              <w:t xml:space="preserve"> O(</w:t>
            </w:r>
            <w:r>
              <w:rPr>
                <w:vertAlign w:val="superscript"/>
              </w:rPr>
              <w:t>3</w:t>
            </w:r>
            <w:r>
              <w:t>P) + O</w:t>
            </w:r>
            <w:r>
              <w:rPr>
                <w:vertAlign w:val="subscript"/>
              </w:rPr>
              <w:t>2</w:t>
            </w:r>
          </w:p>
        </w:tc>
        <w:tc>
          <w:tcPr>
            <w:tcW w:w="5244" w:type="dxa"/>
            <w:vAlign w:val="center"/>
          </w:tcPr>
          <w:p>
            <w:pPr>
              <w:spacing w:line="360" w:lineRule="auto"/>
              <w:jc w:val="center"/>
            </w:pPr>
            <w:r>
              <w:t>1.46</w:t>
            </w:r>
            <w:r>
              <w:sym w:font="Symbol" w:char="F0B4"/>
            </w:r>
            <w:r>
              <w:t>10</w:t>
            </w:r>
            <w:r>
              <w:rPr>
                <w:vertAlign w:val="superscript"/>
              </w:rPr>
              <w:t>-4</w:t>
            </w:r>
            <w:r>
              <w:t xml:space="preserve"> sec</w:t>
            </w:r>
            <w:r>
              <w:rPr>
                <w:vertAlign w:val="superscript"/>
              </w:rPr>
              <w:t>-1</w:t>
            </w:r>
          </w:p>
        </w:tc>
        <w:tc>
          <w:tcPr>
            <w:tcW w:w="855" w:type="dxa"/>
            <w:vAlign w:val="center"/>
          </w:tcPr>
          <w:p>
            <w:pPr>
              <w:spacing w:line="360" w:lineRule="auto"/>
              <w:jc w:val="center"/>
            </w:pPr>
            <w:r>
              <w:t>n/a</w:t>
            </w:r>
          </w:p>
        </w:tc>
      </w:tr>
      <w:tr>
        <w:tc>
          <w:tcPr>
            <w:tcW w:w="0" w:type="auto"/>
            <w:vAlign w:val="center"/>
          </w:tcPr>
          <w:p>
            <w:pPr>
              <w:spacing w:line="360" w:lineRule="auto"/>
              <w:jc w:val="center"/>
            </w:pPr>
            <w:r>
              <w:t>4</w:t>
            </w:r>
          </w:p>
        </w:tc>
        <w:tc>
          <w:tcPr>
            <w:tcW w:w="2805" w:type="dxa"/>
            <w:vAlign w:val="center"/>
          </w:tcPr>
          <w:p>
            <w:pPr>
              <w:spacing w:line="360" w:lineRule="auto"/>
              <w:jc w:val="center"/>
            </w:pPr>
            <w:r>
              <w:t>O</w:t>
            </w:r>
            <w:r>
              <w:rPr>
                <w:vertAlign w:val="subscript"/>
              </w:rPr>
              <w:t>3</w:t>
            </w:r>
            <w:r>
              <w:t xml:space="preserve"> + </w:t>
            </w:r>
            <w:proofErr w:type="spellStart"/>
            <w:r>
              <w:t>hν</w:t>
            </w:r>
            <w:proofErr w:type="spellEnd"/>
            <w:r>
              <w:t xml:space="preserve"> </w:t>
            </w:r>
            <w:r>
              <w:sym w:font="Symbol" w:char="F0AE"/>
            </w:r>
            <w:r>
              <w:t xml:space="preserve"> O(</w:t>
            </w:r>
            <w:r>
              <w:rPr>
                <w:vertAlign w:val="superscript"/>
              </w:rPr>
              <w:t>1</w:t>
            </w:r>
            <w:r>
              <w:t>D) + O</w:t>
            </w:r>
            <w:r>
              <w:rPr>
                <w:vertAlign w:val="subscript"/>
              </w:rPr>
              <w:t>2</w:t>
            </w:r>
          </w:p>
        </w:tc>
        <w:tc>
          <w:tcPr>
            <w:tcW w:w="5244" w:type="dxa"/>
            <w:vAlign w:val="center"/>
          </w:tcPr>
          <w:p>
            <w:pPr>
              <w:spacing w:line="360" w:lineRule="auto"/>
              <w:jc w:val="center"/>
            </w:pPr>
            <w:r>
              <w:t>5.45</w:t>
            </w:r>
            <w:r>
              <w:sym w:font="Symbol" w:char="F0B4"/>
            </w:r>
            <w:r>
              <w:t>10</w:t>
            </w:r>
            <w:r>
              <w:rPr>
                <w:vertAlign w:val="superscript"/>
              </w:rPr>
              <w:t>-10</w:t>
            </w:r>
            <w:r>
              <w:t xml:space="preserve"> sec</w:t>
            </w:r>
            <w:r>
              <w:rPr>
                <w:vertAlign w:val="superscript"/>
              </w:rPr>
              <w:t>-1</w:t>
            </w:r>
          </w:p>
        </w:tc>
        <w:tc>
          <w:tcPr>
            <w:tcW w:w="855" w:type="dxa"/>
            <w:vAlign w:val="center"/>
          </w:tcPr>
          <w:p>
            <w:pPr>
              <w:spacing w:line="360" w:lineRule="auto"/>
              <w:jc w:val="center"/>
            </w:pPr>
            <w:r>
              <w:t>n/a</w:t>
            </w:r>
          </w:p>
        </w:tc>
      </w:tr>
      <w:tr>
        <w:tc>
          <w:tcPr>
            <w:tcW w:w="0" w:type="auto"/>
            <w:vAlign w:val="center"/>
          </w:tcPr>
          <w:p>
            <w:pPr>
              <w:spacing w:line="360" w:lineRule="auto"/>
              <w:jc w:val="center"/>
            </w:pPr>
            <w:r>
              <w:t>5</w:t>
            </w:r>
          </w:p>
        </w:tc>
        <w:tc>
          <w:tcPr>
            <w:tcW w:w="2805" w:type="dxa"/>
            <w:vAlign w:val="center"/>
          </w:tcPr>
          <w:p>
            <w:pPr>
              <w:spacing w:line="360" w:lineRule="auto"/>
              <w:jc w:val="center"/>
            </w:pPr>
            <w:r>
              <w:t>O(</w:t>
            </w:r>
            <w:r>
              <w:rPr>
                <w:vertAlign w:val="superscript"/>
              </w:rPr>
              <w:t>3</w:t>
            </w:r>
            <w:r>
              <w:t>P) + O</w:t>
            </w:r>
            <w:r>
              <w:rPr>
                <w:vertAlign w:val="subscript"/>
              </w:rPr>
              <w:t>2</w:t>
            </w:r>
            <w:r>
              <w:t xml:space="preserve"> (+ M)</w:t>
            </w:r>
            <w:r>
              <w:br/>
            </w:r>
            <w:r>
              <w:sym w:font="Symbol" w:char="F0AE"/>
            </w:r>
            <w:r>
              <w:t xml:space="preserve"> O</w:t>
            </w:r>
            <w:r>
              <w:rPr>
                <w:vertAlign w:val="subscript"/>
              </w:rPr>
              <w:t>3</w:t>
            </w:r>
            <w:r>
              <w:t xml:space="preserve"> (+ M)</w:t>
            </w:r>
          </w:p>
        </w:tc>
        <w:tc>
          <w:tcPr>
            <w:tcW w:w="5244" w:type="dxa"/>
            <w:vAlign w:val="center"/>
          </w:tcPr>
          <w:p>
            <w:pPr>
              <w:jc w:val="center"/>
            </w:pPr>
            <w:r>
              <w:t>k</w:t>
            </w:r>
            <w:r>
              <w:rPr>
                <w:vertAlign w:val="subscript"/>
              </w:rPr>
              <w:t>o</w:t>
            </w:r>
            <w:r>
              <w:rPr>
                <w:vertAlign w:val="superscript"/>
              </w:rPr>
              <w:t>300</w:t>
            </w:r>
            <w:r>
              <w:t>=6.0</w:t>
            </w:r>
            <w:r>
              <w:sym w:font="Symbol" w:char="F0B4"/>
            </w:r>
            <w:r>
              <w:t>10</w:t>
            </w:r>
            <w:r>
              <w:rPr>
                <w:vertAlign w:val="superscript"/>
              </w:rPr>
              <w:t>-31</w:t>
            </w:r>
            <w:r>
              <w:t xml:space="preserve"> cm</w:t>
            </w:r>
            <w:r>
              <w:rPr>
                <w:vertAlign w:val="superscript"/>
              </w:rPr>
              <w:t>6</w:t>
            </w:r>
            <w:r>
              <w:t xml:space="preserve"> molecule</w:t>
            </w:r>
            <w:r>
              <w:rPr>
                <w:vertAlign w:val="superscript"/>
              </w:rPr>
              <w:t>-2</w:t>
            </w:r>
            <w:r>
              <w:t xml:space="preserve"> sec</w:t>
            </w:r>
            <w:r>
              <w:rPr>
                <w:vertAlign w:val="superscript"/>
              </w:rPr>
              <w:t>-1</w:t>
            </w:r>
            <w:r>
              <w:t>, n=2.6</w:t>
            </w:r>
          </w:p>
          <w:p>
            <w:pPr>
              <w:jc w:val="center"/>
            </w:pPr>
            <w:r>
              <w:t>k</w:t>
            </w:r>
            <w:r>
              <w:rPr>
                <w:vertAlign w:val="subscript"/>
              </w:rPr>
              <w:t>∞</w:t>
            </w:r>
            <w:r>
              <w:rPr>
                <w:vertAlign w:val="superscript"/>
              </w:rPr>
              <w:t>300</w:t>
            </w:r>
            <w:r>
              <w:t>=3.6</w:t>
            </w:r>
            <w:r>
              <w:sym w:font="Symbol" w:char="F0B4"/>
            </w:r>
            <w:r>
              <w:t>10</w:t>
            </w:r>
            <w:r>
              <w:rPr>
                <w:vertAlign w:val="superscript"/>
              </w:rPr>
              <w:t>-11</w:t>
            </w:r>
            <w:r>
              <w:t xml:space="preserve"> cm</w:t>
            </w:r>
            <w:r>
              <w:rPr>
                <w:vertAlign w:val="superscript"/>
              </w:rPr>
              <w:t>3</w:t>
            </w:r>
            <w:r>
              <w:t xml:space="preserve"> molecule</w:t>
            </w:r>
            <w:r>
              <w:rPr>
                <w:vertAlign w:val="superscript"/>
              </w:rPr>
              <w:t>-1</w:t>
            </w:r>
            <w:r>
              <w:t xml:space="preserve"> sec</w:t>
            </w:r>
            <w:r>
              <w:rPr>
                <w:vertAlign w:val="superscript"/>
              </w:rPr>
              <w:t>-1</w:t>
            </w:r>
            <w:r>
              <w:t>, m=0.1</w:t>
            </w:r>
          </w:p>
        </w:tc>
        <w:tc>
          <w:tcPr>
            <w:tcW w:w="855" w:type="dxa"/>
            <w:vAlign w:val="center"/>
          </w:tcPr>
          <w:p>
            <w:pPr>
              <w:spacing w:line="360" w:lineRule="auto"/>
              <w:jc w:val="center"/>
            </w:pPr>
            <w:hyperlink w:anchor="_ENREF_3" w:tooltip="Atkinson, 1989 #648" w:history="1">
              <w:r>
                <w:fldChar w:fldCharType="begin"/>
              </w:r>
              <w:r>
                <w:instrText xml:space="preserve"> ADDIN EN.CITE &lt;EndNote&gt;&lt;Cite&gt;&lt;Author&gt;Atkinson&lt;/Author&gt;&lt;Year&gt;1989&lt;/Year&gt;&lt;RecNum&gt;648&lt;/RecNum&gt;&lt;DisplayText&gt;&lt;style face="superscript"&gt;3&lt;/style&gt;&lt;/DisplayText&gt;&lt;record&gt;&lt;rec-number&gt;648&lt;/rec-number&gt;&lt;foreign-keys&gt;&lt;key app="EN" db-id="952ffrrvyzt5pcepatvvdz2zvw0da2px2dft"&gt;648&lt;/key&gt;&lt;/foreign-keys&gt;&lt;ref-type name="Journal Article"&gt;17&lt;/ref-type&gt;&lt;contributors&gt;&lt;authors&gt;&lt;author&gt;Atkinson, R.&lt;/author&gt;&lt;author&gt;Baulch, D. L.&lt;/author&gt;&lt;author&gt;Cox, R. A.&lt;/author&gt;&lt;author&gt;Hampson, R. F.&lt;/author&gt;&lt;author&gt;Kerr, J. A.&lt;/author&gt;&lt;author&gt;Troe, J.&lt;/author&gt;&lt;/authors&gt;&lt;/contributors&gt;&lt;titles&gt;&lt;title&gt;Evaluated Kinetic And Photochemical Data For Atmospheric Chemistry.3. Iupac Subcommittee On Gas Kinetic Data Evaluation For Atmospheric Chemistry&lt;/title&gt;&lt;secondary-title&gt;J. Phys. Chem. Ref. Data&lt;/secondary-title&gt;&lt;alt-title&gt;Journal Of Physical And Chemical Reference Data&lt;/alt-title&gt;&lt;short-title&gt;J. Phys. Chem. Ref. Data&lt;/short-title&gt;&lt;/titles&gt;&lt;periodical&gt;&lt;full-title&gt;J. Phys. Chem. Ref. Data&lt;/full-title&gt;&lt;/periodical&gt;&lt;alt-periodical&gt;&lt;full-title&gt;Journal of Physical and Chemical Reference Data&lt;/full-title&gt;&lt;/alt-periodical&gt;&lt;pages&gt;881-1097&lt;/pages&gt;&lt;volume&gt;18&lt;/volume&gt;&lt;number&gt;2&lt;/number&gt;&lt;dates&gt;&lt;year&gt;1989&lt;/year&gt;&lt;/dates&gt;&lt;accession-num&gt;ISI:A1989AD80700006&lt;/accession-num&gt;&lt;urls&gt;&lt;related-urls&gt;&lt;url&gt;&amp;lt;Go to ISI&amp;gt;://A1989AD80700006 &lt;/url&gt;&lt;/related-urls&gt;&lt;/urls&gt;&lt;electronic-resource-num&gt;10.1063/1.555832&lt;/electronic-resource-num&gt;&lt;/record&gt;&lt;/Cite&gt;&lt;/EndNote&gt;</w:instrText>
              </w:r>
              <w:r>
                <w:fldChar w:fldCharType="separate"/>
              </w:r>
              <w:r>
                <w:rPr>
                  <w:noProof/>
                  <w:vertAlign w:val="superscript"/>
                </w:rPr>
                <w:t>3</w:t>
              </w:r>
              <w:r>
                <w:fldChar w:fldCharType="end"/>
              </w:r>
            </w:hyperlink>
          </w:p>
        </w:tc>
      </w:tr>
      <w:tr>
        <w:tc>
          <w:tcPr>
            <w:tcW w:w="0" w:type="auto"/>
            <w:vAlign w:val="center"/>
          </w:tcPr>
          <w:p>
            <w:pPr>
              <w:spacing w:line="360" w:lineRule="auto"/>
              <w:jc w:val="center"/>
            </w:pPr>
            <w:r>
              <w:t>6</w:t>
            </w:r>
          </w:p>
        </w:tc>
        <w:tc>
          <w:tcPr>
            <w:tcW w:w="2805" w:type="dxa"/>
            <w:vAlign w:val="center"/>
          </w:tcPr>
          <w:p>
            <w:pPr>
              <w:spacing w:line="360" w:lineRule="auto"/>
              <w:jc w:val="center"/>
            </w:pPr>
            <w:r>
              <w:t>O(</w:t>
            </w:r>
            <w:r>
              <w:rPr>
                <w:vertAlign w:val="superscript"/>
              </w:rPr>
              <w:t>3</w:t>
            </w:r>
            <w:r>
              <w:t>P) + O</w:t>
            </w:r>
            <w:r>
              <w:rPr>
                <w:vertAlign w:val="subscript"/>
              </w:rPr>
              <w:t>3</w:t>
            </w:r>
            <w:r>
              <w:t xml:space="preserve"> </w:t>
            </w:r>
            <w:r>
              <w:sym w:font="Symbol" w:char="F0AE"/>
            </w:r>
            <w:r>
              <w:t xml:space="preserve"> 2O</w:t>
            </w:r>
            <w:r>
              <w:rPr>
                <w:vertAlign w:val="subscript"/>
              </w:rPr>
              <w:t>2</w:t>
            </w:r>
          </w:p>
        </w:tc>
        <w:tc>
          <w:tcPr>
            <w:tcW w:w="5244" w:type="dxa"/>
            <w:vAlign w:val="center"/>
          </w:tcPr>
          <w:p>
            <w:pPr>
              <w:spacing w:line="360" w:lineRule="auto"/>
              <w:jc w:val="center"/>
            </w:pPr>
            <w:r>
              <w:t>8.0</w:t>
            </w:r>
            <w:r>
              <w:sym w:font="Symbol" w:char="F0B4"/>
            </w:r>
            <w:r>
              <w:t>10</w:t>
            </w:r>
            <w:r>
              <w:rPr>
                <w:vertAlign w:val="superscript"/>
              </w:rPr>
              <w:t>-12</w:t>
            </w:r>
            <w:r>
              <w:sym w:font="Symbol" w:char="F0B4"/>
            </w:r>
            <w:r>
              <w:t>e</w:t>
            </w:r>
            <w:r>
              <w:rPr>
                <w:vertAlign w:val="superscript"/>
              </w:rPr>
              <w:t>-2060/T</w:t>
            </w:r>
            <w:r>
              <w:t xml:space="preserve"> cm</w:t>
            </w:r>
            <w:r>
              <w:rPr>
                <w:vertAlign w:val="superscript"/>
              </w:rPr>
              <w:t>3</w:t>
            </w:r>
            <w:r>
              <w:t xml:space="preserve"> molecule</w:t>
            </w:r>
            <w:r>
              <w:rPr>
                <w:vertAlign w:val="superscript"/>
              </w:rPr>
              <w:t>-1</w:t>
            </w:r>
            <w:r>
              <w:t xml:space="preserve"> sec</w:t>
            </w:r>
            <w:r>
              <w:rPr>
                <w:vertAlign w:val="superscript"/>
              </w:rPr>
              <w:t>-1</w:t>
            </w:r>
          </w:p>
        </w:tc>
        <w:tc>
          <w:tcPr>
            <w:tcW w:w="855" w:type="dxa"/>
            <w:vAlign w:val="center"/>
          </w:tcPr>
          <w:p>
            <w:pPr>
              <w:spacing w:line="360" w:lineRule="auto"/>
              <w:jc w:val="center"/>
            </w:pPr>
            <w:hyperlink w:anchor="_ENREF_4" w:tooltip="Burkholder, 2015 #4340" w:history="1">
              <w:r>
                <w:fldChar w:fldCharType="begin"/>
              </w:r>
              <w:r>
                <w:instrText xml:space="preserve"> ADDIN EN.CITE &lt;EndNote&gt;&lt;Cite&gt;&lt;Author&gt;Burkholder&lt;/Author&gt;&lt;Year&gt;2015&lt;/Year&gt;&lt;RecNum&gt;4340&lt;/RecNum&gt;&lt;DisplayText&gt;&lt;style face="superscript"&gt;4&lt;/style&gt;&lt;/DisplayText&gt;&lt;record&gt;&lt;rec-number&gt;4340&lt;/rec-number&gt;&lt;foreign-keys&gt;&lt;key app="EN" db-id="952ffrrvyzt5pcepatvvdz2zvw0da2px2dft"&gt;4340&lt;/key&gt;&lt;/foreign-keys&gt;&lt;ref-type name="Book"&gt;6&lt;/ref-type&gt;&lt;contributors&gt;&lt;authors&gt;&lt;author&gt;Burkholder, J. B.&lt;/author&gt;&lt;author&gt;Sander, S. P.&lt;/author&gt;&lt;author&gt;Abbatt, J. P. D.&lt;/author&gt;&lt;author&gt;Barker, J. R.&lt;/author&gt;&lt;author&gt;Huie, R. E.&lt;/author&gt;&lt;author&gt;Kolb, C. E.&lt;/author&gt;&lt;author&gt;Kurylo, M. J.&lt;/author&gt;&lt;author&gt;Orkin, V. L.&lt;/author&gt;&lt;author&gt;Wilmouth, D. M.&lt;/author&gt;&lt;author&gt;Wine, P. H.&lt;/author&gt;&lt;/authors&gt;&lt;/contributors&gt;&lt;titles&gt;&lt;title&gt;Chemical Kinetics and Photochemical Data for Use in Atmospheric Studies, Evaluation Number 18&lt;/title&gt;&lt;/titles&gt;&lt;num-vols&gt;15-10&lt;/num-vols&gt;&lt;dates&gt;&lt;year&gt;2015&lt;/year&gt;&lt;/dates&gt;&lt;pub-location&gt;Pasadena, California&lt;/pub-location&gt;&lt;publisher&gt;National Aeronautics and Space Administration, Jet Propulsion Laboratory, California Institute of Technology&lt;/publisher&gt;&lt;urls&gt;&lt;related-urls&gt;&lt;url&gt;http://jpldataeval.jpl.nasa.gov/&lt;/url&gt;&lt;/related-urls&gt;&lt;/urls&gt;&lt;/record&gt;&lt;/Cite&gt;&lt;/EndNote&gt;</w:instrText>
              </w:r>
              <w:r>
                <w:fldChar w:fldCharType="separate"/>
              </w:r>
              <w:r>
                <w:rPr>
                  <w:noProof/>
                  <w:vertAlign w:val="superscript"/>
                </w:rPr>
                <w:t>4</w:t>
              </w:r>
              <w:r>
                <w:fldChar w:fldCharType="end"/>
              </w:r>
            </w:hyperlink>
          </w:p>
        </w:tc>
      </w:tr>
      <w:tr>
        <w:tc>
          <w:tcPr>
            <w:tcW w:w="0" w:type="auto"/>
            <w:vAlign w:val="center"/>
          </w:tcPr>
          <w:p>
            <w:pPr>
              <w:spacing w:line="360" w:lineRule="auto"/>
              <w:jc w:val="center"/>
            </w:pPr>
            <w:r>
              <w:t>7</w:t>
            </w:r>
          </w:p>
        </w:tc>
        <w:tc>
          <w:tcPr>
            <w:tcW w:w="2805" w:type="dxa"/>
            <w:vAlign w:val="center"/>
          </w:tcPr>
          <w:p>
            <w:pPr>
              <w:spacing w:line="360" w:lineRule="auto"/>
              <w:jc w:val="center"/>
            </w:pPr>
            <w:r>
              <w:t>O(</w:t>
            </w:r>
            <w:r>
              <w:rPr>
                <w:vertAlign w:val="superscript"/>
              </w:rPr>
              <w:t>1</w:t>
            </w:r>
            <w:r>
              <w:t>D) + N</w:t>
            </w:r>
            <w:r>
              <w:rPr>
                <w:vertAlign w:val="subscript"/>
              </w:rPr>
              <w:t>2</w:t>
            </w:r>
            <w:r>
              <w:t xml:space="preserve"> </w:t>
            </w:r>
            <w:r>
              <w:sym w:font="Symbol" w:char="F0AE"/>
            </w:r>
            <w:r>
              <w:t xml:space="preserve"> O(</w:t>
            </w:r>
            <w:r>
              <w:rPr>
                <w:vertAlign w:val="superscript"/>
              </w:rPr>
              <w:t>3</w:t>
            </w:r>
            <w:r>
              <w:t>P) + N</w:t>
            </w:r>
            <w:r>
              <w:rPr>
                <w:vertAlign w:val="subscript"/>
              </w:rPr>
              <w:t>2</w:t>
            </w:r>
          </w:p>
        </w:tc>
        <w:tc>
          <w:tcPr>
            <w:tcW w:w="5244" w:type="dxa"/>
            <w:vAlign w:val="center"/>
          </w:tcPr>
          <w:p>
            <w:pPr>
              <w:spacing w:line="360" w:lineRule="auto"/>
              <w:jc w:val="center"/>
            </w:pPr>
            <w:r>
              <w:t>2.15</w:t>
            </w:r>
            <w:r>
              <w:sym w:font="Symbol" w:char="F0B4"/>
            </w:r>
            <w:r>
              <w:t>10</w:t>
            </w:r>
            <w:r>
              <w:rPr>
                <w:vertAlign w:val="superscript"/>
              </w:rPr>
              <w:t>-11</w:t>
            </w:r>
            <w:r>
              <w:sym w:font="Symbol" w:char="F0B4"/>
            </w:r>
            <w:r>
              <w:t>e</w:t>
            </w:r>
            <w:r>
              <w:rPr>
                <w:vertAlign w:val="superscript"/>
              </w:rPr>
              <w:t>110/T</w:t>
            </w:r>
            <w:r>
              <w:t xml:space="preserve"> cm</w:t>
            </w:r>
            <w:r>
              <w:rPr>
                <w:vertAlign w:val="superscript"/>
              </w:rPr>
              <w:t>3</w:t>
            </w:r>
            <w:r>
              <w:t xml:space="preserve"> molecule</w:t>
            </w:r>
            <w:r>
              <w:rPr>
                <w:vertAlign w:val="superscript"/>
              </w:rPr>
              <w:t>-1</w:t>
            </w:r>
            <w:r>
              <w:t xml:space="preserve"> sec</w:t>
            </w:r>
            <w:r>
              <w:rPr>
                <w:vertAlign w:val="superscript"/>
              </w:rPr>
              <w:t>-1</w:t>
            </w:r>
          </w:p>
        </w:tc>
        <w:tc>
          <w:tcPr>
            <w:tcW w:w="855" w:type="dxa"/>
            <w:vAlign w:val="center"/>
          </w:tcPr>
          <w:p>
            <w:pPr>
              <w:spacing w:line="360" w:lineRule="auto"/>
              <w:jc w:val="center"/>
            </w:pPr>
            <w:hyperlink w:anchor="_ENREF_4" w:tooltip="Burkholder, 2015 #4340" w:history="1">
              <w:r>
                <w:fldChar w:fldCharType="begin"/>
              </w:r>
              <w:r>
                <w:instrText xml:space="preserve"> ADDIN EN.CITE &lt;EndNote&gt;&lt;Cite&gt;&lt;Author&gt;Burkholder&lt;/Author&gt;&lt;Year&gt;2015&lt;/Year&gt;&lt;RecNum&gt;4340&lt;/RecNum&gt;&lt;DisplayText&gt;&lt;style face="superscript"&gt;4&lt;/style&gt;&lt;/DisplayText&gt;&lt;record&gt;&lt;rec-number&gt;4340&lt;/rec-number&gt;&lt;foreign-keys&gt;&lt;key app="EN" db-id="952ffrrvyzt5pcepatvvdz2zvw0da2px2dft"&gt;4340&lt;/key&gt;&lt;/foreign-keys&gt;&lt;ref-type name="Book"&gt;6&lt;/ref-type&gt;&lt;contributors&gt;&lt;authors&gt;&lt;author&gt;Burkholder, J. B.&lt;/author&gt;&lt;author&gt;Sander, S. P.&lt;/author&gt;&lt;author&gt;Abbatt, J. P. D.&lt;/author&gt;&lt;author&gt;Barker, J. R.&lt;/author&gt;&lt;author&gt;Huie, R. E.&lt;/author&gt;&lt;author&gt;Kolb, C. E.&lt;/author&gt;&lt;author&gt;Kurylo, M. J.&lt;/author&gt;&lt;author&gt;Orkin, V. L.&lt;/author&gt;&lt;author&gt;Wilmouth, D. M.&lt;/author&gt;&lt;author&gt;Wine, P. H.&lt;/author&gt;&lt;/authors&gt;&lt;/contributors&gt;&lt;titles&gt;&lt;title&gt;Chemical Kinetics and Photochemical Data for Use in Atmospheric Studies, Evaluation Number 18&lt;/title&gt;&lt;/titles&gt;&lt;num-vols&gt;15-10&lt;/num-vols&gt;&lt;dates&gt;&lt;year&gt;2015&lt;/year&gt;&lt;/dates&gt;&lt;pub-location&gt;Pasadena, California&lt;/pub-location&gt;&lt;publisher&gt;National Aeronautics and Space Administration, Jet Propulsion Laboratory, California Institute of Technology&lt;/publisher&gt;&lt;urls&gt;&lt;related-urls&gt;&lt;url&gt;http://jpldataeval.jpl.nasa.gov/&lt;/url&gt;&lt;/related-urls&gt;&lt;/urls&gt;&lt;/record&gt;&lt;/Cite&gt;&lt;/EndNote&gt;</w:instrText>
              </w:r>
              <w:r>
                <w:fldChar w:fldCharType="separate"/>
              </w:r>
              <w:r>
                <w:rPr>
                  <w:noProof/>
                  <w:vertAlign w:val="superscript"/>
                </w:rPr>
                <w:t>4</w:t>
              </w:r>
              <w:r>
                <w:fldChar w:fldCharType="end"/>
              </w:r>
            </w:hyperlink>
          </w:p>
        </w:tc>
      </w:tr>
      <w:tr>
        <w:tc>
          <w:tcPr>
            <w:tcW w:w="0" w:type="auto"/>
            <w:vAlign w:val="center"/>
          </w:tcPr>
          <w:p>
            <w:pPr>
              <w:spacing w:line="360" w:lineRule="auto"/>
              <w:jc w:val="center"/>
            </w:pPr>
            <w:r>
              <w:t>8</w:t>
            </w:r>
          </w:p>
        </w:tc>
        <w:tc>
          <w:tcPr>
            <w:tcW w:w="2805" w:type="dxa"/>
            <w:vAlign w:val="center"/>
          </w:tcPr>
          <w:p>
            <w:pPr>
              <w:spacing w:line="360" w:lineRule="auto"/>
              <w:jc w:val="center"/>
            </w:pPr>
            <w:r>
              <w:t>O(</w:t>
            </w:r>
            <w:r>
              <w:rPr>
                <w:vertAlign w:val="superscript"/>
              </w:rPr>
              <w:t>1</w:t>
            </w:r>
            <w:r>
              <w:t>D) + O</w:t>
            </w:r>
            <w:r>
              <w:rPr>
                <w:vertAlign w:val="subscript"/>
              </w:rPr>
              <w:t>2</w:t>
            </w:r>
            <w:r>
              <w:t xml:space="preserve"> </w:t>
            </w:r>
            <w:r>
              <w:sym w:font="Symbol" w:char="F0AE"/>
            </w:r>
            <w:r>
              <w:t xml:space="preserve"> O(</w:t>
            </w:r>
            <w:r>
              <w:rPr>
                <w:vertAlign w:val="superscript"/>
              </w:rPr>
              <w:t>3</w:t>
            </w:r>
            <w:r>
              <w:t>P) + O</w:t>
            </w:r>
            <w:r>
              <w:rPr>
                <w:vertAlign w:val="subscript"/>
              </w:rPr>
              <w:t>2</w:t>
            </w:r>
          </w:p>
        </w:tc>
        <w:tc>
          <w:tcPr>
            <w:tcW w:w="5244" w:type="dxa"/>
            <w:vAlign w:val="center"/>
          </w:tcPr>
          <w:p>
            <w:pPr>
              <w:jc w:val="center"/>
            </w:pPr>
            <w:r>
              <w:t>3.3</w:t>
            </w:r>
            <w:r>
              <w:sym w:font="Symbol" w:char="F0B4"/>
            </w:r>
            <w:r>
              <w:t>10</w:t>
            </w:r>
            <w:r>
              <w:rPr>
                <w:vertAlign w:val="superscript"/>
              </w:rPr>
              <w:t>-11</w:t>
            </w:r>
            <w:r>
              <w:sym w:font="Symbol" w:char="F0B4"/>
            </w:r>
            <w:r>
              <w:t>e</w:t>
            </w:r>
            <w:r>
              <w:rPr>
                <w:vertAlign w:val="superscript"/>
              </w:rPr>
              <w:t>55/T</w:t>
            </w:r>
            <w:r>
              <w:t xml:space="preserve"> cm</w:t>
            </w:r>
            <w:r>
              <w:rPr>
                <w:vertAlign w:val="superscript"/>
              </w:rPr>
              <w:t>3</w:t>
            </w:r>
            <w:r>
              <w:t xml:space="preserve"> molecule</w:t>
            </w:r>
            <w:r>
              <w:rPr>
                <w:vertAlign w:val="superscript"/>
              </w:rPr>
              <w:t>-1</w:t>
            </w:r>
            <w:r>
              <w:t xml:space="preserve"> sec</w:t>
            </w:r>
            <w:r>
              <w:rPr>
                <w:vertAlign w:val="superscript"/>
              </w:rPr>
              <w:t>-1</w:t>
            </w:r>
            <w:r>
              <w:t xml:space="preserve"> </w:t>
            </w:r>
          </w:p>
        </w:tc>
        <w:tc>
          <w:tcPr>
            <w:tcW w:w="855" w:type="dxa"/>
            <w:vAlign w:val="center"/>
          </w:tcPr>
          <w:p>
            <w:pPr>
              <w:spacing w:line="360" w:lineRule="auto"/>
              <w:jc w:val="center"/>
            </w:pPr>
            <w:hyperlink w:anchor="_ENREF_4" w:tooltip="Burkholder, 2015 #4340" w:history="1">
              <w:r>
                <w:fldChar w:fldCharType="begin"/>
              </w:r>
              <w:r>
                <w:instrText xml:space="preserve"> ADDIN EN.CITE &lt;EndNote&gt;&lt;Cite&gt;&lt;Author&gt;Burkholder&lt;/Author&gt;&lt;Year&gt;2015&lt;/Year&gt;&lt;RecNum&gt;4340&lt;/RecNum&gt;&lt;DisplayText&gt;&lt;style face="superscript"&gt;4&lt;/style&gt;&lt;/DisplayText&gt;&lt;record&gt;&lt;rec-number&gt;4340&lt;/rec-number&gt;&lt;foreign-keys&gt;&lt;key app="EN" db-id="952ffrrvyzt5pcepatvvdz2zvw0da2px2dft"&gt;4340&lt;/key&gt;&lt;/foreign-keys&gt;&lt;ref-type name="Book"&gt;6&lt;/ref-type&gt;&lt;contributors&gt;&lt;authors&gt;&lt;author&gt;Burkholder, J. B.&lt;/author&gt;&lt;author&gt;Sander, S. P.&lt;/author&gt;&lt;author&gt;Abbatt, J. P. D.&lt;/author&gt;&lt;author&gt;Barker, J. R.&lt;/author&gt;&lt;author&gt;Huie, R. E.&lt;/author&gt;&lt;author&gt;Kolb, C. E.&lt;/author&gt;&lt;author&gt;Kurylo, M. J.&lt;/author&gt;&lt;author&gt;Orkin, V. L.&lt;/author&gt;&lt;author&gt;Wilmouth, D. M.&lt;/author&gt;&lt;author&gt;Wine, P. H.&lt;/author&gt;&lt;/authors&gt;&lt;/contributors&gt;&lt;titles&gt;&lt;title&gt;Chemical Kinetics and Photochemical Data for Use in Atmospheric Studies, Evaluation Number 18&lt;/title&gt;&lt;/titles&gt;&lt;num-vols&gt;15-10&lt;/num-vols&gt;&lt;dates&gt;&lt;year&gt;2015&lt;/year&gt;&lt;/dates&gt;&lt;pub-location&gt;Pasadena, California&lt;/pub-location&gt;&lt;publisher&gt;National Aeronautics and Space Administration, Jet Propulsion Laboratory, California Institute of Technology&lt;/publisher&gt;&lt;urls&gt;&lt;related-urls&gt;&lt;url&gt;http://jpldataeval.jpl.nasa.gov/&lt;/url&gt;&lt;/related-urls&gt;&lt;/urls&gt;&lt;/record&gt;&lt;/Cite&gt;&lt;/EndNote&gt;</w:instrText>
              </w:r>
              <w:r>
                <w:fldChar w:fldCharType="separate"/>
              </w:r>
              <w:r>
                <w:rPr>
                  <w:noProof/>
                  <w:vertAlign w:val="superscript"/>
                </w:rPr>
                <w:t>4</w:t>
              </w:r>
              <w:r>
                <w:fldChar w:fldCharType="end"/>
              </w:r>
            </w:hyperlink>
          </w:p>
        </w:tc>
      </w:tr>
      <w:tr>
        <w:tc>
          <w:tcPr>
            <w:tcW w:w="0" w:type="auto"/>
            <w:vAlign w:val="center"/>
          </w:tcPr>
          <w:p>
            <w:pPr>
              <w:spacing w:line="360" w:lineRule="auto"/>
              <w:jc w:val="center"/>
            </w:pPr>
            <w:r>
              <w:t>9a</w:t>
            </w:r>
          </w:p>
        </w:tc>
        <w:tc>
          <w:tcPr>
            <w:tcW w:w="2805" w:type="dxa"/>
            <w:vAlign w:val="center"/>
          </w:tcPr>
          <w:p>
            <w:pPr>
              <w:spacing w:line="360" w:lineRule="auto"/>
              <w:jc w:val="center"/>
            </w:pPr>
            <w:r>
              <w:t>O(</w:t>
            </w:r>
            <w:r>
              <w:rPr>
                <w:vertAlign w:val="superscript"/>
              </w:rPr>
              <w:t>1</w:t>
            </w:r>
            <w:r>
              <w:t>D) + O</w:t>
            </w:r>
            <w:r>
              <w:rPr>
                <w:vertAlign w:val="subscript"/>
              </w:rPr>
              <w:t>3</w:t>
            </w:r>
            <w:r>
              <w:t xml:space="preserve"> </w:t>
            </w:r>
            <w:r>
              <w:sym w:font="Symbol" w:char="F0AE"/>
            </w:r>
            <w:r>
              <w:t xml:space="preserve"> 2O</w:t>
            </w:r>
            <w:r>
              <w:rPr>
                <w:vertAlign w:val="subscript"/>
              </w:rPr>
              <w:t>2</w:t>
            </w:r>
          </w:p>
        </w:tc>
        <w:tc>
          <w:tcPr>
            <w:tcW w:w="5244" w:type="dxa"/>
            <w:vAlign w:val="center"/>
          </w:tcPr>
          <w:p>
            <w:pPr>
              <w:spacing w:line="360" w:lineRule="auto"/>
              <w:jc w:val="center"/>
            </w:pPr>
            <w:r>
              <w:t>1.2</w:t>
            </w:r>
            <w:r>
              <w:sym w:font="Symbol" w:char="F0B4"/>
            </w:r>
            <w:r>
              <w:t>10</w:t>
            </w:r>
            <w:r>
              <w:rPr>
                <w:vertAlign w:val="superscript"/>
              </w:rPr>
              <w:t>-10</w:t>
            </w:r>
            <w:r>
              <w:t xml:space="preserve"> cm</w:t>
            </w:r>
            <w:r>
              <w:rPr>
                <w:vertAlign w:val="superscript"/>
              </w:rPr>
              <w:t>3</w:t>
            </w:r>
            <w:r>
              <w:t xml:space="preserve"> molecule</w:t>
            </w:r>
            <w:r>
              <w:rPr>
                <w:vertAlign w:val="superscript"/>
              </w:rPr>
              <w:t>-1</w:t>
            </w:r>
            <w:r>
              <w:t xml:space="preserve"> sec</w:t>
            </w:r>
            <w:r>
              <w:rPr>
                <w:vertAlign w:val="superscript"/>
              </w:rPr>
              <w:t>-1</w:t>
            </w:r>
          </w:p>
        </w:tc>
        <w:tc>
          <w:tcPr>
            <w:tcW w:w="855" w:type="dxa"/>
            <w:vAlign w:val="center"/>
          </w:tcPr>
          <w:p>
            <w:pPr>
              <w:spacing w:line="360" w:lineRule="auto"/>
              <w:jc w:val="center"/>
            </w:pPr>
            <w:hyperlink w:anchor="_ENREF_4" w:tooltip="Burkholder, 2015 #4340" w:history="1">
              <w:r>
                <w:fldChar w:fldCharType="begin"/>
              </w:r>
              <w:r>
                <w:instrText xml:space="preserve"> ADDIN EN.CITE &lt;EndNote&gt;&lt;Cite&gt;&lt;Author&gt;Burkholder&lt;/Author&gt;&lt;Year&gt;2015&lt;/Year&gt;&lt;RecNum&gt;4340&lt;/RecNum&gt;&lt;DisplayText&gt;&lt;style face="superscript"&gt;4&lt;/style&gt;&lt;/DisplayText&gt;&lt;record&gt;&lt;rec-number&gt;4340&lt;/rec-number&gt;&lt;foreign-keys&gt;&lt;key app="EN" db-id="952ffrrvyzt5pcepatvvdz2zvw0da2px2dft"&gt;4340&lt;/key&gt;&lt;/foreign-keys&gt;&lt;ref-type name="Book"&gt;6&lt;/ref-type&gt;&lt;contributors&gt;&lt;authors&gt;&lt;author&gt;Burkholder, J. B.&lt;/author&gt;&lt;author&gt;Sander, S. P.&lt;/author&gt;&lt;author&gt;Abbatt, J. P. D.&lt;/author&gt;&lt;author&gt;Barker, J. R.&lt;/author&gt;&lt;author&gt;Huie, R. E.&lt;/author&gt;&lt;author&gt;Kolb, C. E.&lt;/author&gt;&lt;author&gt;Kurylo, M. J.&lt;/author&gt;&lt;author&gt;Orkin, V. L.&lt;/author&gt;&lt;author&gt;Wilmouth, D. M.&lt;/author&gt;&lt;author&gt;Wine, P. H.&lt;/author&gt;&lt;/authors&gt;&lt;/contributors&gt;&lt;titles&gt;&lt;title&gt;Chemical Kinetics and Photochemical Data for Use in Atmospheric Studies, Evaluation Number 18&lt;/title&gt;&lt;/titles&gt;&lt;num-vols&gt;15-10&lt;/num-vols&gt;&lt;dates&gt;&lt;year&gt;2015&lt;/year&gt;&lt;/dates&gt;&lt;pub-location&gt;Pasadena, California&lt;/pub-location&gt;&lt;publisher&gt;National Aeronautics and Space Administration, Jet Propulsion Laboratory, California Institute of Technology&lt;/publisher&gt;&lt;urls&gt;&lt;related-urls&gt;&lt;url&gt;http://jpldataeval.jpl.nasa.gov/&lt;/url&gt;&lt;/related-urls&gt;&lt;/urls&gt;&lt;/record&gt;&lt;/Cite&gt;&lt;/EndNote&gt;</w:instrText>
              </w:r>
              <w:r>
                <w:fldChar w:fldCharType="separate"/>
              </w:r>
              <w:r>
                <w:rPr>
                  <w:noProof/>
                  <w:vertAlign w:val="superscript"/>
                </w:rPr>
                <w:t>4</w:t>
              </w:r>
              <w:r>
                <w:fldChar w:fldCharType="end"/>
              </w:r>
            </w:hyperlink>
          </w:p>
        </w:tc>
      </w:tr>
      <w:tr>
        <w:tc>
          <w:tcPr>
            <w:tcW w:w="0" w:type="auto"/>
            <w:vAlign w:val="center"/>
          </w:tcPr>
          <w:p>
            <w:pPr>
              <w:spacing w:line="360" w:lineRule="auto"/>
              <w:jc w:val="center"/>
            </w:pPr>
            <w:r>
              <w:t>9b</w:t>
            </w:r>
          </w:p>
        </w:tc>
        <w:tc>
          <w:tcPr>
            <w:tcW w:w="2805" w:type="dxa"/>
            <w:vAlign w:val="center"/>
          </w:tcPr>
          <w:p>
            <w:pPr>
              <w:spacing w:line="360" w:lineRule="auto"/>
              <w:jc w:val="center"/>
            </w:pPr>
            <w:r>
              <w:t>O(</w:t>
            </w:r>
            <w:r>
              <w:rPr>
                <w:vertAlign w:val="superscript"/>
              </w:rPr>
              <w:t>1</w:t>
            </w:r>
            <w:r>
              <w:t>D) + O</w:t>
            </w:r>
            <w:r>
              <w:rPr>
                <w:vertAlign w:val="subscript"/>
              </w:rPr>
              <w:t>3</w:t>
            </w:r>
            <w:r>
              <w:rPr>
                <w:vertAlign w:val="subscript"/>
              </w:rPr>
              <w:br/>
            </w:r>
            <w:r>
              <w:sym w:font="Symbol" w:char="F0AE"/>
            </w:r>
            <w:r>
              <w:t xml:space="preserve"> 2O(</w:t>
            </w:r>
            <w:r>
              <w:rPr>
                <w:vertAlign w:val="superscript"/>
              </w:rPr>
              <w:t>3</w:t>
            </w:r>
            <w:r>
              <w:t>P) + O</w:t>
            </w:r>
            <w:r>
              <w:rPr>
                <w:vertAlign w:val="subscript"/>
              </w:rPr>
              <w:t>2</w:t>
            </w:r>
          </w:p>
        </w:tc>
        <w:tc>
          <w:tcPr>
            <w:tcW w:w="5244" w:type="dxa"/>
            <w:vAlign w:val="center"/>
          </w:tcPr>
          <w:p>
            <w:pPr>
              <w:spacing w:line="360" w:lineRule="auto"/>
              <w:jc w:val="center"/>
            </w:pPr>
            <w:r>
              <w:t>1.2</w:t>
            </w:r>
            <w:r>
              <w:sym w:font="Symbol" w:char="F0B4"/>
            </w:r>
            <w:r>
              <w:t>10</w:t>
            </w:r>
            <w:r>
              <w:rPr>
                <w:vertAlign w:val="superscript"/>
              </w:rPr>
              <w:t>-10</w:t>
            </w:r>
            <w:r>
              <w:t xml:space="preserve"> cm</w:t>
            </w:r>
            <w:r>
              <w:rPr>
                <w:vertAlign w:val="superscript"/>
              </w:rPr>
              <w:t>3</w:t>
            </w:r>
            <w:r>
              <w:t xml:space="preserve"> molecule</w:t>
            </w:r>
            <w:r>
              <w:rPr>
                <w:vertAlign w:val="superscript"/>
              </w:rPr>
              <w:t>-1</w:t>
            </w:r>
            <w:r>
              <w:t xml:space="preserve"> sec</w:t>
            </w:r>
            <w:r>
              <w:rPr>
                <w:vertAlign w:val="superscript"/>
              </w:rPr>
              <w:t>-1</w:t>
            </w:r>
          </w:p>
        </w:tc>
        <w:tc>
          <w:tcPr>
            <w:tcW w:w="855" w:type="dxa"/>
            <w:vAlign w:val="center"/>
          </w:tcPr>
          <w:p>
            <w:pPr>
              <w:spacing w:line="360" w:lineRule="auto"/>
              <w:jc w:val="center"/>
            </w:pPr>
            <w:hyperlink w:anchor="_ENREF_4" w:tooltip="Burkholder, 2015 #4340" w:history="1">
              <w:r>
                <w:fldChar w:fldCharType="begin"/>
              </w:r>
              <w:r>
                <w:instrText xml:space="preserve"> ADDIN EN.CITE &lt;EndNote&gt;&lt;Cite&gt;&lt;Author&gt;Burkholder&lt;/Author&gt;&lt;Year&gt;2015&lt;/Year&gt;&lt;RecNum&gt;4340&lt;/RecNum&gt;&lt;DisplayText&gt;&lt;style face="superscript"&gt;4&lt;/style&gt;&lt;/DisplayText&gt;&lt;record&gt;&lt;rec-number&gt;4340&lt;/rec-number&gt;&lt;foreign-keys&gt;&lt;key app="EN" db-id="952ffrrvyzt5pcepatvvdz2zvw0da2px2dft"&gt;4340&lt;/key&gt;&lt;/foreign-keys&gt;&lt;ref-type name="Book"&gt;6&lt;/ref-type&gt;&lt;contributors&gt;&lt;authors&gt;&lt;author&gt;Burkholder, J. B.&lt;/author&gt;&lt;author&gt;Sander, S. P.&lt;/author&gt;&lt;author&gt;Abbatt, J. P. D.&lt;/author&gt;&lt;author&gt;Barker, J. R.&lt;/author&gt;&lt;author&gt;Huie, R. E.&lt;/author&gt;&lt;author&gt;Kolb, C. E.&lt;/author&gt;&lt;author&gt;Kurylo, M. J.&lt;/author&gt;&lt;author&gt;Orkin, V. L.&lt;/author&gt;&lt;author&gt;Wilmouth, D. M.&lt;/author&gt;&lt;author&gt;Wine, P. H.&lt;/author&gt;&lt;/authors&gt;&lt;/contributors&gt;&lt;titles&gt;&lt;title&gt;Chemical Kinetics and Photochemical Data for Use in Atmospheric Studies, Evaluation Number 18&lt;/title&gt;&lt;/titles&gt;&lt;num-vols&gt;15-10&lt;/num-vols&gt;&lt;dates&gt;&lt;year&gt;2015&lt;/year&gt;&lt;/dates&gt;&lt;pub-location&gt;Pasadena, California&lt;/pub-location&gt;&lt;publisher&gt;National Aeronautics and Space Administration, Jet Propulsion Laboratory, California Institute of Technology&lt;/publisher&gt;&lt;urls&gt;&lt;related-urls&gt;&lt;url&gt;http://jpldataeval.jpl.nasa.gov/&lt;/url&gt;&lt;/related-urls&gt;&lt;/urls&gt;&lt;/record&gt;&lt;/Cite&gt;&lt;/EndNote&gt;</w:instrText>
              </w:r>
              <w:r>
                <w:fldChar w:fldCharType="separate"/>
              </w:r>
              <w:r>
                <w:rPr>
                  <w:noProof/>
                  <w:vertAlign w:val="superscript"/>
                </w:rPr>
                <w:t>4</w:t>
              </w:r>
              <w:r>
                <w:fldChar w:fldCharType="end"/>
              </w:r>
            </w:hyperlink>
          </w:p>
        </w:tc>
      </w:tr>
      <w:tr>
        <w:tc>
          <w:tcPr>
            <w:tcW w:w="0" w:type="auto"/>
            <w:vAlign w:val="center"/>
          </w:tcPr>
          <w:p>
            <w:pPr>
              <w:spacing w:line="360" w:lineRule="auto"/>
              <w:jc w:val="center"/>
            </w:pPr>
            <w:r>
              <w:t>10</w:t>
            </w:r>
          </w:p>
        </w:tc>
        <w:tc>
          <w:tcPr>
            <w:tcW w:w="2805" w:type="dxa"/>
            <w:vAlign w:val="center"/>
          </w:tcPr>
          <w:p>
            <w:pPr>
              <w:spacing w:line="360" w:lineRule="auto"/>
              <w:jc w:val="center"/>
            </w:pPr>
            <w:r>
              <w:t>O(</w:t>
            </w:r>
            <w:r>
              <w:rPr>
                <w:vertAlign w:val="superscript"/>
              </w:rPr>
              <w:t>1</w:t>
            </w:r>
            <w:r>
              <w:t>D) + H</w:t>
            </w:r>
            <w:r>
              <w:rPr>
                <w:vertAlign w:val="subscript"/>
              </w:rPr>
              <w:t>2</w:t>
            </w:r>
            <w:r>
              <w:t xml:space="preserve">O </w:t>
            </w:r>
            <w:r>
              <w:sym w:font="Symbol" w:char="F0AE"/>
            </w:r>
            <w:r>
              <w:t xml:space="preserve"> 2 HO</w:t>
            </w:r>
          </w:p>
        </w:tc>
        <w:tc>
          <w:tcPr>
            <w:tcW w:w="5244" w:type="dxa"/>
            <w:vAlign w:val="center"/>
          </w:tcPr>
          <w:p>
            <w:pPr>
              <w:spacing w:line="360" w:lineRule="auto"/>
              <w:jc w:val="center"/>
            </w:pPr>
            <w:r>
              <w:t>1.63</w:t>
            </w:r>
            <w:r>
              <w:sym w:font="Symbol" w:char="F0B4"/>
            </w:r>
            <w:r>
              <w:t>10</w:t>
            </w:r>
            <w:r>
              <w:rPr>
                <w:vertAlign w:val="superscript"/>
              </w:rPr>
              <w:t>-10</w:t>
            </w:r>
            <w:r>
              <w:sym w:font="Symbol" w:char="F0B4"/>
            </w:r>
            <w:r>
              <w:t>e</w:t>
            </w:r>
            <w:r>
              <w:rPr>
                <w:vertAlign w:val="superscript"/>
              </w:rPr>
              <w:t>60/T</w:t>
            </w:r>
            <w:r>
              <w:t xml:space="preserve"> cm</w:t>
            </w:r>
            <w:r>
              <w:rPr>
                <w:vertAlign w:val="superscript"/>
              </w:rPr>
              <w:t>3</w:t>
            </w:r>
            <w:r>
              <w:t xml:space="preserve"> molecule</w:t>
            </w:r>
            <w:r>
              <w:rPr>
                <w:vertAlign w:val="superscript"/>
              </w:rPr>
              <w:t>-1</w:t>
            </w:r>
            <w:r>
              <w:t xml:space="preserve"> sec</w:t>
            </w:r>
            <w:r>
              <w:rPr>
                <w:vertAlign w:val="superscript"/>
              </w:rPr>
              <w:t>-1</w:t>
            </w:r>
          </w:p>
        </w:tc>
        <w:tc>
          <w:tcPr>
            <w:tcW w:w="855" w:type="dxa"/>
            <w:vAlign w:val="center"/>
          </w:tcPr>
          <w:p>
            <w:pPr>
              <w:spacing w:line="360" w:lineRule="auto"/>
              <w:jc w:val="center"/>
            </w:pPr>
            <w:hyperlink w:anchor="_ENREF_4" w:tooltip="Burkholder, 2015 #4340" w:history="1">
              <w:r>
                <w:fldChar w:fldCharType="begin"/>
              </w:r>
              <w:r>
                <w:instrText xml:space="preserve"> ADDIN EN.CITE &lt;EndNote&gt;&lt;Cite&gt;&lt;Author&gt;Burkholder&lt;/Author&gt;&lt;Year&gt;2015&lt;/Year&gt;&lt;RecNum&gt;4340&lt;/RecNum&gt;&lt;DisplayText&gt;&lt;style face="superscript"&gt;4&lt;/style&gt;&lt;/DisplayText&gt;&lt;record&gt;&lt;rec-number&gt;4340&lt;/rec-number&gt;&lt;foreign-keys&gt;&lt;key app="EN" db-id="952ffrrvyzt5pcepatvvdz2zvw0da2px2dft"&gt;4340&lt;/key&gt;&lt;/foreign-keys&gt;&lt;ref-type name="Book"&gt;6&lt;/ref-type&gt;&lt;contributors&gt;&lt;authors&gt;&lt;author&gt;Burkholder, J. B.&lt;/author&gt;&lt;author&gt;Sander, S. P.&lt;/author&gt;&lt;author&gt;Abbatt, J. P. D.&lt;/author&gt;&lt;author&gt;Barker, J. R.&lt;/author&gt;&lt;author&gt;Huie, R. E.&lt;/author&gt;&lt;author&gt;Kolb, C. E.&lt;/author&gt;&lt;author&gt;Kurylo, M. J.&lt;/author&gt;&lt;author&gt;Orkin, V. L.&lt;/author&gt;&lt;author&gt;Wilmouth, D. M.&lt;/author&gt;&lt;author&gt;Wine, P. H.&lt;/author&gt;&lt;/authors&gt;&lt;/contributors&gt;&lt;titles&gt;&lt;title&gt;Chemical Kinetics and Photochemical Data for Use in Atmospheric Studies, Evaluation Number 18&lt;/title&gt;&lt;/titles&gt;&lt;num-vols&gt;15-10&lt;/num-vols&gt;&lt;dates&gt;&lt;year&gt;2015&lt;/year&gt;&lt;/dates&gt;&lt;pub-location&gt;Pasadena, California&lt;/pub-location&gt;&lt;publisher&gt;National Aeronautics and Space Administration, Jet Propulsion Laboratory, California Institute of Technology&lt;/publisher&gt;&lt;urls&gt;&lt;related-urls&gt;&lt;url&gt;http://jpldataeval.jpl.nasa.gov/&lt;/url&gt;&lt;/related-urls&gt;&lt;/urls&gt;&lt;/record&gt;&lt;/Cite&gt;&lt;/EndNote&gt;</w:instrText>
              </w:r>
              <w:r>
                <w:fldChar w:fldCharType="separate"/>
              </w:r>
              <w:r>
                <w:rPr>
                  <w:noProof/>
                  <w:vertAlign w:val="superscript"/>
                </w:rPr>
                <w:t>4</w:t>
              </w:r>
              <w:r>
                <w:fldChar w:fldCharType="end"/>
              </w:r>
            </w:hyperlink>
          </w:p>
        </w:tc>
      </w:tr>
      <w:tr>
        <w:tc>
          <w:tcPr>
            <w:tcW w:w="0" w:type="auto"/>
            <w:vAlign w:val="center"/>
          </w:tcPr>
          <w:p>
            <w:pPr>
              <w:spacing w:line="360" w:lineRule="auto"/>
              <w:jc w:val="center"/>
            </w:pPr>
            <w:r>
              <w:t>11</w:t>
            </w:r>
          </w:p>
        </w:tc>
        <w:tc>
          <w:tcPr>
            <w:tcW w:w="2805" w:type="dxa"/>
            <w:vAlign w:val="center"/>
          </w:tcPr>
          <w:p>
            <w:pPr>
              <w:spacing w:line="360" w:lineRule="auto"/>
              <w:jc w:val="center"/>
            </w:pPr>
            <w:r>
              <w:t>NO + O</w:t>
            </w:r>
            <w:r>
              <w:rPr>
                <w:vertAlign w:val="subscript"/>
              </w:rPr>
              <w:t>3</w:t>
            </w:r>
            <w:r>
              <w:t xml:space="preserve"> </w:t>
            </w:r>
            <w:r>
              <w:sym w:font="Symbol" w:char="F0AE"/>
            </w:r>
            <w:r>
              <w:t xml:space="preserve"> NO</w:t>
            </w:r>
            <w:r>
              <w:rPr>
                <w:vertAlign w:val="subscript"/>
              </w:rPr>
              <w:t>2</w:t>
            </w:r>
            <w:r>
              <w:t xml:space="preserve"> + O</w:t>
            </w:r>
            <w:r>
              <w:rPr>
                <w:vertAlign w:val="subscript"/>
              </w:rPr>
              <w:t>2</w:t>
            </w:r>
          </w:p>
        </w:tc>
        <w:tc>
          <w:tcPr>
            <w:tcW w:w="5244" w:type="dxa"/>
            <w:vAlign w:val="center"/>
          </w:tcPr>
          <w:p>
            <w:pPr>
              <w:spacing w:line="360" w:lineRule="auto"/>
              <w:jc w:val="center"/>
            </w:pPr>
            <w:r>
              <w:t>3.0</w:t>
            </w:r>
            <w:r>
              <w:sym w:font="Symbol" w:char="F0B4"/>
            </w:r>
            <w:r>
              <w:t>10</w:t>
            </w:r>
            <w:r>
              <w:rPr>
                <w:vertAlign w:val="superscript"/>
              </w:rPr>
              <w:t>-12</w:t>
            </w:r>
            <w:r>
              <w:sym w:font="Symbol" w:char="F0B4"/>
            </w:r>
            <w:r>
              <w:t>e</w:t>
            </w:r>
            <w:r>
              <w:rPr>
                <w:vertAlign w:val="superscript"/>
              </w:rPr>
              <w:t>-1500/T</w:t>
            </w:r>
            <w:r>
              <w:t xml:space="preserve"> cm</w:t>
            </w:r>
            <w:r>
              <w:rPr>
                <w:vertAlign w:val="superscript"/>
              </w:rPr>
              <w:t>3</w:t>
            </w:r>
            <w:r>
              <w:t xml:space="preserve"> molecule</w:t>
            </w:r>
            <w:r>
              <w:rPr>
                <w:vertAlign w:val="superscript"/>
              </w:rPr>
              <w:t>-1</w:t>
            </w:r>
            <w:r>
              <w:t xml:space="preserve"> sec</w:t>
            </w:r>
            <w:r>
              <w:rPr>
                <w:vertAlign w:val="superscript"/>
              </w:rPr>
              <w:t>-1</w:t>
            </w:r>
          </w:p>
        </w:tc>
        <w:tc>
          <w:tcPr>
            <w:tcW w:w="855" w:type="dxa"/>
            <w:vAlign w:val="center"/>
          </w:tcPr>
          <w:p>
            <w:pPr>
              <w:spacing w:line="360" w:lineRule="auto"/>
              <w:jc w:val="center"/>
            </w:pPr>
            <w:hyperlink w:anchor="_ENREF_4" w:tooltip="Burkholder, 2015 #4340" w:history="1">
              <w:r>
                <w:fldChar w:fldCharType="begin"/>
              </w:r>
              <w:r>
                <w:instrText xml:space="preserve"> ADDIN EN.CITE &lt;EndNote&gt;&lt;Cite&gt;&lt;Author&gt;Burkholder&lt;/Author&gt;&lt;Year&gt;2015&lt;/Year&gt;&lt;RecNum&gt;4340&lt;/RecNum&gt;&lt;DisplayText&gt;&lt;style face="superscript"&gt;4&lt;/style&gt;&lt;/DisplayText&gt;&lt;record&gt;&lt;rec-number&gt;4340&lt;/rec-number&gt;&lt;foreign-keys&gt;&lt;key app="EN" db-id="952ffrrvyzt5pcepatvvdz2zvw0da2px2dft"&gt;4340&lt;/key&gt;&lt;/foreign-keys&gt;&lt;ref-type name="Book"&gt;6&lt;/ref-type&gt;&lt;contributors&gt;&lt;authors&gt;&lt;author&gt;Burkholder, J. B.&lt;/author&gt;&lt;author&gt;Sander, S. P.&lt;/author&gt;&lt;author&gt;Abbatt, J. P. D.&lt;/author&gt;&lt;author&gt;Barker, J. R.&lt;/author&gt;&lt;author&gt;Huie, R. E.&lt;/author&gt;&lt;author&gt;Kolb, C. E.&lt;/author&gt;&lt;author&gt;Kurylo, M. J.&lt;/author&gt;&lt;author&gt;Orkin, V. L.&lt;/author&gt;&lt;author&gt;Wilmouth, D. M.&lt;/author&gt;&lt;author&gt;Wine, P. H.&lt;/author&gt;&lt;/authors&gt;&lt;/contributors&gt;&lt;titles&gt;&lt;title&gt;Chemical Kinetics and Photochemical Data for Use in Atmospheric Studies, Evaluation Number 18&lt;/title&gt;&lt;/titles&gt;&lt;num-vols&gt;15-10&lt;/num-vols&gt;&lt;dates&gt;&lt;year&gt;2015&lt;/year&gt;&lt;/dates&gt;&lt;pub-location&gt;Pasadena, California&lt;/pub-location&gt;&lt;publisher&gt;National Aeronautics and Space Administration, Jet Propulsion Laboratory, California Institute of Technology&lt;/publisher&gt;&lt;urls&gt;&lt;related-urls&gt;&lt;url&gt;http://jpldataeval.jpl.nasa.gov/&lt;/url&gt;&lt;/related-urls&gt;&lt;/urls&gt;&lt;/record&gt;&lt;/Cite&gt;&lt;/EndNote&gt;</w:instrText>
              </w:r>
              <w:r>
                <w:fldChar w:fldCharType="separate"/>
              </w:r>
              <w:r>
                <w:rPr>
                  <w:noProof/>
                  <w:vertAlign w:val="superscript"/>
                </w:rPr>
                <w:t>4</w:t>
              </w:r>
              <w:r>
                <w:fldChar w:fldCharType="end"/>
              </w:r>
            </w:hyperlink>
          </w:p>
        </w:tc>
      </w:tr>
      <w:tr>
        <w:tc>
          <w:tcPr>
            <w:tcW w:w="0" w:type="auto"/>
            <w:vAlign w:val="center"/>
          </w:tcPr>
          <w:p>
            <w:pPr>
              <w:spacing w:line="360" w:lineRule="auto"/>
              <w:jc w:val="center"/>
            </w:pPr>
            <w:r>
              <w:t>12</w:t>
            </w:r>
          </w:p>
        </w:tc>
        <w:tc>
          <w:tcPr>
            <w:tcW w:w="2805" w:type="dxa"/>
            <w:vAlign w:val="center"/>
          </w:tcPr>
          <w:p>
            <w:pPr>
              <w:spacing w:line="360" w:lineRule="auto"/>
              <w:jc w:val="center"/>
            </w:pPr>
            <w:r>
              <w:t>NO</w:t>
            </w:r>
            <w:r>
              <w:rPr>
                <w:vertAlign w:val="subscript"/>
              </w:rPr>
              <w:t>2</w:t>
            </w:r>
            <w:r>
              <w:t xml:space="preserve"> + O(</w:t>
            </w:r>
            <w:r>
              <w:rPr>
                <w:vertAlign w:val="superscript"/>
              </w:rPr>
              <w:t>3</w:t>
            </w:r>
            <w:r>
              <w:t xml:space="preserve">P) </w:t>
            </w:r>
            <w:r>
              <w:sym w:font="Symbol" w:char="F0AE"/>
            </w:r>
            <w:r>
              <w:t xml:space="preserve"> NO + O</w:t>
            </w:r>
            <w:r>
              <w:rPr>
                <w:vertAlign w:val="subscript"/>
              </w:rPr>
              <w:t>2</w:t>
            </w:r>
          </w:p>
        </w:tc>
        <w:tc>
          <w:tcPr>
            <w:tcW w:w="5244" w:type="dxa"/>
            <w:vAlign w:val="center"/>
          </w:tcPr>
          <w:p>
            <w:pPr>
              <w:spacing w:line="360" w:lineRule="auto"/>
              <w:jc w:val="center"/>
            </w:pPr>
            <w:r>
              <w:t>1.04</w:t>
            </w:r>
            <w:r>
              <w:sym w:font="Symbol" w:char="F0B4"/>
            </w:r>
            <w:r>
              <w:t>10</w:t>
            </w:r>
            <w:r>
              <w:rPr>
                <w:vertAlign w:val="superscript"/>
              </w:rPr>
              <w:t>-11</w:t>
            </w:r>
            <w:r>
              <w:sym w:font="Symbol" w:char="F0B4"/>
            </w:r>
            <w:r>
              <w:t>e</w:t>
            </w:r>
            <w:r>
              <w:rPr>
                <w:vertAlign w:val="superscript"/>
              </w:rPr>
              <w:t>210/T</w:t>
            </w:r>
            <w:r>
              <w:t xml:space="preserve"> cm</w:t>
            </w:r>
            <w:r>
              <w:rPr>
                <w:vertAlign w:val="superscript"/>
              </w:rPr>
              <w:t>3</w:t>
            </w:r>
            <w:r>
              <w:t xml:space="preserve"> molecule</w:t>
            </w:r>
            <w:r>
              <w:rPr>
                <w:vertAlign w:val="superscript"/>
              </w:rPr>
              <w:t>-1</w:t>
            </w:r>
            <w:r>
              <w:t xml:space="preserve"> sec</w:t>
            </w:r>
            <w:r>
              <w:rPr>
                <w:vertAlign w:val="superscript"/>
              </w:rPr>
              <w:t>-1</w:t>
            </w:r>
          </w:p>
        </w:tc>
        <w:tc>
          <w:tcPr>
            <w:tcW w:w="855" w:type="dxa"/>
            <w:vAlign w:val="center"/>
          </w:tcPr>
          <w:p>
            <w:pPr>
              <w:spacing w:line="360" w:lineRule="auto"/>
              <w:jc w:val="center"/>
            </w:pPr>
            <w:hyperlink w:anchor="_ENREF_4" w:tooltip="Burkholder, 2015 #4340" w:history="1">
              <w:r>
                <w:fldChar w:fldCharType="begin"/>
              </w:r>
              <w:r>
                <w:instrText xml:space="preserve"> ADDIN EN.CITE &lt;EndNote&gt;&lt;Cite&gt;&lt;Author&gt;Burkholder&lt;/Author&gt;&lt;Year&gt;2015&lt;/Year&gt;&lt;RecNum&gt;4340&lt;/RecNum&gt;&lt;DisplayText&gt;&lt;style face="superscript"&gt;4&lt;/style&gt;&lt;/DisplayText&gt;&lt;record&gt;&lt;rec-number&gt;4340&lt;/rec-number&gt;&lt;foreign-keys&gt;&lt;key app="EN" db-id="952ffrrvyzt5pcepatvvdz2zvw0da2px2dft"&gt;4340&lt;/key&gt;&lt;/foreign-keys&gt;&lt;ref-type name="Book"&gt;6&lt;/ref-type&gt;&lt;contributors&gt;&lt;authors&gt;&lt;author&gt;Burkholder, J. B.&lt;/author&gt;&lt;author&gt;Sander, S. P.&lt;/author&gt;&lt;author&gt;Abbatt, J. P. D.&lt;/author&gt;&lt;author&gt;Barker, J. R.&lt;/author&gt;&lt;author&gt;Huie, R. E.&lt;/author&gt;&lt;author&gt;Kolb, C. E.&lt;/author&gt;&lt;author&gt;Kurylo, M. J.&lt;/author&gt;&lt;author&gt;Orkin, V. L.&lt;/author&gt;&lt;author&gt;Wilmouth, D. M.&lt;/author&gt;&lt;author&gt;Wine, P. H.&lt;/author&gt;&lt;/authors&gt;&lt;/contributors&gt;&lt;titles&gt;&lt;title&gt;Chemical Kinetics and Photochemical Data for Use in Atmospheric Studies, Evaluation Number 18&lt;/title&gt;&lt;/titles&gt;&lt;num-vols&gt;15-10&lt;/num-vols&gt;&lt;dates&gt;&lt;year&gt;2015&lt;/year&gt;&lt;/dates&gt;&lt;pub-location&gt;Pasadena, California&lt;/pub-location&gt;&lt;publisher&gt;National Aeronautics and Space Administration, Jet Propulsion Laboratory, California Institute of Technology&lt;/publisher&gt;&lt;urls&gt;&lt;related-urls&gt;&lt;url&gt;http://jpldataeval.jpl.nasa.gov/&lt;/url&gt;&lt;/related-urls&gt;&lt;/urls&gt;&lt;/record&gt;&lt;/Cite&gt;&lt;/EndNote&gt;</w:instrText>
              </w:r>
              <w:r>
                <w:fldChar w:fldCharType="separate"/>
              </w:r>
              <w:r>
                <w:rPr>
                  <w:noProof/>
                  <w:vertAlign w:val="superscript"/>
                </w:rPr>
                <w:t>4</w:t>
              </w:r>
              <w:r>
                <w:fldChar w:fldCharType="end"/>
              </w:r>
            </w:hyperlink>
          </w:p>
        </w:tc>
      </w:tr>
      <w:tr>
        <w:tc>
          <w:tcPr>
            <w:tcW w:w="0" w:type="auto"/>
            <w:vAlign w:val="center"/>
          </w:tcPr>
          <w:p>
            <w:pPr>
              <w:spacing w:line="360" w:lineRule="auto"/>
              <w:jc w:val="center"/>
            </w:pPr>
            <w:r>
              <w:t>13</w:t>
            </w:r>
          </w:p>
        </w:tc>
        <w:tc>
          <w:tcPr>
            <w:tcW w:w="2805" w:type="dxa"/>
            <w:vAlign w:val="center"/>
          </w:tcPr>
          <w:p>
            <w:pPr>
              <w:spacing w:line="360" w:lineRule="auto"/>
              <w:jc w:val="center"/>
            </w:pPr>
            <w:r>
              <w:t>HO + NO (+ M)</w:t>
            </w:r>
            <w:r>
              <w:br/>
            </w:r>
            <w:r>
              <w:sym w:font="Symbol" w:char="F0AE"/>
            </w:r>
            <w:r>
              <w:t xml:space="preserve"> HONO (+ M)</w:t>
            </w:r>
          </w:p>
        </w:tc>
        <w:tc>
          <w:tcPr>
            <w:tcW w:w="5244" w:type="dxa"/>
            <w:vAlign w:val="center"/>
          </w:tcPr>
          <w:p>
            <w:pPr>
              <w:jc w:val="center"/>
            </w:pPr>
            <w:r>
              <w:t>k</w:t>
            </w:r>
            <w:r>
              <w:rPr>
                <w:vertAlign w:val="subscript"/>
              </w:rPr>
              <w:t>o</w:t>
            </w:r>
            <w:r>
              <w:rPr>
                <w:vertAlign w:val="superscript"/>
              </w:rPr>
              <w:t>300</w:t>
            </w:r>
            <w:r>
              <w:t>=7.0</w:t>
            </w:r>
            <w:r>
              <w:sym w:font="Symbol" w:char="F0B4"/>
            </w:r>
            <w:r>
              <w:t>10</w:t>
            </w:r>
            <w:r>
              <w:rPr>
                <w:vertAlign w:val="superscript"/>
              </w:rPr>
              <w:t>-31</w:t>
            </w:r>
            <w:r>
              <w:t xml:space="preserve"> cm</w:t>
            </w:r>
            <w:r>
              <w:rPr>
                <w:vertAlign w:val="superscript"/>
              </w:rPr>
              <w:t>6</w:t>
            </w:r>
            <w:r>
              <w:t xml:space="preserve"> molecule</w:t>
            </w:r>
            <w:r>
              <w:rPr>
                <w:vertAlign w:val="superscript"/>
              </w:rPr>
              <w:t>-2</w:t>
            </w:r>
            <w:r>
              <w:t xml:space="preserve"> sec</w:t>
            </w:r>
            <w:r>
              <w:rPr>
                <w:vertAlign w:val="superscript"/>
              </w:rPr>
              <w:t>-1</w:t>
            </w:r>
            <w:r>
              <w:t xml:space="preserve">, n=2.6 </w:t>
            </w:r>
          </w:p>
          <w:p>
            <w:pPr>
              <w:jc w:val="center"/>
            </w:pPr>
            <w:r>
              <w:t>k</w:t>
            </w:r>
            <w:r>
              <w:rPr>
                <w:vertAlign w:val="subscript"/>
              </w:rPr>
              <w:t>∞</w:t>
            </w:r>
            <w:r>
              <w:rPr>
                <w:vertAlign w:val="superscript"/>
              </w:rPr>
              <w:t>300</w:t>
            </w:r>
            <w:r>
              <w:t>=3.6</w:t>
            </w:r>
            <w:r>
              <w:sym w:font="Symbol" w:char="F0B4"/>
            </w:r>
            <w:r>
              <w:t>10</w:t>
            </w:r>
            <w:r>
              <w:rPr>
                <w:vertAlign w:val="superscript"/>
              </w:rPr>
              <w:t>-11</w:t>
            </w:r>
            <w:r>
              <w:t xml:space="preserve"> cm</w:t>
            </w:r>
            <w:r>
              <w:rPr>
                <w:vertAlign w:val="superscript"/>
              </w:rPr>
              <w:t>3</w:t>
            </w:r>
            <w:r>
              <w:t xml:space="preserve"> molecule</w:t>
            </w:r>
            <w:r>
              <w:rPr>
                <w:vertAlign w:val="superscript"/>
              </w:rPr>
              <w:t>-1</w:t>
            </w:r>
            <w:r>
              <w:t xml:space="preserve"> sec</w:t>
            </w:r>
            <w:r>
              <w:rPr>
                <w:vertAlign w:val="superscript"/>
              </w:rPr>
              <w:t>-1</w:t>
            </w:r>
            <w:r>
              <w:t>, m=0.1</w:t>
            </w:r>
          </w:p>
        </w:tc>
        <w:tc>
          <w:tcPr>
            <w:tcW w:w="855" w:type="dxa"/>
            <w:vAlign w:val="center"/>
          </w:tcPr>
          <w:p>
            <w:pPr>
              <w:spacing w:line="360" w:lineRule="auto"/>
              <w:jc w:val="center"/>
            </w:pPr>
            <w:hyperlink w:anchor="_ENREF_4" w:tooltip="Burkholder, 2015 #4340" w:history="1">
              <w:r>
                <w:fldChar w:fldCharType="begin"/>
              </w:r>
              <w:r>
                <w:instrText xml:space="preserve"> ADDIN EN.CITE &lt;EndNote&gt;&lt;Cite&gt;&lt;Author&gt;Burkholder&lt;/Author&gt;&lt;Year&gt;2015&lt;/Year&gt;&lt;RecNum&gt;4340&lt;/RecNum&gt;&lt;DisplayText&gt;&lt;style face="superscript"&gt;4&lt;/style&gt;&lt;/DisplayText&gt;&lt;record&gt;&lt;rec-number&gt;4340&lt;/rec-number&gt;&lt;foreign-keys&gt;&lt;key app="EN" db-id="952ffrrvyzt5pcepatvvdz2zvw0da2px2dft"&gt;4340&lt;/key&gt;&lt;/foreign-keys&gt;&lt;ref-type name="Book"&gt;6&lt;/ref-type&gt;&lt;contributors&gt;&lt;authors&gt;&lt;author&gt;Burkholder, J. B.&lt;/author&gt;&lt;author&gt;Sander, S. P.&lt;/author&gt;&lt;author&gt;Abbatt, J. P. D.&lt;/author&gt;&lt;author&gt;Barker, J. R.&lt;/author&gt;&lt;author&gt;Huie, R. E.&lt;/author&gt;&lt;author&gt;Kolb, C. E.&lt;/author&gt;&lt;author&gt;Kurylo, M. J.&lt;/author&gt;&lt;author&gt;Orkin, V. L.&lt;/author&gt;&lt;author&gt;Wilmouth, D. M.&lt;/author&gt;&lt;author&gt;Wine, P. H.&lt;/author&gt;&lt;/authors&gt;&lt;/contributors&gt;&lt;titles&gt;&lt;title&gt;Chemical Kinetics and Photochemical Data for Use in Atmospheric Studies, Evaluation Number 18&lt;/title&gt;&lt;/titles&gt;&lt;num-vols&gt;15-10&lt;/num-vols&gt;&lt;dates&gt;&lt;year&gt;2015&lt;/year&gt;&lt;/dates&gt;&lt;pub-location&gt;Pasadena, California&lt;/pub-location&gt;&lt;publisher&gt;National Aeronautics and Space Administration, Jet Propulsion Laboratory, California Institute of Technology&lt;/publisher&gt;&lt;urls&gt;&lt;related-urls&gt;&lt;url&gt;http://jpldataeval.jpl.nasa.gov/&lt;/url&gt;&lt;/related-urls&gt;&lt;/urls&gt;&lt;/record&gt;&lt;/Cite&gt;&lt;/EndNote&gt;</w:instrText>
              </w:r>
              <w:r>
                <w:fldChar w:fldCharType="separate"/>
              </w:r>
              <w:r>
                <w:rPr>
                  <w:noProof/>
                  <w:vertAlign w:val="superscript"/>
                </w:rPr>
                <w:t>4</w:t>
              </w:r>
              <w:r>
                <w:fldChar w:fldCharType="end"/>
              </w:r>
            </w:hyperlink>
          </w:p>
        </w:tc>
      </w:tr>
      <w:tr>
        <w:tc>
          <w:tcPr>
            <w:tcW w:w="0" w:type="auto"/>
            <w:vAlign w:val="center"/>
          </w:tcPr>
          <w:p>
            <w:pPr>
              <w:spacing w:line="360" w:lineRule="auto"/>
              <w:jc w:val="center"/>
            </w:pPr>
            <w:r>
              <w:t>14</w:t>
            </w:r>
          </w:p>
        </w:tc>
        <w:tc>
          <w:tcPr>
            <w:tcW w:w="2805" w:type="dxa"/>
            <w:vAlign w:val="center"/>
          </w:tcPr>
          <w:p>
            <w:pPr>
              <w:spacing w:line="360" w:lineRule="auto"/>
              <w:jc w:val="center"/>
            </w:pPr>
            <w:r>
              <w:t>HO + NO</w:t>
            </w:r>
            <w:r>
              <w:rPr>
                <w:vertAlign w:val="subscript"/>
              </w:rPr>
              <w:t>2</w:t>
            </w:r>
            <w:r>
              <w:t xml:space="preserve"> (+ M)</w:t>
            </w:r>
            <w:r>
              <w:br/>
            </w:r>
            <w:r>
              <w:sym w:font="Symbol" w:char="F0AE"/>
            </w:r>
            <w:r>
              <w:t xml:space="preserve"> HNO</w:t>
            </w:r>
            <w:r>
              <w:rPr>
                <w:vertAlign w:val="subscript"/>
              </w:rPr>
              <w:t>3</w:t>
            </w:r>
            <w:r>
              <w:t xml:space="preserve"> (+ M)</w:t>
            </w:r>
          </w:p>
        </w:tc>
        <w:tc>
          <w:tcPr>
            <w:tcW w:w="5244" w:type="dxa"/>
            <w:vAlign w:val="center"/>
          </w:tcPr>
          <w:p>
            <w:pPr>
              <w:jc w:val="center"/>
            </w:pPr>
            <w:r>
              <w:t>k</w:t>
            </w:r>
            <w:r>
              <w:rPr>
                <w:vertAlign w:val="subscript"/>
              </w:rPr>
              <w:t>o</w:t>
            </w:r>
            <w:r>
              <w:rPr>
                <w:vertAlign w:val="superscript"/>
              </w:rPr>
              <w:t>300</w:t>
            </w:r>
            <w:r>
              <w:t>= 1.8</w:t>
            </w:r>
            <w:r>
              <w:sym w:font="Symbol" w:char="F0B4"/>
            </w:r>
            <w:r>
              <w:t>10</w:t>
            </w:r>
            <w:r>
              <w:rPr>
                <w:vertAlign w:val="superscript"/>
              </w:rPr>
              <w:t>-30</w:t>
            </w:r>
            <w:r>
              <w:t xml:space="preserve"> cm</w:t>
            </w:r>
            <w:r>
              <w:rPr>
                <w:vertAlign w:val="superscript"/>
              </w:rPr>
              <w:t>6</w:t>
            </w:r>
            <w:r>
              <w:t xml:space="preserve"> molecule</w:t>
            </w:r>
            <w:r>
              <w:rPr>
                <w:vertAlign w:val="superscript"/>
              </w:rPr>
              <w:t>-2</w:t>
            </w:r>
            <w:r>
              <w:t xml:space="preserve"> sec</w:t>
            </w:r>
            <w:r>
              <w:rPr>
                <w:vertAlign w:val="superscript"/>
              </w:rPr>
              <w:t>-1</w:t>
            </w:r>
            <w:r>
              <w:t>, n=3.0</w:t>
            </w:r>
          </w:p>
          <w:p>
            <w:pPr>
              <w:jc w:val="center"/>
            </w:pPr>
            <w:r>
              <w:t>k</w:t>
            </w:r>
            <w:r>
              <w:rPr>
                <w:vertAlign w:val="subscript"/>
              </w:rPr>
              <w:t>∞</w:t>
            </w:r>
            <w:r>
              <w:rPr>
                <w:vertAlign w:val="superscript"/>
              </w:rPr>
              <w:t>30</w:t>
            </w:r>
            <w:r>
              <w:t xml:space="preserve"> = 2.8</w:t>
            </w:r>
            <w:r>
              <w:sym w:font="Symbol" w:char="F0B4"/>
            </w:r>
            <w:r>
              <w:t>10</w:t>
            </w:r>
            <w:r>
              <w:rPr>
                <w:vertAlign w:val="superscript"/>
              </w:rPr>
              <w:t>-11</w:t>
            </w:r>
            <w:r>
              <w:t xml:space="preserve"> cm</w:t>
            </w:r>
            <w:r>
              <w:rPr>
                <w:vertAlign w:val="superscript"/>
              </w:rPr>
              <w:t>3</w:t>
            </w:r>
            <w:r>
              <w:t xml:space="preserve"> molecule</w:t>
            </w:r>
            <w:r>
              <w:rPr>
                <w:vertAlign w:val="superscript"/>
              </w:rPr>
              <w:t>-1</w:t>
            </w:r>
            <w:r>
              <w:t xml:space="preserve"> sec</w:t>
            </w:r>
            <w:r>
              <w:rPr>
                <w:vertAlign w:val="superscript"/>
              </w:rPr>
              <w:t>-1</w:t>
            </w:r>
            <w:r>
              <w:t>, m=0</w:t>
            </w:r>
          </w:p>
        </w:tc>
        <w:tc>
          <w:tcPr>
            <w:tcW w:w="855" w:type="dxa"/>
            <w:vAlign w:val="center"/>
          </w:tcPr>
          <w:p>
            <w:pPr>
              <w:spacing w:line="360" w:lineRule="auto"/>
              <w:jc w:val="center"/>
            </w:pPr>
            <w:hyperlink w:anchor="_ENREF_4" w:tooltip="Burkholder, 2015 #4340" w:history="1">
              <w:r>
                <w:fldChar w:fldCharType="begin"/>
              </w:r>
              <w:r>
                <w:instrText xml:space="preserve"> ADDIN EN.CITE &lt;EndNote&gt;&lt;Cite&gt;&lt;Author&gt;Burkholder&lt;/Author&gt;&lt;Year&gt;2015&lt;/Year&gt;&lt;RecNum&gt;4340&lt;/RecNum&gt;&lt;DisplayText&gt;&lt;style face="superscript"&gt;4&lt;/style&gt;&lt;/DisplayText&gt;&lt;record&gt;&lt;rec-number&gt;4340&lt;/rec-number&gt;&lt;foreign-keys&gt;&lt;key app="EN" db-id="952ffrrvyzt5pcepatvvdz2zvw0da2px2dft"&gt;4340&lt;/key&gt;&lt;/foreign-keys&gt;&lt;ref-type name="Book"&gt;6&lt;/ref-type&gt;&lt;contributors&gt;&lt;authors&gt;&lt;author&gt;Burkholder, J. B.&lt;/author&gt;&lt;author&gt;Sander, S. P.&lt;/author&gt;&lt;author&gt;Abbatt, J. P. D.&lt;/author&gt;&lt;author&gt;Barker, J. R.&lt;/author&gt;&lt;author&gt;Huie, R. E.&lt;/author&gt;&lt;author&gt;Kolb, C. E.&lt;/author&gt;&lt;author&gt;Kurylo, M. J.&lt;/author&gt;&lt;author&gt;Orkin, V. L.&lt;/author&gt;&lt;author&gt;Wilmouth, D. M.&lt;/author&gt;&lt;author&gt;Wine, P. H.&lt;/author&gt;&lt;/authors&gt;&lt;/contributors&gt;&lt;titles&gt;&lt;title&gt;Chemical Kinetics and Photochemical Data for Use in Atmospheric Studies, Evaluation Number 18&lt;/title&gt;&lt;/titles&gt;&lt;num-vols&gt;15-10&lt;/num-vols&gt;&lt;dates&gt;&lt;year&gt;2015&lt;/year&gt;&lt;/dates&gt;&lt;pub-location&gt;Pasadena, California&lt;/pub-location&gt;&lt;publisher&gt;National Aeronautics and Space Administration, Jet Propulsion Laboratory, California Institute of Technology&lt;/publisher&gt;&lt;urls&gt;&lt;related-urls&gt;&lt;url&gt;http://jpldataeval.jpl.nasa.gov/&lt;/url&gt;&lt;/related-urls&gt;&lt;/urls&gt;&lt;/record&gt;&lt;/Cite&gt;&lt;/EndNote&gt;</w:instrText>
              </w:r>
              <w:r>
                <w:fldChar w:fldCharType="separate"/>
              </w:r>
              <w:r>
                <w:rPr>
                  <w:noProof/>
                  <w:vertAlign w:val="superscript"/>
                </w:rPr>
                <w:t>4</w:t>
              </w:r>
              <w:r>
                <w:fldChar w:fldCharType="end"/>
              </w:r>
            </w:hyperlink>
          </w:p>
        </w:tc>
      </w:tr>
      <w:tr>
        <w:tc>
          <w:tcPr>
            <w:tcW w:w="0" w:type="auto"/>
            <w:vAlign w:val="center"/>
          </w:tcPr>
          <w:p>
            <w:pPr>
              <w:spacing w:line="360" w:lineRule="auto"/>
              <w:jc w:val="center"/>
            </w:pPr>
            <w:r>
              <w:t>15</w:t>
            </w:r>
          </w:p>
        </w:tc>
        <w:tc>
          <w:tcPr>
            <w:tcW w:w="2805" w:type="dxa"/>
            <w:vAlign w:val="center"/>
          </w:tcPr>
          <w:p>
            <w:pPr>
              <w:spacing w:line="360" w:lineRule="auto"/>
              <w:jc w:val="center"/>
            </w:pPr>
            <w:r>
              <w:t>NO + HO</w:t>
            </w:r>
            <w:r>
              <w:rPr>
                <w:vertAlign w:val="subscript"/>
              </w:rPr>
              <w:t>2</w:t>
            </w:r>
            <w:r>
              <w:t xml:space="preserve"> </w:t>
            </w:r>
            <w:r>
              <w:sym w:font="Symbol" w:char="F0AE"/>
            </w:r>
            <w:r>
              <w:t xml:space="preserve"> NO</w:t>
            </w:r>
            <w:r>
              <w:rPr>
                <w:vertAlign w:val="subscript"/>
              </w:rPr>
              <w:t>2</w:t>
            </w:r>
            <w:r>
              <w:t xml:space="preserve"> + HO</w:t>
            </w:r>
          </w:p>
        </w:tc>
        <w:tc>
          <w:tcPr>
            <w:tcW w:w="5244" w:type="dxa"/>
            <w:vAlign w:val="center"/>
          </w:tcPr>
          <w:p>
            <w:pPr>
              <w:spacing w:line="360" w:lineRule="auto"/>
              <w:jc w:val="center"/>
            </w:pPr>
            <w:r>
              <w:t>3.3</w:t>
            </w:r>
            <w:r>
              <w:sym w:font="Symbol" w:char="F0B4"/>
            </w:r>
            <w:r>
              <w:t>10</w:t>
            </w:r>
            <w:r>
              <w:rPr>
                <w:vertAlign w:val="superscript"/>
              </w:rPr>
              <w:t>-12</w:t>
            </w:r>
            <w:r>
              <w:sym w:font="Symbol" w:char="F0B4"/>
            </w:r>
            <w:r>
              <w:t>e</w:t>
            </w:r>
            <w:r>
              <w:rPr>
                <w:vertAlign w:val="superscript"/>
              </w:rPr>
              <w:t>270/T</w:t>
            </w:r>
            <w:r>
              <w:t xml:space="preserve"> cm</w:t>
            </w:r>
            <w:r>
              <w:rPr>
                <w:vertAlign w:val="superscript"/>
              </w:rPr>
              <w:t>3</w:t>
            </w:r>
            <w:r>
              <w:t xml:space="preserve"> molecule</w:t>
            </w:r>
            <w:r>
              <w:rPr>
                <w:vertAlign w:val="superscript"/>
              </w:rPr>
              <w:t>-1</w:t>
            </w:r>
            <w:r>
              <w:t xml:space="preserve"> sec</w:t>
            </w:r>
            <w:r>
              <w:rPr>
                <w:vertAlign w:val="superscript"/>
              </w:rPr>
              <w:t>-1</w:t>
            </w:r>
          </w:p>
        </w:tc>
        <w:tc>
          <w:tcPr>
            <w:tcW w:w="855" w:type="dxa"/>
            <w:vAlign w:val="center"/>
          </w:tcPr>
          <w:p>
            <w:pPr>
              <w:spacing w:line="360" w:lineRule="auto"/>
              <w:jc w:val="center"/>
            </w:pPr>
            <w:hyperlink w:anchor="_ENREF_4" w:tooltip="Burkholder, 2015 #4340" w:history="1">
              <w:r>
                <w:fldChar w:fldCharType="begin"/>
              </w:r>
              <w:r>
                <w:instrText xml:space="preserve"> ADDIN EN.CITE &lt;EndNote&gt;&lt;Cite&gt;&lt;Author&gt;Burkholder&lt;/Author&gt;&lt;Year&gt;2015&lt;/Year&gt;&lt;RecNum&gt;4340&lt;/RecNum&gt;&lt;DisplayText&gt;&lt;style face="superscript"&gt;4&lt;/style&gt;&lt;/DisplayText&gt;&lt;record&gt;&lt;rec-number&gt;4340&lt;/rec-number&gt;&lt;foreign-keys&gt;&lt;key app="EN" db-id="952ffrrvyzt5pcepatvvdz2zvw0da2px2dft"&gt;4340&lt;/key&gt;&lt;/foreign-keys&gt;&lt;ref-type name="Book"&gt;6&lt;/ref-type&gt;&lt;contributors&gt;&lt;authors&gt;&lt;author&gt;Burkholder, J. B.&lt;/author&gt;&lt;author&gt;Sander, S. P.&lt;/author&gt;&lt;author&gt;Abbatt, J. P. D.&lt;/author&gt;&lt;author&gt;Barker, J. R.&lt;/author&gt;&lt;author&gt;Huie, R. E.&lt;/author&gt;&lt;author&gt;Kolb, C. E.&lt;/author&gt;&lt;author&gt;Kurylo, M. J.&lt;/author&gt;&lt;author&gt;Orkin, V. L.&lt;/author&gt;&lt;author&gt;Wilmouth, D. M.&lt;/author&gt;&lt;author&gt;Wine, P. H.&lt;/author&gt;&lt;/authors&gt;&lt;/contributors&gt;&lt;titles&gt;&lt;title&gt;Chemical Kinetics and Photochemical Data for Use in Atmospheric Studies, Evaluation Number 18&lt;/title&gt;&lt;/titles&gt;&lt;num-vols&gt;15-10&lt;/num-vols&gt;&lt;dates&gt;&lt;year&gt;2015&lt;/year&gt;&lt;/dates&gt;&lt;pub-location&gt;Pasadena, California&lt;/pub-location&gt;&lt;publisher&gt;National Aeronautics and Space Administration, Jet Propulsion Laboratory, California Institute of Technology&lt;/publisher&gt;&lt;urls&gt;&lt;related-urls&gt;&lt;url&gt;http://jpldataeval.jpl.nasa.gov/&lt;/url&gt;&lt;/related-urls&gt;&lt;/urls&gt;&lt;/record&gt;&lt;/Cite&gt;&lt;/EndNote&gt;</w:instrText>
              </w:r>
              <w:r>
                <w:fldChar w:fldCharType="separate"/>
              </w:r>
              <w:r>
                <w:rPr>
                  <w:noProof/>
                  <w:vertAlign w:val="superscript"/>
                </w:rPr>
                <w:t>4</w:t>
              </w:r>
              <w:r>
                <w:fldChar w:fldCharType="end"/>
              </w:r>
            </w:hyperlink>
          </w:p>
        </w:tc>
      </w:tr>
      <w:tr>
        <w:tc>
          <w:tcPr>
            <w:tcW w:w="0" w:type="auto"/>
            <w:vAlign w:val="center"/>
          </w:tcPr>
          <w:p>
            <w:pPr>
              <w:spacing w:line="360" w:lineRule="auto"/>
              <w:jc w:val="center"/>
            </w:pPr>
            <w:r>
              <w:t>16</w:t>
            </w:r>
          </w:p>
        </w:tc>
        <w:tc>
          <w:tcPr>
            <w:tcW w:w="2805" w:type="dxa"/>
            <w:vAlign w:val="center"/>
          </w:tcPr>
          <w:p>
            <w:pPr>
              <w:spacing w:line="360" w:lineRule="auto"/>
              <w:jc w:val="center"/>
            </w:pPr>
            <w:r>
              <w:t>OH + HONO</w:t>
            </w:r>
            <w:r>
              <w:br/>
            </w:r>
            <w:r>
              <w:sym w:font="Symbol" w:char="F0AE"/>
            </w:r>
            <w:r>
              <w:t xml:space="preserve"> H</w:t>
            </w:r>
            <w:r>
              <w:rPr>
                <w:vertAlign w:val="subscript"/>
              </w:rPr>
              <w:t>2</w:t>
            </w:r>
            <w:r>
              <w:t>O + NO</w:t>
            </w:r>
            <w:r>
              <w:rPr>
                <w:vertAlign w:val="subscript"/>
              </w:rPr>
              <w:t>2</w:t>
            </w:r>
          </w:p>
        </w:tc>
        <w:tc>
          <w:tcPr>
            <w:tcW w:w="5244" w:type="dxa"/>
            <w:vAlign w:val="center"/>
          </w:tcPr>
          <w:p>
            <w:pPr>
              <w:spacing w:line="360" w:lineRule="auto"/>
              <w:jc w:val="center"/>
            </w:pPr>
            <w:r>
              <w:t>1.8</w:t>
            </w:r>
            <w:r>
              <w:sym w:font="Symbol" w:char="F0B4"/>
            </w:r>
            <w:r>
              <w:t>10</w:t>
            </w:r>
            <w:r>
              <w:rPr>
                <w:vertAlign w:val="superscript"/>
              </w:rPr>
              <w:t>-11</w:t>
            </w:r>
            <w:r>
              <w:sym w:font="Symbol" w:char="F0B4"/>
            </w:r>
            <w:r>
              <w:t>e</w:t>
            </w:r>
            <w:r>
              <w:rPr>
                <w:vertAlign w:val="superscript"/>
              </w:rPr>
              <w:t>-390/T</w:t>
            </w:r>
            <w:r>
              <w:t xml:space="preserve"> cm</w:t>
            </w:r>
            <w:r>
              <w:rPr>
                <w:vertAlign w:val="superscript"/>
              </w:rPr>
              <w:t>3</w:t>
            </w:r>
            <w:r>
              <w:t xml:space="preserve"> molecule</w:t>
            </w:r>
            <w:r>
              <w:rPr>
                <w:vertAlign w:val="superscript"/>
              </w:rPr>
              <w:t>-1</w:t>
            </w:r>
            <w:r>
              <w:t xml:space="preserve"> sec</w:t>
            </w:r>
            <w:r>
              <w:rPr>
                <w:vertAlign w:val="superscript"/>
              </w:rPr>
              <w:t>-1</w:t>
            </w:r>
          </w:p>
        </w:tc>
        <w:tc>
          <w:tcPr>
            <w:tcW w:w="855" w:type="dxa"/>
            <w:vAlign w:val="center"/>
          </w:tcPr>
          <w:p>
            <w:pPr>
              <w:spacing w:line="360" w:lineRule="auto"/>
              <w:jc w:val="center"/>
            </w:pPr>
            <w:hyperlink w:anchor="_ENREF_4" w:tooltip="Burkholder, 2015 #4340" w:history="1">
              <w:r>
                <w:fldChar w:fldCharType="begin"/>
              </w:r>
              <w:r>
                <w:instrText xml:space="preserve"> ADDIN EN.CITE &lt;EndNote&gt;&lt;Cite&gt;&lt;Author&gt;Burkholder&lt;/Author&gt;&lt;Year&gt;2015&lt;/Year&gt;&lt;RecNum&gt;4340&lt;/RecNum&gt;&lt;DisplayText&gt;&lt;style face="superscript"&gt;4&lt;/style&gt;&lt;/DisplayText&gt;&lt;record&gt;&lt;rec-number&gt;4340&lt;/rec-number&gt;&lt;foreign-keys&gt;&lt;key app="EN" db-id="952ffrrvyzt5pcepatvvdz2zvw0da2px2dft"&gt;4340&lt;/key&gt;&lt;/foreign-keys&gt;&lt;ref-type name="Book"&gt;6&lt;/ref-type&gt;&lt;contributors&gt;&lt;authors&gt;&lt;author&gt;Burkholder, J. B.&lt;/author&gt;&lt;author&gt;Sander, S. P.&lt;/author&gt;&lt;author&gt;Abbatt, J. P. D.&lt;/author&gt;&lt;author&gt;Barker, J. R.&lt;/author&gt;&lt;author&gt;Huie, R. E.&lt;/author&gt;&lt;author&gt;Kolb, C. E.&lt;/author&gt;&lt;author&gt;Kurylo, M. J.&lt;/author&gt;&lt;author&gt;Orkin, V. L.&lt;/author&gt;&lt;author&gt;Wilmouth, D. M.&lt;/author&gt;&lt;author&gt;Wine, P. H.&lt;/author&gt;&lt;/authors&gt;&lt;/contributors&gt;&lt;titles&gt;&lt;title&gt;Chemical Kinetics and Photochemical Data for Use in Atmospheric Studies, Evaluation Number 18&lt;/title&gt;&lt;/titles&gt;&lt;num-vols&gt;15-10&lt;/num-vols&gt;&lt;dates&gt;&lt;year&gt;2015&lt;/year&gt;&lt;/dates&gt;&lt;pub-location&gt;Pasadena, California&lt;/pub-location&gt;&lt;publisher&gt;National Aeronautics and Space Administration, Jet Propulsion Laboratory, California Institute of Technology&lt;/publisher&gt;&lt;urls&gt;&lt;related-urls&gt;&lt;url&gt;http://jpldataeval.jpl.nasa.gov/&lt;/url&gt;&lt;/related-urls&gt;&lt;/urls&gt;&lt;/record&gt;&lt;/Cite&gt;&lt;/EndNote&gt;</w:instrText>
              </w:r>
              <w:r>
                <w:fldChar w:fldCharType="separate"/>
              </w:r>
              <w:r>
                <w:rPr>
                  <w:noProof/>
                  <w:vertAlign w:val="superscript"/>
                </w:rPr>
                <w:t>4</w:t>
              </w:r>
              <w:r>
                <w:fldChar w:fldCharType="end"/>
              </w:r>
            </w:hyperlink>
          </w:p>
        </w:tc>
      </w:tr>
      <w:tr>
        <w:tc>
          <w:tcPr>
            <w:tcW w:w="0" w:type="auto"/>
            <w:vAlign w:val="center"/>
          </w:tcPr>
          <w:p>
            <w:pPr>
              <w:spacing w:line="360" w:lineRule="auto"/>
              <w:jc w:val="center"/>
            </w:pPr>
            <w:r>
              <w:t>17</w:t>
            </w:r>
          </w:p>
        </w:tc>
        <w:tc>
          <w:tcPr>
            <w:tcW w:w="2805" w:type="dxa"/>
            <w:vAlign w:val="center"/>
          </w:tcPr>
          <w:p>
            <w:pPr>
              <w:spacing w:line="360" w:lineRule="auto"/>
              <w:jc w:val="center"/>
            </w:pPr>
            <w:r>
              <w:t>HO + O</w:t>
            </w:r>
            <w:r>
              <w:rPr>
                <w:vertAlign w:val="subscript"/>
              </w:rPr>
              <w:t>3</w:t>
            </w:r>
            <w:r>
              <w:t xml:space="preserve"> </w:t>
            </w:r>
            <w:r>
              <w:sym w:font="Symbol" w:char="F0AE"/>
            </w:r>
            <w:r>
              <w:t xml:space="preserve"> HO</w:t>
            </w:r>
            <w:r>
              <w:rPr>
                <w:vertAlign w:val="subscript"/>
              </w:rPr>
              <w:t>2</w:t>
            </w:r>
            <w:r>
              <w:t xml:space="preserve"> + O</w:t>
            </w:r>
            <w:r>
              <w:rPr>
                <w:vertAlign w:val="subscript"/>
              </w:rPr>
              <w:t>2</w:t>
            </w:r>
          </w:p>
        </w:tc>
        <w:tc>
          <w:tcPr>
            <w:tcW w:w="5244" w:type="dxa"/>
            <w:vAlign w:val="center"/>
          </w:tcPr>
          <w:p>
            <w:pPr>
              <w:spacing w:line="360" w:lineRule="auto"/>
              <w:jc w:val="center"/>
            </w:pPr>
            <w:r>
              <w:t>1.7</w:t>
            </w:r>
            <w:r>
              <w:sym w:font="Symbol" w:char="F0B4"/>
            </w:r>
            <w:r>
              <w:t>10</w:t>
            </w:r>
            <w:r>
              <w:rPr>
                <w:vertAlign w:val="superscript"/>
              </w:rPr>
              <w:t>-12</w:t>
            </w:r>
            <w:r>
              <w:sym w:font="Symbol" w:char="F0B4"/>
            </w:r>
            <w:r>
              <w:t>e</w:t>
            </w:r>
            <w:r>
              <w:rPr>
                <w:vertAlign w:val="superscript"/>
              </w:rPr>
              <w:t>-940/T</w:t>
            </w:r>
            <w:r>
              <w:t xml:space="preserve"> cm</w:t>
            </w:r>
            <w:r>
              <w:rPr>
                <w:vertAlign w:val="superscript"/>
              </w:rPr>
              <w:t>3</w:t>
            </w:r>
            <w:r>
              <w:t xml:space="preserve"> molecule</w:t>
            </w:r>
            <w:r>
              <w:rPr>
                <w:vertAlign w:val="superscript"/>
              </w:rPr>
              <w:t>-1</w:t>
            </w:r>
            <w:r>
              <w:t xml:space="preserve"> sec</w:t>
            </w:r>
            <w:r>
              <w:rPr>
                <w:vertAlign w:val="superscript"/>
              </w:rPr>
              <w:t>-1</w:t>
            </w:r>
          </w:p>
        </w:tc>
        <w:tc>
          <w:tcPr>
            <w:tcW w:w="855" w:type="dxa"/>
            <w:vAlign w:val="center"/>
          </w:tcPr>
          <w:p>
            <w:pPr>
              <w:spacing w:line="360" w:lineRule="auto"/>
              <w:jc w:val="center"/>
            </w:pPr>
            <w:hyperlink w:anchor="_ENREF_4" w:tooltip="Burkholder, 2015 #4340" w:history="1">
              <w:r>
                <w:fldChar w:fldCharType="begin"/>
              </w:r>
              <w:r>
                <w:instrText xml:space="preserve"> ADDIN EN.CITE &lt;EndNote&gt;&lt;Cite&gt;&lt;Author&gt;Burkholder&lt;/Author&gt;&lt;Year&gt;2015&lt;/Year&gt;&lt;RecNum&gt;4340&lt;/RecNum&gt;&lt;DisplayText&gt;&lt;style face="superscript"&gt;4&lt;/style&gt;&lt;/DisplayText&gt;&lt;record&gt;&lt;rec-number&gt;4340&lt;/rec-number&gt;&lt;foreign-keys&gt;&lt;key app="EN" db-id="952ffrrvyzt5pcepatvvdz2zvw0da2px2dft"&gt;4340&lt;/key&gt;&lt;/foreign-keys&gt;&lt;ref-type name="Book"&gt;6&lt;/ref-type&gt;&lt;contributors&gt;&lt;authors&gt;&lt;author&gt;Burkholder, J. B.&lt;/author&gt;&lt;author&gt;Sander, S. P.&lt;/author&gt;&lt;author&gt;Abbatt, J. P. D.&lt;/author&gt;&lt;author&gt;Barker, J. R.&lt;/author&gt;&lt;author&gt;Huie, R. E.&lt;/author&gt;&lt;author&gt;Kolb, C. E.&lt;/author&gt;&lt;author&gt;Kurylo, M. J.&lt;/author&gt;&lt;author&gt;Orkin, V. L.&lt;/author&gt;&lt;author&gt;Wilmouth, D. M.&lt;/author&gt;&lt;author&gt;Wine, P. H.&lt;/author&gt;&lt;/authors&gt;&lt;/contributors&gt;&lt;titles&gt;&lt;title&gt;Chemical Kinetics and Photochemical Data for Use in Atmospheric Studies, Evaluation Number 18&lt;/title&gt;&lt;/titles&gt;&lt;num-vols&gt;15-10&lt;/num-vols&gt;&lt;dates&gt;&lt;year&gt;2015&lt;/year&gt;&lt;/dates&gt;&lt;pub-location&gt;Pasadena, California&lt;/pub-location&gt;&lt;publisher&gt;National Aeronautics and Space Administration, Jet Propulsion Laboratory, California Institute of Technology&lt;/publisher&gt;&lt;urls&gt;&lt;related-urls&gt;&lt;url&gt;http://jpldataeval.jpl.nasa.gov/&lt;/url&gt;&lt;/related-urls&gt;&lt;/urls&gt;&lt;/record&gt;&lt;/Cite&gt;&lt;/EndNote&gt;</w:instrText>
              </w:r>
              <w:r>
                <w:fldChar w:fldCharType="separate"/>
              </w:r>
              <w:r>
                <w:rPr>
                  <w:noProof/>
                  <w:vertAlign w:val="superscript"/>
                </w:rPr>
                <w:t>4</w:t>
              </w:r>
              <w:r>
                <w:fldChar w:fldCharType="end"/>
              </w:r>
            </w:hyperlink>
          </w:p>
        </w:tc>
      </w:tr>
      <w:tr>
        <w:tc>
          <w:tcPr>
            <w:tcW w:w="0" w:type="auto"/>
            <w:vAlign w:val="center"/>
          </w:tcPr>
          <w:p>
            <w:pPr>
              <w:spacing w:line="360" w:lineRule="auto"/>
              <w:jc w:val="center"/>
            </w:pPr>
            <w:r>
              <w:t>18</w:t>
            </w:r>
          </w:p>
        </w:tc>
        <w:tc>
          <w:tcPr>
            <w:tcW w:w="2805" w:type="dxa"/>
            <w:vAlign w:val="center"/>
          </w:tcPr>
          <w:p>
            <w:pPr>
              <w:spacing w:line="360" w:lineRule="auto"/>
              <w:jc w:val="center"/>
            </w:pPr>
            <w:r>
              <w:t>HO</w:t>
            </w:r>
            <w:r>
              <w:rPr>
                <w:vertAlign w:val="subscript"/>
              </w:rPr>
              <w:t>2</w:t>
            </w:r>
            <w:r>
              <w:t xml:space="preserve"> + O</w:t>
            </w:r>
            <w:r>
              <w:rPr>
                <w:vertAlign w:val="subscript"/>
              </w:rPr>
              <w:t>3</w:t>
            </w:r>
            <w:r>
              <w:t xml:space="preserve"> </w:t>
            </w:r>
            <w:r>
              <w:sym w:font="Symbol" w:char="F0AE"/>
            </w:r>
            <w:r>
              <w:t xml:space="preserve"> HO + 2O</w:t>
            </w:r>
            <w:r>
              <w:rPr>
                <w:vertAlign w:val="subscript"/>
              </w:rPr>
              <w:t>2</w:t>
            </w:r>
          </w:p>
        </w:tc>
        <w:tc>
          <w:tcPr>
            <w:tcW w:w="5244" w:type="dxa"/>
            <w:vAlign w:val="center"/>
          </w:tcPr>
          <w:p>
            <w:pPr>
              <w:spacing w:line="360" w:lineRule="auto"/>
              <w:jc w:val="center"/>
            </w:pPr>
            <w:r>
              <w:t>1.0</w:t>
            </w:r>
            <w:r>
              <w:sym w:font="Symbol" w:char="F0B4"/>
            </w:r>
            <w:r>
              <w:t>10</w:t>
            </w:r>
            <w:r>
              <w:rPr>
                <w:vertAlign w:val="superscript"/>
              </w:rPr>
              <w:t>-14</w:t>
            </w:r>
            <w:r>
              <w:sym w:font="Symbol" w:char="F0B4"/>
            </w:r>
            <w:r>
              <w:t>e</w:t>
            </w:r>
            <w:r>
              <w:rPr>
                <w:vertAlign w:val="superscript"/>
              </w:rPr>
              <w:t>-490/T</w:t>
            </w:r>
            <w:r>
              <w:t xml:space="preserve"> cm</w:t>
            </w:r>
            <w:r>
              <w:rPr>
                <w:vertAlign w:val="superscript"/>
              </w:rPr>
              <w:t>3</w:t>
            </w:r>
            <w:r>
              <w:t xml:space="preserve"> molecule</w:t>
            </w:r>
            <w:r>
              <w:rPr>
                <w:vertAlign w:val="superscript"/>
              </w:rPr>
              <w:t>-1</w:t>
            </w:r>
            <w:r>
              <w:t xml:space="preserve"> sec</w:t>
            </w:r>
            <w:r>
              <w:rPr>
                <w:vertAlign w:val="superscript"/>
              </w:rPr>
              <w:t>-1</w:t>
            </w:r>
          </w:p>
        </w:tc>
        <w:tc>
          <w:tcPr>
            <w:tcW w:w="855" w:type="dxa"/>
            <w:vAlign w:val="center"/>
          </w:tcPr>
          <w:p>
            <w:pPr>
              <w:spacing w:line="360" w:lineRule="auto"/>
              <w:jc w:val="center"/>
            </w:pPr>
            <w:hyperlink w:anchor="_ENREF_4" w:tooltip="Burkholder, 2015 #4340" w:history="1">
              <w:r>
                <w:fldChar w:fldCharType="begin"/>
              </w:r>
              <w:r>
                <w:instrText xml:space="preserve"> ADDIN EN.CITE &lt;EndNote&gt;&lt;Cite&gt;&lt;Author&gt;Burkholder&lt;/Author&gt;&lt;Year&gt;2015&lt;/Year&gt;&lt;RecNum&gt;4340&lt;/RecNum&gt;&lt;DisplayText&gt;&lt;style face="superscript"&gt;4&lt;/style&gt;&lt;/DisplayText&gt;&lt;record&gt;&lt;rec-number&gt;4340&lt;/rec-number&gt;&lt;foreign-keys&gt;&lt;key app="EN" db-id="952ffrrvyzt5pcepatvvdz2zvw0da2px2dft"&gt;4340&lt;/key&gt;&lt;/foreign-keys&gt;&lt;ref-type name="Book"&gt;6&lt;/ref-type&gt;&lt;contributors&gt;&lt;authors&gt;&lt;author&gt;Burkholder, J. B.&lt;/author&gt;&lt;author&gt;Sander, S. P.&lt;/author&gt;&lt;author&gt;Abbatt, J. P. D.&lt;/author&gt;&lt;author&gt;Barker, J. R.&lt;/author&gt;&lt;author&gt;Huie, R. E.&lt;/author&gt;&lt;author&gt;Kolb, C. E.&lt;/author&gt;&lt;author&gt;Kurylo, M. J.&lt;/author&gt;&lt;author&gt;Orkin, V. L.&lt;/author&gt;&lt;author&gt;Wilmouth, D. M.&lt;/author&gt;&lt;author&gt;Wine, P. H.&lt;/author&gt;&lt;/authors&gt;&lt;/contributors&gt;&lt;titles&gt;&lt;title&gt;Chemical Kinetics and Photochemical Data for Use in Atmospheric Studies, Evaluation Number 18&lt;/title&gt;&lt;/titles&gt;&lt;num-vols&gt;15-10&lt;/num-vols&gt;&lt;dates&gt;&lt;year&gt;2015&lt;/year&gt;&lt;/dates&gt;&lt;pub-location&gt;Pasadena, California&lt;/pub-location&gt;&lt;publisher&gt;National Aeronautics and Space Administration, Jet Propulsion Laboratory, California Institute of Technology&lt;/publisher&gt;&lt;urls&gt;&lt;related-urls&gt;&lt;url&gt;http://jpldataeval.jpl.nasa.gov/&lt;/url&gt;&lt;/related-urls&gt;&lt;/urls&gt;&lt;/record&gt;&lt;/Cite&gt;&lt;/EndNote&gt;</w:instrText>
              </w:r>
              <w:r>
                <w:fldChar w:fldCharType="separate"/>
              </w:r>
              <w:r>
                <w:rPr>
                  <w:noProof/>
                  <w:vertAlign w:val="superscript"/>
                </w:rPr>
                <w:t>4</w:t>
              </w:r>
              <w:r>
                <w:fldChar w:fldCharType="end"/>
              </w:r>
            </w:hyperlink>
          </w:p>
        </w:tc>
      </w:tr>
      <w:tr>
        <w:tc>
          <w:tcPr>
            <w:tcW w:w="0" w:type="auto"/>
            <w:vAlign w:val="center"/>
          </w:tcPr>
          <w:p>
            <w:pPr>
              <w:spacing w:line="360" w:lineRule="auto"/>
              <w:jc w:val="center"/>
            </w:pPr>
            <w:r>
              <w:t>19</w:t>
            </w:r>
          </w:p>
        </w:tc>
        <w:tc>
          <w:tcPr>
            <w:tcW w:w="2805" w:type="dxa"/>
            <w:vAlign w:val="center"/>
          </w:tcPr>
          <w:p>
            <w:pPr>
              <w:spacing w:line="360" w:lineRule="auto"/>
              <w:jc w:val="center"/>
            </w:pPr>
            <w:r>
              <w:t>HO + HO</w:t>
            </w:r>
            <w:r>
              <w:rPr>
                <w:vertAlign w:val="subscript"/>
              </w:rPr>
              <w:t>2</w:t>
            </w:r>
            <w:r>
              <w:t xml:space="preserve"> </w:t>
            </w:r>
            <w:r>
              <w:sym w:font="Symbol" w:char="F0AE"/>
            </w:r>
            <w:r>
              <w:t xml:space="preserve"> H</w:t>
            </w:r>
            <w:r>
              <w:rPr>
                <w:vertAlign w:val="subscript"/>
              </w:rPr>
              <w:t>2</w:t>
            </w:r>
            <w:r>
              <w:t>O + O</w:t>
            </w:r>
            <w:r>
              <w:rPr>
                <w:vertAlign w:val="subscript"/>
              </w:rPr>
              <w:t>2</w:t>
            </w:r>
          </w:p>
        </w:tc>
        <w:tc>
          <w:tcPr>
            <w:tcW w:w="5244" w:type="dxa"/>
            <w:vAlign w:val="center"/>
          </w:tcPr>
          <w:p>
            <w:pPr>
              <w:spacing w:line="360" w:lineRule="auto"/>
              <w:jc w:val="center"/>
            </w:pPr>
            <w:r>
              <w:t>4.8</w:t>
            </w:r>
            <w:r>
              <w:sym w:font="Symbol" w:char="F0B4"/>
            </w:r>
            <w:r>
              <w:t>10</w:t>
            </w:r>
            <w:r>
              <w:rPr>
                <w:vertAlign w:val="superscript"/>
              </w:rPr>
              <w:t>-11</w:t>
            </w:r>
            <w:r>
              <w:sym w:font="Symbol" w:char="F0B4"/>
            </w:r>
            <w:r>
              <w:t>e</w:t>
            </w:r>
            <w:r>
              <w:rPr>
                <w:vertAlign w:val="superscript"/>
              </w:rPr>
              <w:t>250/T</w:t>
            </w:r>
            <w:r>
              <w:t xml:space="preserve"> cm</w:t>
            </w:r>
            <w:r>
              <w:rPr>
                <w:vertAlign w:val="superscript"/>
              </w:rPr>
              <w:t>3</w:t>
            </w:r>
            <w:r>
              <w:t xml:space="preserve"> molecule</w:t>
            </w:r>
            <w:r>
              <w:rPr>
                <w:vertAlign w:val="superscript"/>
              </w:rPr>
              <w:t>-1</w:t>
            </w:r>
            <w:r>
              <w:t xml:space="preserve"> sec</w:t>
            </w:r>
            <w:r>
              <w:rPr>
                <w:vertAlign w:val="superscript"/>
              </w:rPr>
              <w:t>-1</w:t>
            </w:r>
          </w:p>
        </w:tc>
        <w:tc>
          <w:tcPr>
            <w:tcW w:w="855" w:type="dxa"/>
            <w:vAlign w:val="center"/>
          </w:tcPr>
          <w:p>
            <w:pPr>
              <w:spacing w:line="360" w:lineRule="auto"/>
              <w:jc w:val="center"/>
            </w:pPr>
            <w:hyperlink w:anchor="_ENREF_4" w:tooltip="Burkholder, 2015 #4340" w:history="1">
              <w:r>
                <w:fldChar w:fldCharType="begin"/>
              </w:r>
              <w:r>
                <w:instrText xml:space="preserve"> ADDIN EN.CITE &lt;EndNote&gt;&lt;Cite&gt;&lt;Author&gt;Burkholder&lt;/Author&gt;&lt;Year&gt;2015&lt;/Year&gt;&lt;RecNum&gt;4340&lt;/RecNum&gt;&lt;DisplayText&gt;&lt;style face="superscript"&gt;4&lt;/style&gt;&lt;/DisplayText&gt;&lt;record&gt;&lt;rec-number&gt;4340&lt;/rec-number&gt;&lt;foreign-keys&gt;&lt;key app="EN" db-id="952ffrrvyzt5pcepatvvdz2zvw0da2px2dft"&gt;4340&lt;/key&gt;&lt;/foreign-keys&gt;&lt;ref-type name="Book"&gt;6&lt;/ref-type&gt;&lt;contributors&gt;&lt;authors&gt;&lt;author&gt;Burkholder, J. B.&lt;/author&gt;&lt;author&gt;Sander, S. P.&lt;/author&gt;&lt;author&gt;Abbatt, J. P. D.&lt;/author&gt;&lt;author&gt;Barker, J. R.&lt;/author&gt;&lt;author&gt;Huie, R. E.&lt;/author&gt;&lt;author&gt;Kolb, C. E.&lt;/author&gt;&lt;author&gt;Kurylo, M. J.&lt;/author&gt;&lt;author&gt;Orkin, V. L.&lt;/author&gt;&lt;author&gt;Wilmouth, D. M.&lt;/author&gt;&lt;author&gt;Wine, P. H.&lt;/author&gt;&lt;/authors&gt;&lt;/contributors&gt;&lt;titles&gt;&lt;title&gt;Chemical Kinetics and Photochemical Data for Use in Atmospheric Studies, Evaluation Number 18&lt;/title&gt;&lt;/titles&gt;&lt;num-vols&gt;15-10&lt;/num-vols&gt;&lt;dates&gt;&lt;year&gt;2015&lt;/year&gt;&lt;/dates&gt;&lt;pub-location&gt;Pasadena, California&lt;/pub-location&gt;&lt;publisher&gt;National Aeronautics and Space Administration, Jet Propulsion Laboratory, California Institute of Technology&lt;/publisher&gt;&lt;urls&gt;&lt;related-urls&gt;&lt;url&gt;http://jpldataeval.jpl.nasa.gov/&lt;/url&gt;&lt;/related-urls&gt;&lt;/urls&gt;&lt;/record&gt;&lt;/Cite&gt;&lt;/EndNote&gt;</w:instrText>
              </w:r>
              <w:r>
                <w:fldChar w:fldCharType="separate"/>
              </w:r>
              <w:r>
                <w:rPr>
                  <w:noProof/>
                  <w:vertAlign w:val="superscript"/>
                </w:rPr>
                <w:t>4</w:t>
              </w:r>
              <w:r>
                <w:fldChar w:fldCharType="end"/>
              </w:r>
            </w:hyperlink>
          </w:p>
        </w:tc>
      </w:tr>
      <w:tr>
        <w:tc>
          <w:tcPr>
            <w:tcW w:w="0" w:type="auto"/>
            <w:vAlign w:val="center"/>
          </w:tcPr>
          <w:p>
            <w:pPr>
              <w:spacing w:line="360" w:lineRule="auto"/>
              <w:jc w:val="center"/>
            </w:pPr>
            <w:r>
              <w:t>20</w:t>
            </w:r>
          </w:p>
        </w:tc>
        <w:tc>
          <w:tcPr>
            <w:tcW w:w="2805" w:type="dxa"/>
            <w:vAlign w:val="center"/>
          </w:tcPr>
          <w:p>
            <w:pPr>
              <w:spacing w:line="360" w:lineRule="auto"/>
              <w:jc w:val="center"/>
            </w:pPr>
            <w:r>
              <w:t>NO</w:t>
            </w:r>
            <w:r>
              <w:rPr>
                <w:vertAlign w:val="subscript"/>
              </w:rPr>
              <w:t>2</w:t>
            </w:r>
            <w:r>
              <w:t xml:space="preserve"> + O</w:t>
            </w:r>
            <w:r>
              <w:rPr>
                <w:vertAlign w:val="subscript"/>
              </w:rPr>
              <w:t>3</w:t>
            </w:r>
            <w:r>
              <w:t xml:space="preserve"> </w:t>
            </w:r>
            <w:r>
              <w:sym w:font="Symbol" w:char="F0AE"/>
            </w:r>
            <w:r>
              <w:t xml:space="preserve"> NO</w:t>
            </w:r>
            <w:r>
              <w:rPr>
                <w:vertAlign w:val="subscript"/>
              </w:rPr>
              <w:t>3</w:t>
            </w:r>
            <w:r>
              <w:t xml:space="preserve"> + O</w:t>
            </w:r>
            <w:r>
              <w:rPr>
                <w:vertAlign w:val="subscript"/>
              </w:rPr>
              <w:t>2</w:t>
            </w:r>
          </w:p>
        </w:tc>
        <w:tc>
          <w:tcPr>
            <w:tcW w:w="5244" w:type="dxa"/>
            <w:vAlign w:val="center"/>
          </w:tcPr>
          <w:p>
            <w:pPr>
              <w:spacing w:line="360" w:lineRule="auto"/>
              <w:jc w:val="center"/>
            </w:pPr>
            <w:r>
              <w:t>1.2</w:t>
            </w:r>
            <w:r>
              <w:sym w:font="Symbol" w:char="F0B4"/>
            </w:r>
            <w:r>
              <w:t>10</w:t>
            </w:r>
            <w:r>
              <w:rPr>
                <w:vertAlign w:val="superscript"/>
              </w:rPr>
              <w:t>-13</w:t>
            </w:r>
            <w:r>
              <w:sym w:font="Symbol" w:char="F0B4"/>
            </w:r>
            <w:r>
              <w:t>e</w:t>
            </w:r>
            <w:r>
              <w:rPr>
                <w:vertAlign w:val="superscript"/>
              </w:rPr>
              <w:t>-2450/T</w:t>
            </w:r>
            <w:r>
              <w:t xml:space="preserve"> cm</w:t>
            </w:r>
            <w:r>
              <w:rPr>
                <w:vertAlign w:val="superscript"/>
              </w:rPr>
              <w:t>3</w:t>
            </w:r>
            <w:r>
              <w:t xml:space="preserve"> molecule</w:t>
            </w:r>
            <w:r>
              <w:rPr>
                <w:vertAlign w:val="superscript"/>
              </w:rPr>
              <w:t>-1</w:t>
            </w:r>
            <w:r>
              <w:t xml:space="preserve"> sec</w:t>
            </w:r>
            <w:r>
              <w:rPr>
                <w:vertAlign w:val="superscript"/>
              </w:rPr>
              <w:t>-1</w:t>
            </w:r>
          </w:p>
        </w:tc>
        <w:tc>
          <w:tcPr>
            <w:tcW w:w="855" w:type="dxa"/>
            <w:vAlign w:val="center"/>
          </w:tcPr>
          <w:p>
            <w:pPr>
              <w:spacing w:line="360" w:lineRule="auto"/>
              <w:jc w:val="center"/>
            </w:pPr>
            <w:hyperlink w:anchor="_ENREF_4" w:tooltip="Burkholder, 2015 #4340" w:history="1">
              <w:r>
                <w:fldChar w:fldCharType="begin"/>
              </w:r>
              <w:r>
                <w:instrText xml:space="preserve"> ADDIN EN.CITE &lt;EndNote&gt;&lt;Cite&gt;&lt;Author&gt;Burkholder&lt;/Author&gt;&lt;Year&gt;2015&lt;/Year&gt;&lt;RecNum&gt;4340&lt;/RecNum&gt;&lt;DisplayText&gt;&lt;style face="superscript"&gt;4&lt;/style&gt;&lt;/DisplayText&gt;&lt;record&gt;&lt;rec-number&gt;4340&lt;/rec-number&gt;&lt;foreign-keys&gt;&lt;key app="EN" db-id="952ffrrvyzt5pcepatvvdz2zvw0da2px2dft"&gt;4340&lt;/key&gt;&lt;/foreign-keys&gt;&lt;ref-type name="Book"&gt;6&lt;/ref-type&gt;&lt;contributors&gt;&lt;authors&gt;&lt;author&gt;Burkholder, J. B.&lt;/author&gt;&lt;author&gt;Sander, S. P.&lt;/author&gt;&lt;author&gt;Abbatt, J. P. D.&lt;/author&gt;&lt;author&gt;Barker, J. R.&lt;/author&gt;&lt;author&gt;Huie, R. E.&lt;/author&gt;&lt;author&gt;Kolb, C. E.&lt;/author&gt;&lt;author&gt;Kurylo, M. J.&lt;/author&gt;&lt;author&gt;Orkin, V. L.&lt;/author&gt;&lt;author&gt;Wilmouth, D. M.&lt;/author&gt;&lt;author&gt;Wine, P. H.&lt;/author&gt;&lt;/authors&gt;&lt;/contributors&gt;&lt;titles&gt;&lt;title&gt;Chemical Kinetics and Photochemical Data for Use in Atmospheric Studies, Evaluation Number 18&lt;/title&gt;&lt;/titles&gt;&lt;num-vols&gt;15-10&lt;/num-vols&gt;&lt;dates&gt;&lt;year&gt;2015&lt;/year&gt;&lt;/dates&gt;&lt;pub-location&gt;Pasadena, California&lt;/pub-location&gt;&lt;publisher&gt;National Aeronautics and Space Administration, Jet Propulsion Laboratory, California Institute of Technology&lt;/publisher&gt;&lt;urls&gt;&lt;related-urls&gt;&lt;url&gt;http://jpldataeval.jpl.nasa.gov/&lt;/url&gt;&lt;/related-urls&gt;&lt;/urls&gt;&lt;/record&gt;&lt;/Cite&gt;&lt;/EndNote&gt;</w:instrText>
              </w:r>
              <w:r>
                <w:fldChar w:fldCharType="separate"/>
              </w:r>
              <w:r>
                <w:rPr>
                  <w:noProof/>
                  <w:vertAlign w:val="superscript"/>
                </w:rPr>
                <w:t>4</w:t>
              </w:r>
              <w:r>
                <w:fldChar w:fldCharType="end"/>
              </w:r>
            </w:hyperlink>
          </w:p>
        </w:tc>
      </w:tr>
      <w:tr>
        <w:tc>
          <w:tcPr>
            <w:tcW w:w="0" w:type="auto"/>
            <w:vAlign w:val="center"/>
          </w:tcPr>
          <w:p>
            <w:pPr>
              <w:spacing w:line="360" w:lineRule="auto"/>
              <w:jc w:val="center"/>
            </w:pPr>
            <w:r>
              <w:lastRenderedPageBreak/>
              <w:t>21</w:t>
            </w:r>
          </w:p>
        </w:tc>
        <w:tc>
          <w:tcPr>
            <w:tcW w:w="2805" w:type="dxa"/>
            <w:vAlign w:val="center"/>
          </w:tcPr>
          <w:p>
            <w:pPr>
              <w:spacing w:line="360" w:lineRule="auto"/>
              <w:jc w:val="center"/>
            </w:pPr>
            <w:r>
              <w:t>NO + NO</w:t>
            </w:r>
            <w:r>
              <w:rPr>
                <w:vertAlign w:val="subscript"/>
              </w:rPr>
              <w:t>3</w:t>
            </w:r>
            <w:r>
              <w:t xml:space="preserve"> </w:t>
            </w:r>
            <w:r>
              <w:sym w:font="Symbol" w:char="F0AE"/>
            </w:r>
            <w:r>
              <w:t xml:space="preserve"> 2NO</w:t>
            </w:r>
            <w:r>
              <w:rPr>
                <w:vertAlign w:val="subscript"/>
              </w:rPr>
              <w:t>2</w:t>
            </w:r>
          </w:p>
        </w:tc>
        <w:tc>
          <w:tcPr>
            <w:tcW w:w="5244" w:type="dxa"/>
            <w:vAlign w:val="center"/>
          </w:tcPr>
          <w:p>
            <w:pPr>
              <w:spacing w:line="360" w:lineRule="auto"/>
              <w:jc w:val="center"/>
            </w:pPr>
            <w:r>
              <w:t>1.5</w:t>
            </w:r>
            <w:r>
              <w:sym w:font="Symbol" w:char="F0B4"/>
            </w:r>
            <w:r>
              <w:t>10</w:t>
            </w:r>
            <w:r>
              <w:rPr>
                <w:vertAlign w:val="superscript"/>
              </w:rPr>
              <w:t>-11</w:t>
            </w:r>
            <w:r>
              <w:sym w:font="Symbol" w:char="F0B4"/>
            </w:r>
            <w:r>
              <w:t>e</w:t>
            </w:r>
            <w:r>
              <w:rPr>
                <w:vertAlign w:val="superscript"/>
              </w:rPr>
              <w:t>170/T</w:t>
            </w:r>
            <w:r>
              <w:t xml:space="preserve"> cm</w:t>
            </w:r>
            <w:r>
              <w:rPr>
                <w:vertAlign w:val="superscript"/>
              </w:rPr>
              <w:t>3</w:t>
            </w:r>
            <w:r>
              <w:t xml:space="preserve"> molecule</w:t>
            </w:r>
            <w:r>
              <w:rPr>
                <w:vertAlign w:val="superscript"/>
              </w:rPr>
              <w:t>-1</w:t>
            </w:r>
            <w:r>
              <w:t xml:space="preserve"> sec</w:t>
            </w:r>
            <w:r>
              <w:rPr>
                <w:vertAlign w:val="superscript"/>
              </w:rPr>
              <w:t>-1</w:t>
            </w:r>
          </w:p>
        </w:tc>
        <w:tc>
          <w:tcPr>
            <w:tcW w:w="855" w:type="dxa"/>
            <w:vAlign w:val="center"/>
          </w:tcPr>
          <w:p>
            <w:pPr>
              <w:spacing w:line="360" w:lineRule="auto"/>
              <w:jc w:val="center"/>
            </w:pPr>
            <w:hyperlink w:anchor="_ENREF_4" w:tooltip="Burkholder, 2015 #4340" w:history="1">
              <w:r>
                <w:fldChar w:fldCharType="begin"/>
              </w:r>
              <w:r>
                <w:instrText xml:space="preserve"> ADDIN EN.CITE &lt;EndNote&gt;&lt;Cite&gt;&lt;Author&gt;Burkholder&lt;/Author&gt;&lt;Year&gt;2015&lt;/Year&gt;&lt;RecNum&gt;4340&lt;/RecNum&gt;&lt;DisplayText&gt;&lt;style face="superscript"&gt;4&lt;/style&gt;&lt;/DisplayText&gt;&lt;record&gt;&lt;rec-number&gt;4340&lt;/rec-number&gt;&lt;foreign-keys&gt;&lt;key app="EN" db-id="952ffrrvyzt5pcepatvvdz2zvw0da2px2dft"&gt;4340&lt;/key&gt;&lt;/foreign-keys&gt;&lt;ref-type name="Book"&gt;6&lt;/ref-type&gt;&lt;contributors&gt;&lt;authors&gt;&lt;author&gt;Burkholder, J. B.&lt;/author&gt;&lt;author&gt;Sander, S. P.&lt;/author&gt;&lt;author&gt;Abbatt, J. P. D.&lt;/author&gt;&lt;author&gt;Barker, J. R.&lt;/author&gt;&lt;author&gt;Huie, R. E.&lt;/author&gt;&lt;author&gt;Kolb, C. E.&lt;/author&gt;&lt;author&gt;Kurylo, M. J.&lt;/author&gt;&lt;author&gt;Orkin, V. L.&lt;/author&gt;&lt;author&gt;Wilmouth, D. M.&lt;/author&gt;&lt;author&gt;Wine, P. H.&lt;/author&gt;&lt;/authors&gt;&lt;/contributors&gt;&lt;titles&gt;&lt;title&gt;Chemical Kinetics and Photochemical Data for Use in Atmospheric Studies, Evaluation Number 18&lt;/title&gt;&lt;/titles&gt;&lt;num-vols&gt;15-10&lt;/num-vols&gt;&lt;dates&gt;&lt;year&gt;2015&lt;/year&gt;&lt;/dates&gt;&lt;pub-location&gt;Pasadena, California&lt;/pub-location&gt;&lt;publisher&gt;National Aeronautics and Space Administration, Jet Propulsion Laboratory, California Institute of Technology&lt;/publisher&gt;&lt;urls&gt;&lt;related-urls&gt;&lt;url&gt;http://jpldataeval.jpl.nasa.gov/&lt;/url&gt;&lt;/related-urls&gt;&lt;/urls&gt;&lt;/record&gt;&lt;/Cite&gt;&lt;/EndNote&gt;</w:instrText>
              </w:r>
              <w:r>
                <w:fldChar w:fldCharType="separate"/>
              </w:r>
              <w:r>
                <w:rPr>
                  <w:noProof/>
                  <w:vertAlign w:val="superscript"/>
                </w:rPr>
                <w:t>4</w:t>
              </w:r>
              <w:r>
                <w:fldChar w:fldCharType="end"/>
              </w:r>
            </w:hyperlink>
          </w:p>
        </w:tc>
      </w:tr>
      <w:tr>
        <w:tc>
          <w:tcPr>
            <w:tcW w:w="0" w:type="auto"/>
            <w:vAlign w:val="center"/>
          </w:tcPr>
          <w:p>
            <w:pPr>
              <w:spacing w:line="360" w:lineRule="auto"/>
              <w:jc w:val="center"/>
            </w:pPr>
            <w:r>
              <w:t>22</w:t>
            </w:r>
          </w:p>
        </w:tc>
        <w:tc>
          <w:tcPr>
            <w:tcW w:w="2805" w:type="dxa"/>
            <w:vAlign w:val="center"/>
          </w:tcPr>
          <w:p>
            <w:pPr>
              <w:spacing w:line="360" w:lineRule="auto"/>
              <w:jc w:val="center"/>
            </w:pPr>
            <w:r>
              <w:t>NO</w:t>
            </w:r>
            <w:r>
              <w:rPr>
                <w:vertAlign w:val="subscript"/>
              </w:rPr>
              <w:t>2</w:t>
            </w:r>
            <w:r>
              <w:t xml:space="preserve"> + NO</w:t>
            </w:r>
            <w:r>
              <w:rPr>
                <w:vertAlign w:val="subscript"/>
              </w:rPr>
              <w:t>3</w:t>
            </w:r>
            <w:r>
              <w:t xml:space="preserve"> (+ M)</w:t>
            </w:r>
            <w:r>
              <w:br/>
              <w:t xml:space="preserve"> </w:t>
            </w:r>
            <w:r>
              <w:sym w:font="Symbol" w:char="F0AE"/>
            </w:r>
            <w:r>
              <w:t xml:space="preserve"> N</w:t>
            </w:r>
            <w:r>
              <w:rPr>
                <w:vertAlign w:val="subscript"/>
              </w:rPr>
              <w:t>2</w:t>
            </w:r>
            <w:r>
              <w:t>O</w:t>
            </w:r>
            <w:r>
              <w:rPr>
                <w:vertAlign w:val="subscript"/>
              </w:rPr>
              <w:t>5</w:t>
            </w:r>
            <w:r>
              <w:t xml:space="preserve"> (+ M) </w:t>
            </w:r>
          </w:p>
        </w:tc>
        <w:tc>
          <w:tcPr>
            <w:tcW w:w="5244" w:type="dxa"/>
            <w:vAlign w:val="center"/>
          </w:tcPr>
          <w:p>
            <w:pPr>
              <w:jc w:val="center"/>
            </w:pPr>
            <w:r>
              <w:t>k</w:t>
            </w:r>
            <w:r>
              <w:rPr>
                <w:vertAlign w:val="subscript"/>
              </w:rPr>
              <w:t>o</w:t>
            </w:r>
            <w:r>
              <w:rPr>
                <w:vertAlign w:val="superscript"/>
              </w:rPr>
              <w:t>300</w:t>
            </w:r>
            <w:r>
              <w:t>=2.4</w:t>
            </w:r>
            <w:r>
              <w:sym w:font="Symbol" w:char="F0B4"/>
            </w:r>
            <w:r>
              <w:t>10</w:t>
            </w:r>
            <w:r>
              <w:rPr>
                <w:vertAlign w:val="superscript"/>
              </w:rPr>
              <w:t>-30</w:t>
            </w:r>
            <w:r>
              <w:t xml:space="preserve"> cm</w:t>
            </w:r>
            <w:r>
              <w:rPr>
                <w:vertAlign w:val="superscript"/>
              </w:rPr>
              <w:t>6</w:t>
            </w:r>
            <w:r>
              <w:t xml:space="preserve"> molecule</w:t>
            </w:r>
            <w:r>
              <w:rPr>
                <w:vertAlign w:val="superscript"/>
              </w:rPr>
              <w:t>-2</w:t>
            </w:r>
            <w:r>
              <w:t xml:space="preserve"> sec</w:t>
            </w:r>
            <w:r>
              <w:rPr>
                <w:vertAlign w:val="superscript"/>
              </w:rPr>
              <w:t>-1</w:t>
            </w:r>
            <w:r>
              <w:t>, n=3.0</w:t>
            </w:r>
          </w:p>
          <w:p>
            <w:pPr>
              <w:jc w:val="center"/>
            </w:pPr>
            <w:r>
              <w:t>k</w:t>
            </w:r>
            <w:r>
              <w:rPr>
                <w:vertAlign w:val="subscript"/>
              </w:rPr>
              <w:t>∞</w:t>
            </w:r>
            <w:r>
              <w:rPr>
                <w:vertAlign w:val="superscript"/>
              </w:rPr>
              <w:t>300</w:t>
            </w:r>
            <w:r>
              <w:t>=1.6</w:t>
            </w:r>
            <w:r>
              <w:sym w:font="Symbol" w:char="F0B4"/>
            </w:r>
            <w:r>
              <w:t>10</w:t>
            </w:r>
            <w:r>
              <w:rPr>
                <w:vertAlign w:val="superscript"/>
              </w:rPr>
              <w:t>-12</w:t>
            </w:r>
            <w:r>
              <w:t xml:space="preserve"> cm</w:t>
            </w:r>
            <w:r>
              <w:rPr>
                <w:vertAlign w:val="superscript"/>
              </w:rPr>
              <w:t>3</w:t>
            </w:r>
            <w:r>
              <w:t xml:space="preserve"> molecule</w:t>
            </w:r>
            <w:r>
              <w:rPr>
                <w:vertAlign w:val="superscript"/>
              </w:rPr>
              <w:t>-1</w:t>
            </w:r>
            <w:r>
              <w:t xml:space="preserve"> sec</w:t>
            </w:r>
            <w:r>
              <w:rPr>
                <w:vertAlign w:val="superscript"/>
              </w:rPr>
              <w:t>-1</w:t>
            </w:r>
            <w:r>
              <w:t>, m=</w:t>
            </w:r>
            <w:r>
              <w:noBreakHyphen/>
              <w:t>0.1</w:t>
            </w:r>
          </w:p>
        </w:tc>
        <w:tc>
          <w:tcPr>
            <w:tcW w:w="855" w:type="dxa"/>
            <w:vAlign w:val="center"/>
          </w:tcPr>
          <w:p>
            <w:pPr>
              <w:spacing w:line="360" w:lineRule="auto"/>
              <w:jc w:val="center"/>
            </w:pPr>
            <w:hyperlink w:anchor="_ENREF_4" w:tooltip="Burkholder, 2015 #4340" w:history="1">
              <w:r>
                <w:fldChar w:fldCharType="begin"/>
              </w:r>
              <w:r>
                <w:instrText xml:space="preserve"> ADDIN EN.CITE &lt;EndNote&gt;&lt;Cite&gt;&lt;Author&gt;Burkholder&lt;/Author&gt;&lt;Year&gt;2015&lt;/Year&gt;&lt;RecNum&gt;4340&lt;/RecNum&gt;&lt;DisplayText&gt;&lt;style face="superscript"&gt;4&lt;/style&gt;&lt;/DisplayText&gt;&lt;record&gt;&lt;rec-number&gt;4340&lt;/rec-number&gt;&lt;foreign-keys&gt;&lt;key app="EN" db-id="952ffrrvyzt5pcepatvvdz2zvw0da2px2dft"&gt;4340&lt;/key&gt;&lt;/foreign-keys&gt;&lt;ref-type name="Book"&gt;6&lt;/ref-type&gt;&lt;contributors&gt;&lt;authors&gt;&lt;author&gt;Burkholder, J. B.&lt;/author&gt;&lt;author&gt;Sander, S. P.&lt;/author&gt;&lt;author&gt;Abbatt, J. P. D.&lt;/author&gt;&lt;author&gt;Barker, J. R.&lt;/author&gt;&lt;author&gt;Huie, R. E.&lt;/author&gt;&lt;author&gt;Kolb, C. E.&lt;/author&gt;&lt;author&gt;Kurylo, M. J.&lt;/author&gt;&lt;author&gt;Orkin, V. L.&lt;/author&gt;&lt;author&gt;Wilmouth, D. M.&lt;/author&gt;&lt;author&gt;Wine, P. H.&lt;/author&gt;&lt;/authors&gt;&lt;/contributors&gt;&lt;titles&gt;&lt;title&gt;Chemical Kinetics and Photochemical Data for Use in Atmospheric Studies, Evaluation Number 18&lt;/title&gt;&lt;/titles&gt;&lt;num-vols&gt;15-10&lt;/num-vols&gt;&lt;dates&gt;&lt;year&gt;2015&lt;/year&gt;&lt;/dates&gt;&lt;pub-location&gt;Pasadena, California&lt;/pub-location&gt;&lt;publisher&gt;National Aeronautics and Space Administration, Jet Propulsion Laboratory, California Institute of Technology&lt;/publisher&gt;&lt;urls&gt;&lt;related-urls&gt;&lt;url&gt;http://jpldataeval.jpl.nasa.gov/&lt;/url&gt;&lt;/related-urls&gt;&lt;/urls&gt;&lt;/record&gt;&lt;/Cite&gt;&lt;/EndNote&gt;</w:instrText>
              </w:r>
              <w:r>
                <w:fldChar w:fldCharType="separate"/>
              </w:r>
              <w:r>
                <w:rPr>
                  <w:noProof/>
                  <w:vertAlign w:val="superscript"/>
                </w:rPr>
                <w:t>4</w:t>
              </w:r>
              <w:r>
                <w:fldChar w:fldCharType="end"/>
              </w:r>
            </w:hyperlink>
          </w:p>
        </w:tc>
      </w:tr>
      <w:tr>
        <w:tc>
          <w:tcPr>
            <w:tcW w:w="0" w:type="auto"/>
            <w:vAlign w:val="center"/>
          </w:tcPr>
          <w:p>
            <w:pPr>
              <w:spacing w:line="360" w:lineRule="auto"/>
              <w:jc w:val="center"/>
            </w:pPr>
            <w:r>
              <w:t>23</w:t>
            </w:r>
          </w:p>
        </w:tc>
        <w:tc>
          <w:tcPr>
            <w:tcW w:w="2805" w:type="dxa"/>
            <w:vAlign w:val="center"/>
          </w:tcPr>
          <w:p>
            <w:pPr>
              <w:spacing w:line="360" w:lineRule="auto"/>
              <w:jc w:val="center"/>
            </w:pPr>
            <w:r>
              <w:t>NO</w:t>
            </w:r>
            <w:r>
              <w:rPr>
                <w:vertAlign w:val="subscript"/>
              </w:rPr>
              <w:t>3</w:t>
            </w:r>
            <w:r>
              <w:t xml:space="preserve"> + </w:t>
            </w:r>
            <w:proofErr w:type="spellStart"/>
            <w:r>
              <w:t>hν</w:t>
            </w:r>
            <w:proofErr w:type="spellEnd"/>
            <w:r>
              <w:t xml:space="preserve"> </w:t>
            </w:r>
            <w:r>
              <w:sym w:font="Symbol" w:char="F0AE"/>
            </w:r>
            <w:r>
              <w:t xml:space="preserve"> NO</w:t>
            </w:r>
            <w:r>
              <w:rPr>
                <w:vertAlign w:val="subscript"/>
              </w:rPr>
              <w:t>2</w:t>
            </w:r>
            <w:r>
              <w:t xml:space="preserve"> + O(</w:t>
            </w:r>
            <w:r>
              <w:rPr>
                <w:vertAlign w:val="superscript"/>
              </w:rPr>
              <w:t>3</w:t>
            </w:r>
            <w:r>
              <w:t>P)</w:t>
            </w:r>
          </w:p>
        </w:tc>
        <w:tc>
          <w:tcPr>
            <w:tcW w:w="5244" w:type="dxa"/>
            <w:vAlign w:val="center"/>
          </w:tcPr>
          <w:p>
            <w:pPr>
              <w:spacing w:line="360" w:lineRule="auto"/>
              <w:jc w:val="center"/>
            </w:pPr>
            <w:r>
              <w:t xml:space="preserve">0.149 </w:t>
            </w:r>
            <w:proofErr w:type="gramStart"/>
            <w:r>
              <w:t>sec</w:t>
            </w:r>
            <w:r>
              <w:rPr>
                <w:vertAlign w:val="superscript"/>
              </w:rPr>
              <w:t>-1</w:t>
            </w:r>
            <w:proofErr w:type="gramEnd"/>
          </w:p>
        </w:tc>
        <w:tc>
          <w:tcPr>
            <w:tcW w:w="855" w:type="dxa"/>
            <w:vAlign w:val="center"/>
          </w:tcPr>
          <w:p>
            <w:pPr>
              <w:spacing w:line="360" w:lineRule="auto"/>
              <w:jc w:val="center"/>
            </w:pPr>
            <w:r>
              <w:t>n/a</w:t>
            </w:r>
          </w:p>
        </w:tc>
      </w:tr>
      <w:tr>
        <w:tc>
          <w:tcPr>
            <w:tcW w:w="0" w:type="auto"/>
            <w:vAlign w:val="center"/>
          </w:tcPr>
          <w:p>
            <w:pPr>
              <w:spacing w:line="360" w:lineRule="auto"/>
              <w:jc w:val="center"/>
            </w:pPr>
            <w:r>
              <w:t>24</w:t>
            </w:r>
          </w:p>
        </w:tc>
        <w:tc>
          <w:tcPr>
            <w:tcW w:w="2805" w:type="dxa"/>
            <w:vAlign w:val="center"/>
          </w:tcPr>
          <w:p>
            <w:pPr>
              <w:spacing w:line="360" w:lineRule="auto"/>
              <w:jc w:val="center"/>
            </w:pPr>
            <w:r>
              <w:t>N</w:t>
            </w:r>
            <w:r>
              <w:rPr>
                <w:vertAlign w:val="subscript"/>
              </w:rPr>
              <w:t>2</w:t>
            </w:r>
            <w:r>
              <w:t>O</w:t>
            </w:r>
            <w:r>
              <w:rPr>
                <w:vertAlign w:val="subscript"/>
              </w:rPr>
              <w:t>5</w:t>
            </w:r>
            <w:r>
              <w:t xml:space="preserve"> </w:t>
            </w:r>
            <w:r>
              <w:sym w:font="Symbol" w:char="F0AE"/>
            </w:r>
            <w:r>
              <w:t xml:space="preserve"> NO</w:t>
            </w:r>
            <w:r>
              <w:rPr>
                <w:vertAlign w:val="subscript"/>
              </w:rPr>
              <w:t>2</w:t>
            </w:r>
            <w:r>
              <w:t xml:space="preserve"> + NO</w:t>
            </w:r>
            <w:r>
              <w:rPr>
                <w:vertAlign w:val="subscript"/>
              </w:rPr>
              <w:t>3</w:t>
            </w:r>
          </w:p>
        </w:tc>
        <w:tc>
          <w:tcPr>
            <w:tcW w:w="5244" w:type="dxa"/>
            <w:vAlign w:val="center"/>
          </w:tcPr>
          <w:p>
            <w:pPr>
              <w:spacing w:line="360" w:lineRule="auto"/>
              <w:jc w:val="center"/>
            </w:pPr>
            <w:r>
              <w:t>k</w:t>
            </w:r>
            <w:r>
              <w:rPr>
                <w:vertAlign w:val="subscript"/>
              </w:rPr>
              <w:t>22</w:t>
            </w:r>
            <w:r>
              <w:t xml:space="preserve"> / (5.8</w:t>
            </w:r>
            <w:r>
              <w:sym w:font="Symbol" w:char="F0B4"/>
            </w:r>
            <w:r>
              <w:t>10</w:t>
            </w:r>
            <w:r>
              <w:rPr>
                <w:vertAlign w:val="superscript"/>
              </w:rPr>
              <w:t>-27</w:t>
            </w:r>
            <w:r>
              <w:sym w:font="Symbol" w:char="F0B4"/>
            </w:r>
            <w:r>
              <w:t xml:space="preserve"> e</w:t>
            </w:r>
            <w:r>
              <w:rPr>
                <w:vertAlign w:val="superscript"/>
              </w:rPr>
              <w:t>10840/T</w:t>
            </w:r>
            <w:r>
              <w:t xml:space="preserve"> cm</w:t>
            </w:r>
            <w:r>
              <w:rPr>
                <w:vertAlign w:val="superscript"/>
              </w:rPr>
              <w:t>3</w:t>
            </w:r>
            <w:r>
              <w:t xml:space="preserve"> molecule</w:t>
            </w:r>
            <w:r>
              <w:rPr>
                <w:vertAlign w:val="superscript"/>
              </w:rPr>
              <w:t>-1</w:t>
            </w:r>
            <w:r>
              <w:t xml:space="preserve"> sec</w:t>
            </w:r>
            <w:r>
              <w:rPr>
                <w:vertAlign w:val="superscript"/>
              </w:rPr>
              <w:t>-1</w:t>
            </w:r>
            <w:r>
              <w:t>)</w:t>
            </w:r>
          </w:p>
        </w:tc>
        <w:tc>
          <w:tcPr>
            <w:tcW w:w="855" w:type="dxa"/>
            <w:vAlign w:val="center"/>
          </w:tcPr>
          <w:p>
            <w:pPr>
              <w:spacing w:line="360" w:lineRule="auto"/>
              <w:jc w:val="center"/>
            </w:pPr>
            <w:hyperlink w:anchor="_ENREF_4" w:tooltip="Burkholder, 2015 #4340" w:history="1">
              <w:r>
                <w:fldChar w:fldCharType="begin"/>
              </w:r>
              <w:r>
                <w:instrText xml:space="preserve"> ADDIN EN.CITE &lt;EndNote&gt;&lt;Cite&gt;&lt;Author&gt;Burkholder&lt;/Author&gt;&lt;Year&gt;2015&lt;/Year&gt;&lt;RecNum&gt;4340&lt;/RecNum&gt;&lt;DisplayText&gt;&lt;style face="superscript"&gt;4&lt;/style&gt;&lt;/DisplayText&gt;&lt;record&gt;&lt;rec-number&gt;4340&lt;/rec-number&gt;&lt;foreign-keys&gt;&lt;key app="EN" db-id="952ffrrvyzt5pcepatvvdz2zvw0da2px2dft"&gt;4340&lt;/key&gt;&lt;/foreign-keys&gt;&lt;ref-type name="Book"&gt;6&lt;/ref-type&gt;&lt;contributors&gt;&lt;authors&gt;&lt;author&gt;Burkholder, J. B.&lt;/author&gt;&lt;author&gt;Sander, S. P.&lt;/author&gt;&lt;author&gt;Abbatt, J. P. D.&lt;/author&gt;&lt;author&gt;Barker, J. R.&lt;/author&gt;&lt;author&gt;Huie, R. E.&lt;/author&gt;&lt;author&gt;Kolb, C. E.&lt;/author&gt;&lt;author&gt;Kurylo, M. J.&lt;/author&gt;&lt;author&gt;Orkin, V. L.&lt;/author&gt;&lt;author&gt;Wilmouth, D. M.&lt;/author&gt;&lt;author&gt;Wine, P. H.&lt;/author&gt;&lt;/authors&gt;&lt;/contributors&gt;&lt;titles&gt;&lt;title&gt;Chemical Kinetics and Photochemical Data for Use in Atmospheric Studies, Evaluation Number 18&lt;/title&gt;&lt;/titles&gt;&lt;num-vols&gt;15-10&lt;/num-vols&gt;&lt;dates&gt;&lt;year&gt;2015&lt;/year&gt;&lt;/dates&gt;&lt;pub-location&gt;Pasadena, California&lt;/pub-location&gt;&lt;publisher&gt;National Aeronautics and Space Administration, Jet Propulsion Laboratory, California Institute of Technology&lt;/publisher&gt;&lt;urls&gt;&lt;related-urls&gt;&lt;url&gt;http://jpldataeval.jpl.nasa.gov/&lt;/url&gt;&lt;/related-urls&gt;&lt;/urls&gt;&lt;/record&gt;&lt;/Cite&gt;&lt;/EndNote&gt;</w:instrText>
              </w:r>
              <w:r>
                <w:fldChar w:fldCharType="separate"/>
              </w:r>
              <w:r>
                <w:rPr>
                  <w:noProof/>
                  <w:vertAlign w:val="superscript"/>
                </w:rPr>
                <w:t>4</w:t>
              </w:r>
              <w:r>
                <w:fldChar w:fldCharType="end"/>
              </w:r>
            </w:hyperlink>
          </w:p>
        </w:tc>
      </w:tr>
      <w:tr>
        <w:tc>
          <w:tcPr>
            <w:tcW w:w="0" w:type="auto"/>
            <w:vAlign w:val="center"/>
          </w:tcPr>
          <w:p>
            <w:pPr>
              <w:spacing w:line="360" w:lineRule="auto"/>
              <w:jc w:val="center"/>
            </w:pPr>
            <w:r>
              <w:t>25</w:t>
            </w:r>
          </w:p>
        </w:tc>
        <w:tc>
          <w:tcPr>
            <w:tcW w:w="2805" w:type="dxa"/>
            <w:vAlign w:val="center"/>
          </w:tcPr>
          <w:p>
            <w:pPr>
              <w:spacing w:line="360" w:lineRule="auto"/>
              <w:jc w:val="center"/>
            </w:pPr>
            <w:r>
              <w:t>HO + CO (+ O</w:t>
            </w:r>
            <w:r>
              <w:rPr>
                <w:vertAlign w:val="subscript"/>
              </w:rPr>
              <w:t>2</w:t>
            </w:r>
            <w:r>
              <w:t>)</w:t>
            </w:r>
            <w:r>
              <w:br/>
              <w:t xml:space="preserve"> </w:t>
            </w:r>
            <w:r>
              <w:sym w:font="Symbol" w:char="F0AE"/>
            </w:r>
            <w:r>
              <w:t xml:space="preserve"> CO</w:t>
            </w:r>
            <w:r>
              <w:rPr>
                <w:vertAlign w:val="subscript"/>
              </w:rPr>
              <w:t>2</w:t>
            </w:r>
            <w:r>
              <w:t xml:space="preserve"> + HO</w:t>
            </w:r>
            <w:r>
              <w:rPr>
                <w:vertAlign w:val="subscript"/>
              </w:rPr>
              <w:t>2</w:t>
            </w:r>
          </w:p>
        </w:tc>
        <w:tc>
          <w:tcPr>
            <w:tcW w:w="5244" w:type="dxa"/>
            <w:vAlign w:val="center"/>
          </w:tcPr>
          <w:p>
            <w:pPr>
              <w:spacing w:line="360" w:lineRule="auto"/>
              <w:jc w:val="center"/>
            </w:pPr>
            <w:r>
              <w:t>1.5</w:t>
            </w:r>
            <w:r>
              <w:sym w:font="Symbol" w:char="F0B4"/>
            </w:r>
            <w:r>
              <w:t>10</w:t>
            </w:r>
            <w:r>
              <w:rPr>
                <w:vertAlign w:val="superscript"/>
              </w:rPr>
              <w:t>-13</w:t>
            </w:r>
            <w:r>
              <w:t xml:space="preserve"> cm</w:t>
            </w:r>
            <w:r>
              <w:rPr>
                <w:vertAlign w:val="superscript"/>
              </w:rPr>
              <w:t>3</w:t>
            </w:r>
            <w:r>
              <w:t xml:space="preserve"> molecule</w:t>
            </w:r>
            <w:r>
              <w:rPr>
                <w:vertAlign w:val="superscript"/>
              </w:rPr>
              <w:t>-1</w:t>
            </w:r>
            <w:r>
              <w:t xml:space="preserve"> sec</w:t>
            </w:r>
            <w:r>
              <w:rPr>
                <w:vertAlign w:val="superscript"/>
              </w:rPr>
              <w:t>-1</w:t>
            </w:r>
          </w:p>
        </w:tc>
        <w:tc>
          <w:tcPr>
            <w:tcW w:w="855" w:type="dxa"/>
            <w:vAlign w:val="center"/>
          </w:tcPr>
          <w:p>
            <w:pPr>
              <w:spacing w:line="360" w:lineRule="auto"/>
              <w:jc w:val="center"/>
            </w:pPr>
            <w:hyperlink w:anchor="_ENREF_4" w:tooltip="Burkholder, 2015 #4340" w:history="1">
              <w:r>
                <w:fldChar w:fldCharType="begin"/>
              </w:r>
              <w:r>
                <w:instrText xml:space="preserve"> ADDIN EN.CITE &lt;EndNote&gt;&lt;Cite&gt;&lt;Author&gt;Burkholder&lt;/Author&gt;&lt;Year&gt;2015&lt;/Year&gt;&lt;RecNum&gt;4340&lt;/RecNum&gt;&lt;DisplayText&gt;&lt;style face="superscript"&gt;4&lt;/style&gt;&lt;/DisplayText&gt;&lt;record&gt;&lt;rec-number&gt;4340&lt;/rec-number&gt;&lt;foreign-keys&gt;&lt;key app="EN" db-id="952ffrrvyzt5pcepatvvdz2zvw0da2px2dft"&gt;4340&lt;/key&gt;&lt;/foreign-keys&gt;&lt;ref-type name="Book"&gt;6&lt;/ref-type&gt;&lt;contributors&gt;&lt;authors&gt;&lt;author&gt;Burkholder, J. B.&lt;/author&gt;&lt;author&gt;Sander, S. P.&lt;/author&gt;&lt;author&gt;Abbatt, J. P. D.&lt;/author&gt;&lt;author&gt;Barker, J. R.&lt;/author&gt;&lt;author&gt;Huie, R. E.&lt;/author&gt;&lt;author&gt;Kolb, C. E.&lt;/author&gt;&lt;author&gt;Kurylo, M. J.&lt;/author&gt;&lt;author&gt;Orkin, V. L.&lt;/author&gt;&lt;author&gt;Wilmouth, D. M.&lt;/author&gt;&lt;author&gt;Wine, P. H.&lt;/author&gt;&lt;/authors&gt;&lt;/contributors&gt;&lt;titles&gt;&lt;title&gt;Chemical Kinetics and Photochemical Data for Use in Atmospheric Studies, Evaluation Number 18&lt;/title&gt;&lt;/titles&gt;&lt;num-vols&gt;15-10&lt;/num-vols&gt;&lt;dates&gt;&lt;year&gt;2015&lt;/year&gt;&lt;/dates&gt;&lt;pub-location&gt;Pasadena, California&lt;/pub-location&gt;&lt;publisher&gt;National Aeronautics and Space Administration, Jet Propulsion Laboratory, California Institute of Technology&lt;/publisher&gt;&lt;urls&gt;&lt;related-urls&gt;&lt;url&gt;http://jpldataeval.jpl.nasa.gov/&lt;/url&gt;&lt;/related-urls&gt;&lt;/urls&gt;&lt;/record&gt;&lt;/Cite&gt;&lt;/EndNote&gt;</w:instrText>
              </w:r>
              <w:r>
                <w:fldChar w:fldCharType="separate"/>
              </w:r>
              <w:r>
                <w:rPr>
                  <w:noProof/>
                  <w:vertAlign w:val="superscript"/>
                </w:rPr>
                <w:t>4</w:t>
              </w:r>
              <w:r>
                <w:fldChar w:fldCharType="end"/>
              </w:r>
            </w:hyperlink>
          </w:p>
        </w:tc>
      </w:tr>
      <w:tr>
        <w:tc>
          <w:tcPr>
            <w:tcW w:w="0" w:type="auto"/>
            <w:vAlign w:val="center"/>
          </w:tcPr>
          <w:p>
            <w:pPr>
              <w:spacing w:line="360" w:lineRule="auto"/>
              <w:jc w:val="center"/>
            </w:pPr>
            <w:r>
              <w:t>26</w:t>
            </w:r>
          </w:p>
        </w:tc>
        <w:tc>
          <w:tcPr>
            <w:tcW w:w="2805" w:type="dxa"/>
            <w:vAlign w:val="center"/>
          </w:tcPr>
          <w:p>
            <w:pPr>
              <w:spacing w:line="360" w:lineRule="auto"/>
              <w:jc w:val="center"/>
            </w:pPr>
            <w:r>
              <w:t>N</w:t>
            </w:r>
            <w:r>
              <w:rPr>
                <w:vertAlign w:val="subscript"/>
              </w:rPr>
              <w:t>2</w:t>
            </w:r>
            <w:r>
              <w:t>O</w:t>
            </w:r>
            <w:r>
              <w:rPr>
                <w:vertAlign w:val="subscript"/>
              </w:rPr>
              <w:t>3</w:t>
            </w:r>
            <w:r>
              <w:t xml:space="preserve"> (+ M)</w:t>
            </w:r>
            <w:r>
              <w:br/>
            </w:r>
            <w:r>
              <w:sym w:font="Symbol" w:char="F0AE"/>
            </w:r>
            <w:r>
              <w:t xml:space="preserve"> NO + NO</w:t>
            </w:r>
            <w:r>
              <w:rPr>
                <w:vertAlign w:val="subscript"/>
              </w:rPr>
              <w:t>2</w:t>
            </w:r>
            <w:r>
              <w:t>(+ M)</w:t>
            </w:r>
          </w:p>
        </w:tc>
        <w:tc>
          <w:tcPr>
            <w:tcW w:w="5244" w:type="dxa"/>
            <w:vAlign w:val="center"/>
          </w:tcPr>
          <w:p>
            <w:pPr>
              <w:jc w:val="center"/>
            </w:pPr>
            <w:r>
              <w:t>k</w:t>
            </w:r>
            <w:r>
              <w:rPr>
                <w:vertAlign w:val="subscript"/>
              </w:rPr>
              <w:t>o</w:t>
            </w:r>
            <w:r>
              <w:t>=1.9</w:t>
            </w:r>
            <w:r>
              <w:sym w:font="Symbol" w:char="F0B4"/>
            </w:r>
            <w:r>
              <w:t>10</w:t>
            </w:r>
            <w:r>
              <w:rPr>
                <w:vertAlign w:val="superscript"/>
              </w:rPr>
              <w:t>-7</w:t>
            </w:r>
            <w:r>
              <w:sym w:font="Symbol" w:char="F0B4"/>
            </w:r>
            <w:r>
              <w:t>(T/300)</w:t>
            </w:r>
            <w:r>
              <w:rPr>
                <w:vertAlign w:val="superscript"/>
              </w:rPr>
              <w:t>-8.7</w:t>
            </w:r>
            <w:r>
              <w:t xml:space="preserve"> e</w:t>
            </w:r>
            <w:r>
              <w:rPr>
                <w:vertAlign w:val="superscript"/>
              </w:rPr>
              <w:t>-4880/T</w:t>
            </w:r>
            <w:r>
              <w:t xml:space="preserve"> [M] sec</w:t>
            </w:r>
            <w:r>
              <w:rPr>
                <w:vertAlign w:val="superscript"/>
              </w:rPr>
              <w:t>-1</w:t>
            </w:r>
          </w:p>
          <w:p>
            <w:pPr>
              <w:jc w:val="center"/>
            </w:pPr>
            <w:r>
              <w:t>k</w:t>
            </w:r>
            <w:r>
              <w:rPr>
                <w:vertAlign w:val="subscript"/>
              </w:rPr>
              <w:t>∞</w:t>
            </w:r>
            <w:r>
              <w:t>=4.7</w:t>
            </w:r>
            <w:r>
              <w:sym w:font="Symbol" w:char="F0B4"/>
            </w:r>
            <w:r>
              <w:t>10</w:t>
            </w:r>
            <w:r>
              <w:rPr>
                <w:vertAlign w:val="superscript"/>
              </w:rPr>
              <w:t>15</w:t>
            </w:r>
            <w:r>
              <w:sym w:font="Symbol" w:char="F0B4"/>
            </w:r>
            <w:r>
              <w:t>(T/300)</w:t>
            </w:r>
            <w:r>
              <w:rPr>
                <w:vertAlign w:val="superscript"/>
              </w:rPr>
              <w:t>0.4</w:t>
            </w:r>
            <w:r>
              <w:t xml:space="preserve"> e</w:t>
            </w:r>
            <w:r>
              <w:rPr>
                <w:vertAlign w:val="superscript"/>
              </w:rPr>
              <w:t>-4880/T</w:t>
            </w:r>
            <w:r>
              <w:t xml:space="preserve"> sec</w:t>
            </w:r>
            <w:r>
              <w:rPr>
                <w:vertAlign w:val="superscript"/>
              </w:rPr>
              <w:t>-1</w:t>
            </w:r>
          </w:p>
        </w:tc>
        <w:tc>
          <w:tcPr>
            <w:tcW w:w="855" w:type="dxa"/>
            <w:vAlign w:val="center"/>
          </w:tcPr>
          <w:p>
            <w:pPr>
              <w:spacing w:line="360" w:lineRule="auto"/>
              <w:jc w:val="center"/>
            </w:pPr>
            <w:hyperlink w:anchor="_ENREF_5" w:tooltip="Atkinson, 2004 #144" w:history="1">
              <w:r>
                <w:fldChar w:fldCharType="begin">
                  <w:fldData xml:space="preserve">PEVuZE5vdGU+PENpdGU+PEF1dGhvcj5BdGtpbnNvbjwvQXV0aG9yPjxZZWFyPjIwMDQ8L1llYXI+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</w:fldData>
                </w:fldChar>
              </w:r>
              <w:r>
                <w:instrText xml:space="preserve"> ADDIN EN.CITE </w:instrText>
              </w:r>
              <w:r>
                <w:fldChar w:fldCharType="begin">
                  <w:fldData xml:space="preserve">PEVuZE5vdGU+PENpdGU+PEF1dGhvcj5BdGtpbnNvbjwvQXV0aG9yPjxZZWFyPjIwMDQ8L1llYXI+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</w:fldData>
                </w:fldChar>
              </w:r>
              <w:r>
                <w:instrText xml:space="preserve"> ADDIN EN.CITE.DATA </w:instrText>
              </w:r>
              <w:r>
                <w:fldChar w:fldCharType="end"/>
              </w:r>
              <w:r>
                <w:fldChar w:fldCharType="separate"/>
              </w:r>
              <w:r>
                <w:rPr>
                  <w:noProof/>
                  <w:vertAlign w:val="superscript"/>
                </w:rPr>
                <w:t>5</w:t>
              </w:r>
              <w:r>
                <w:fldChar w:fldCharType="end"/>
              </w:r>
            </w:hyperlink>
            <w:r>
              <w:rPr>
                <w:vertAlign w:val="superscript"/>
              </w:rPr>
              <w:t>*</w:t>
            </w:r>
          </w:p>
        </w:tc>
      </w:tr>
      <w:tr>
        <w:tc>
          <w:tcPr>
            <w:tcW w:w="0" w:type="auto"/>
            <w:vAlign w:val="center"/>
          </w:tcPr>
          <w:p>
            <w:pPr>
              <w:spacing w:line="360" w:lineRule="auto"/>
              <w:jc w:val="center"/>
            </w:pPr>
            <w:r>
              <w:t>27</w:t>
            </w:r>
          </w:p>
        </w:tc>
        <w:tc>
          <w:tcPr>
            <w:tcW w:w="2805" w:type="dxa"/>
            <w:vAlign w:val="center"/>
          </w:tcPr>
          <w:p>
            <w:pPr>
              <w:spacing w:line="360" w:lineRule="auto"/>
              <w:jc w:val="center"/>
            </w:pPr>
            <w:r>
              <w:t>N</w:t>
            </w:r>
            <w:r>
              <w:rPr>
                <w:vertAlign w:val="subscript"/>
              </w:rPr>
              <w:t>2</w:t>
            </w:r>
            <w:r>
              <w:t>O</w:t>
            </w:r>
            <w:r>
              <w:rPr>
                <w:vertAlign w:val="subscript"/>
              </w:rPr>
              <w:t>3</w:t>
            </w:r>
            <w:r>
              <w:t xml:space="preserve"> + H</w:t>
            </w:r>
            <w:r>
              <w:rPr>
                <w:vertAlign w:val="subscript"/>
              </w:rPr>
              <w:t>2</w:t>
            </w:r>
            <w:r>
              <w:t xml:space="preserve">O </w:t>
            </w:r>
            <w:r>
              <w:sym w:font="Symbol" w:char="F0AE"/>
            </w:r>
            <w:r>
              <w:t xml:space="preserve"> 2HONO</w:t>
            </w:r>
          </w:p>
        </w:tc>
        <w:tc>
          <w:tcPr>
            <w:tcW w:w="5244" w:type="dxa"/>
            <w:vAlign w:val="center"/>
          </w:tcPr>
          <w:p>
            <w:pPr>
              <w:spacing w:line="360" w:lineRule="auto"/>
              <w:jc w:val="center"/>
              <w:rPr>
                <w:highlight w:val="yellow"/>
              </w:rPr>
            </w:pPr>
            <w:r>
              <w:t>6.29</w:t>
            </w:r>
            <w:r>
              <w:sym w:font="Symbol" w:char="F0B4"/>
            </w:r>
            <w:r>
              <w:t>10</w:t>
            </w:r>
            <w:r>
              <w:rPr>
                <w:vertAlign w:val="superscript"/>
              </w:rPr>
              <w:t>-11</w:t>
            </w:r>
            <w:r>
              <w:sym w:font="Symbol" w:char="F0B4"/>
            </w:r>
            <w:r>
              <w:t>e</w:t>
            </w:r>
            <w:r>
              <w:rPr>
                <w:vertAlign w:val="superscript"/>
              </w:rPr>
              <w:t>-4470/T</w:t>
            </w:r>
            <w:r>
              <w:t xml:space="preserve"> cm</w:t>
            </w:r>
            <w:r>
              <w:rPr>
                <w:vertAlign w:val="superscript"/>
              </w:rPr>
              <w:t>3</w:t>
            </w:r>
            <w:r>
              <w:t xml:space="preserve"> molecule</w:t>
            </w:r>
            <w:r>
              <w:rPr>
                <w:vertAlign w:val="superscript"/>
              </w:rPr>
              <w:t>-1</w:t>
            </w:r>
            <w:r>
              <w:t xml:space="preserve"> sec</w:t>
            </w:r>
            <w:r>
              <w:rPr>
                <w:vertAlign w:val="superscript"/>
              </w:rPr>
              <w:t>-1</w:t>
            </w:r>
          </w:p>
        </w:tc>
        <w:tc>
          <w:tcPr>
            <w:tcW w:w="855" w:type="dxa"/>
            <w:vAlign w:val="center"/>
          </w:tcPr>
          <w:p>
            <w:pPr>
              <w:spacing w:line="360" w:lineRule="auto"/>
              <w:jc w:val="center"/>
            </w:pPr>
            <w:hyperlink w:anchor="_ENREF_6" w:tooltip="England, 1975 #4989" w:history="1">
              <w:r>
                <w:fldChar w:fldCharType="begin"/>
              </w:r>
              <w:r>
                <w:instrText xml:space="preserve"> ADDIN EN.CITE &lt;EndNote&gt;&lt;Cite&gt;&lt;Author&gt;England&lt;/Author&gt;&lt;Year&gt;1975&lt;/Year&gt;&lt;RecNum&gt;4989&lt;/RecNum&gt;&lt;DisplayText&gt;&lt;style face="superscript"&gt;6&lt;/style&gt;&lt;/DisplayText&gt;&lt;record&gt;&lt;rec-number&gt;4989&lt;/rec-number&gt;&lt;foreign-keys&gt;&lt;key app="EN" db-id="952ffrrvyzt5pcepatvvdz2zvw0da2px2dft"&gt;4989&lt;/key&gt;&lt;/foreign-keys&gt;&lt;ref-type name="Journal Article"&gt;17&lt;/ref-type&gt;&lt;contributors&gt;&lt;authors&gt;&lt;author&gt;England, Christopher&lt;/author&gt;&lt;author&gt;Corcoran, William H.&lt;/author&gt;&lt;/authors&gt;&lt;/contributors&gt;&lt;titles&gt;&lt;title&gt;The Rate and Mechanism of the Air Oxidation of Parts-per-Million Concentrations of Nitric Oxide in the Presence of Water Vapor&lt;/title&gt;&lt;secondary-title&gt;Ind. Eng. Chem. Fundamen.&lt;/secondary-title&gt;&lt;alt-title&gt;Industrial &amp;amp; Engineering Chemistry Fundamentals&lt;/alt-title&gt;&lt;short-title&gt;Ind. Eng. Chem. Fundamen.&lt;/short-title&gt;&lt;/titles&gt;&lt;alt-periodical&gt;&lt;full-title&gt;Industrial &amp;amp; Engineering Chemistry Fundamentals&lt;/full-title&gt;&lt;/alt-periodical&gt;&lt;pages&gt;55-63&lt;/pages&gt;&lt;volume&gt;14&lt;/volume&gt;&lt;number&gt;1&lt;/number&gt;&lt;dates&gt;&lt;year&gt;1975&lt;/year&gt;&lt;pub-dates&gt;&lt;date&gt;1975/02/01&lt;/date&gt;&lt;/pub-dates&gt;&lt;/dates&gt;&lt;publisher&gt;American Chemical Society&lt;/publisher&gt;&lt;isbn&gt;0196-4313&lt;/isbn&gt;&lt;urls&gt;&lt;related-urls&gt;&lt;url&gt;https://doi.org/10.1021/i160053a010&lt;/url&gt;&lt;/related-urls&gt;&lt;/urls&gt;&lt;electronic-resource-num&gt;10.1021/i160053a010&lt;/electronic-resource-num&gt;&lt;/record&gt;&lt;/Cite&gt;&lt;/EndNote&gt;</w:instrText>
              </w:r>
              <w:r>
                <w:fldChar w:fldCharType="separate"/>
              </w:r>
              <w:r>
                <w:rPr>
                  <w:noProof/>
                  <w:vertAlign w:val="superscript"/>
                </w:rPr>
                <w:t>6</w:t>
              </w:r>
              <w:r>
                <w:fldChar w:fldCharType="end"/>
              </w:r>
            </w:hyperlink>
          </w:p>
        </w:tc>
      </w:tr>
      <w:tr>
        <w:tc>
          <w:tcPr>
            <w:tcW w:w="0" w:type="auto"/>
            <w:vAlign w:val="center"/>
          </w:tcPr>
          <w:p>
            <w:pPr>
              <w:spacing w:line="360" w:lineRule="auto"/>
              <w:jc w:val="center"/>
            </w:pPr>
            <w:r>
              <w:t>28</w:t>
            </w:r>
          </w:p>
        </w:tc>
        <w:tc>
          <w:tcPr>
            <w:tcW w:w="2805" w:type="dxa"/>
            <w:vAlign w:val="center"/>
          </w:tcPr>
          <w:p>
            <w:pPr>
              <w:spacing w:line="360" w:lineRule="auto"/>
              <w:jc w:val="center"/>
            </w:pPr>
            <w:r>
              <w:t xml:space="preserve"> NO + NO</w:t>
            </w:r>
            <w:r>
              <w:rPr>
                <w:vertAlign w:val="subscript"/>
              </w:rPr>
              <w:t>2</w:t>
            </w:r>
            <w:r>
              <w:t xml:space="preserve"> (+ M)</w:t>
            </w:r>
            <w:r>
              <w:br/>
            </w:r>
            <w:r>
              <w:sym w:font="Symbol" w:char="F0AE"/>
            </w:r>
            <w:r>
              <w:t xml:space="preserve"> N</w:t>
            </w:r>
            <w:r>
              <w:rPr>
                <w:vertAlign w:val="subscript"/>
              </w:rPr>
              <w:t>2</w:t>
            </w:r>
            <w:r>
              <w:t>O</w:t>
            </w:r>
            <w:r>
              <w:rPr>
                <w:vertAlign w:val="subscript"/>
              </w:rPr>
              <w:t xml:space="preserve">3 </w:t>
            </w:r>
            <w:r>
              <w:t xml:space="preserve">(+ M) </w:t>
            </w:r>
          </w:p>
        </w:tc>
        <w:tc>
          <w:tcPr>
            <w:tcW w:w="5244" w:type="dxa"/>
            <w:vAlign w:val="center"/>
          </w:tcPr>
          <w:p>
            <w:pPr>
              <w:jc w:val="center"/>
            </w:pPr>
            <w:r>
              <w:t>k</w:t>
            </w:r>
            <w:r>
              <w:rPr>
                <w:vertAlign w:val="subscript"/>
              </w:rPr>
              <w:t>o</w:t>
            </w:r>
            <w:r>
              <w:t>=3.1</w:t>
            </w:r>
            <w:r>
              <w:sym w:font="Symbol" w:char="F0B4"/>
            </w:r>
            <w:r>
              <w:t>10</w:t>
            </w:r>
            <w:r>
              <w:rPr>
                <w:vertAlign w:val="superscript"/>
              </w:rPr>
              <w:t>-34</w:t>
            </w:r>
            <w:r>
              <w:sym w:font="Symbol" w:char="F0B4"/>
            </w:r>
            <w:r>
              <w:t>(T/300)</w:t>
            </w:r>
            <w:r>
              <w:rPr>
                <w:vertAlign w:val="superscript"/>
              </w:rPr>
              <w:t>-7.7</w:t>
            </w:r>
            <w:r>
              <w:sym w:font="Symbol" w:char="F0B4"/>
            </w:r>
            <w:r>
              <w:t>[M] cm</w:t>
            </w:r>
            <w:r>
              <w:rPr>
                <w:vertAlign w:val="superscript"/>
              </w:rPr>
              <w:t>3</w:t>
            </w:r>
            <w:r>
              <w:t xml:space="preserve"> molecule</w:t>
            </w:r>
            <w:r>
              <w:rPr>
                <w:vertAlign w:val="superscript"/>
              </w:rPr>
              <w:t>-1</w:t>
            </w:r>
            <w:r>
              <w:t xml:space="preserve"> sec</w:t>
            </w:r>
            <w:r>
              <w:rPr>
                <w:vertAlign w:val="superscript"/>
              </w:rPr>
              <w:t>-1</w:t>
            </w:r>
          </w:p>
          <w:p>
            <w:pPr>
              <w:spacing w:line="360" w:lineRule="auto"/>
              <w:jc w:val="center"/>
              <w:rPr>
                <w:highlight w:val="yellow"/>
              </w:rPr>
            </w:pPr>
            <w:r>
              <w:t>k</w:t>
            </w:r>
            <w:r>
              <w:rPr>
                <w:vertAlign w:val="subscript"/>
              </w:rPr>
              <w:t>∞</w:t>
            </w:r>
            <w:r>
              <w:t>=7.9</w:t>
            </w:r>
            <w:r>
              <w:sym w:font="Symbol" w:char="F0B4"/>
            </w:r>
            <w:r>
              <w:t>10</w:t>
            </w:r>
            <w:r>
              <w:rPr>
                <w:vertAlign w:val="superscript"/>
              </w:rPr>
              <w:t>-12</w:t>
            </w:r>
            <w:r>
              <w:sym w:font="Symbol" w:char="F0B4"/>
            </w:r>
            <w:r>
              <w:t>(T/300)</w:t>
            </w:r>
            <w:r>
              <w:rPr>
                <w:vertAlign w:val="superscript"/>
              </w:rPr>
              <w:t>-1.4</w:t>
            </w:r>
            <w:r>
              <w:t xml:space="preserve"> cm</w:t>
            </w:r>
            <w:r>
              <w:rPr>
                <w:vertAlign w:val="superscript"/>
              </w:rPr>
              <w:t>3</w:t>
            </w:r>
            <w:r>
              <w:t xml:space="preserve"> molecule</w:t>
            </w:r>
            <w:r>
              <w:rPr>
                <w:vertAlign w:val="superscript"/>
              </w:rPr>
              <w:t>-1</w:t>
            </w:r>
            <w:r>
              <w:t xml:space="preserve"> sec</w:t>
            </w:r>
            <w:r>
              <w:rPr>
                <w:vertAlign w:val="superscript"/>
              </w:rPr>
              <w:t>-1</w:t>
            </w:r>
          </w:p>
        </w:tc>
        <w:tc>
          <w:tcPr>
            <w:tcW w:w="855" w:type="dxa"/>
            <w:vAlign w:val="center"/>
          </w:tcPr>
          <w:p>
            <w:pPr>
              <w:spacing w:line="360" w:lineRule="auto"/>
              <w:jc w:val="center"/>
            </w:pPr>
            <w:hyperlink w:anchor="_ENREF_5" w:tooltip="Atkinson, 2004 #144" w:history="1">
              <w:r>
                <w:fldChar w:fldCharType="begin">
                  <w:fldData xml:space="preserve">PEVuZE5vdGU+PENpdGU+PEF1dGhvcj5BdGtpbnNvbjwvQXV0aG9yPjxZZWFyPjIwMDQ8L1llYXI+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</w:fldData>
                </w:fldChar>
              </w:r>
              <w:r>
                <w:instrText xml:space="preserve"> ADDIN EN.CITE </w:instrText>
              </w:r>
              <w:r>
                <w:fldChar w:fldCharType="begin">
                  <w:fldData xml:space="preserve">PEVuZE5vdGU+PENpdGU+PEF1dGhvcj5BdGtpbnNvbjwvQXV0aG9yPjxZZWFyPjIwMDQ8L1llYXI+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</w:fldData>
                </w:fldChar>
              </w:r>
              <w:r>
                <w:instrText xml:space="preserve"> ADDIN EN.CITE.DATA </w:instrText>
              </w:r>
              <w:r>
                <w:fldChar w:fldCharType="end"/>
              </w:r>
              <w:r>
                <w:fldChar w:fldCharType="separate"/>
              </w:r>
              <w:r>
                <w:rPr>
                  <w:noProof/>
                  <w:vertAlign w:val="superscript"/>
                </w:rPr>
                <w:t>5</w:t>
              </w:r>
              <w:r>
                <w:fldChar w:fldCharType="end"/>
              </w:r>
            </w:hyperlink>
            <w:r>
              <w:rPr>
                <w:vertAlign w:val="superscript"/>
              </w:rPr>
              <w:t>*</w:t>
            </w:r>
          </w:p>
        </w:tc>
      </w:tr>
      <w:tr>
        <w:tc>
          <w:tcPr>
            <w:tcW w:w="0" w:type="auto"/>
            <w:vAlign w:val="center"/>
          </w:tcPr>
          <w:p>
            <w:pPr>
              <w:spacing w:line="360" w:lineRule="auto"/>
              <w:jc w:val="center"/>
            </w:pPr>
            <w:r>
              <w:t>29</w:t>
            </w:r>
          </w:p>
        </w:tc>
        <w:tc>
          <w:tcPr>
            <w:tcW w:w="2805" w:type="dxa"/>
            <w:vAlign w:val="center"/>
          </w:tcPr>
          <w:p>
            <w:pPr>
              <w:spacing w:line="360" w:lineRule="auto"/>
              <w:jc w:val="center"/>
            </w:pPr>
            <w:r>
              <w:t>HO + CH</w:t>
            </w:r>
            <w:r>
              <w:rPr>
                <w:vertAlign w:val="subscript"/>
              </w:rPr>
              <w:t>4</w:t>
            </w:r>
            <w:r>
              <w:t xml:space="preserve"> (+ O</w:t>
            </w:r>
            <w:r>
              <w:rPr>
                <w:vertAlign w:val="subscript"/>
              </w:rPr>
              <w:t>2</w:t>
            </w:r>
            <w:r>
              <w:t>)</w:t>
            </w:r>
            <w:r>
              <w:br/>
            </w:r>
            <w:r>
              <w:sym w:font="Symbol" w:char="F0AE"/>
            </w:r>
            <w:r>
              <w:t xml:space="preserve"> CH</w:t>
            </w:r>
            <w:r>
              <w:rPr>
                <w:vertAlign w:val="subscript"/>
              </w:rPr>
              <w:t>3</w:t>
            </w:r>
            <w:r>
              <w:t>O</w:t>
            </w:r>
            <w:r>
              <w:rPr>
                <w:vertAlign w:val="subscript"/>
              </w:rPr>
              <w:t>2</w:t>
            </w:r>
            <w:r>
              <w:t xml:space="preserve"> + H</w:t>
            </w:r>
            <w:r>
              <w:rPr>
                <w:vertAlign w:val="subscript"/>
              </w:rPr>
              <w:t>2</w:t>
            </w:r>
            <w:r>
              <w:t>O</w:t>
            </w:r>
          </w:p>
        </w:tc>
        <w:tc>
          <w:tcPr>
            <w:tcW w:w="5244" w:type="dxa"/>
            <w:vAlign w:val="center"/>
          </w:tcPr>
          <w:p>
            <w:pPr>
              <w:spacing w:line="360" w:lineRule="auto"/>
              <w:jc w:val="center"/>
              <w:rPr>
                <w:highlight w:val="yellow"/>
              </w:rPr>
            </w:pPr>
            <w:r>
              <w:t>2.45</w:t>
            </w:r>
            <w:r>
              <w:sym w:font="Symbol" w:char="F0B4"/>
            </w:r>
            <w:r>
              <w:t>10</w:t>
            </w:r>
            <w:r>
              <w:rPr>
                <w:vertAlign w:val="superscript"/>
              </w:rPr>
              <w:t>-12</w:t>
            </w:r>
            <w:r>
              <w:sym w:font="Symbol" w:char="F0B4"/>
            </w:r>
            <w:r>
              <w:t>e</w:t>
            </w:r>
            <w:r>
              <w:rPr>
                <w:vertAlign w:val="superscript"/>
              </w:rPr>
              <w:t>-1775/T</w:t>
            </w:r>
            <w:r>
              <w:t xml:space="preserve"> cm</w:t>
            </w:r>
            <w:r>
              <w:rPr>
                <w:vertAlign w:val="superscript"/>
              </w:rPr>
              <w:t>3</w:t>
            </w:r>
            <w:r>
              <w:t xml:space="preserve"> molecule</w:t>
            </w:r>
            <w:r>
              <w:rPr>
                <w:vertAlign w:val="superscript"/>
              </w:rPr>
              <w:t>-1</w:t>
            </w:r>
            <w:r>
              <w:t xml:space="preserve"> sec</w:t>
            </w:r>
            <w:r>
              <w:rPr>
                <w:vertAlign w:val="superscript"/>
              </w:rPr>
              <w:t>-1</w:t>
            </w:r>
          </w:p>
        </w:tc>
        <w:tc>
          <w:tcPr>
            <w:tcW w:w="855" w:type="dxa"/>
            <w:vAlign w:val="center"/>
          </w:tcPr>
          <w:p>
            <w:pPr>
              <w:spacing w:line="360" w:lineRule="auto"/>
              <w:jc w:val="center"/>
            </w:pPr>
            <w:hyperlink w:anchor="_ENREF_4" w:tooltip="Burkholder, 2015 #4340" w:history="1">
              <w:r>
                <w:fldChar w:fldCharType="begin"/>
              </w:r>
              <w:r>
                <w:instrText xml:space="preserve"> ADDIN EN.CITE &lt;EndNote&gt;&lt;Cite&gt;&lt;Author&gt;Burkholder&lt;/Author&gt;&lt;Year&gt;2015&lt;/Year&gt;&lt;RecNum&gt;4340&lt;/RecNum&gt;&lt;DisplayText&gt;&lt;style face="superscript"&gt;4&lt;/style&gt;&lt;/DisplayText&gt;&lt;record&gt;&lt;rec-number&gt;4340&lt;/rec-number&gt;&lt;foreign-keys&gt;&lt;key app="EN" db-id="952ffrrvyzt5pcepatvvdz2zvw0da2px2dft"&gt;4340&lt;/key&gt;&lt;/foreign-keys&gt;&lt;ref-type name="Book"&gt;6&lt;/ref-type&gt;&lt;contributors&gt;&lt;authors&gt;&lt;author&gt;Burkholder, J. B.&lt;/author&gt;&lt;author&gt;Sander, S. P.&lt;/author&gt;&lt;author&gt;Abbatt, J. P. D.&lt;/author&gt;&lt;author&gt;Barker, J. R.&lt;/author&gt;&lt;author&gt;Huie, R. E.&lt;/author&gt;&lt;author&gt;Kolb, C. E.&lt;/author&gt;&lt;author&gt;Kurylo, M. J.&lt;/author&gt;&lt;author&gt;Orkin, V. L.&lt;/author&gt;&lt;author&gt;Wilmouth, D. M.&lt;/author&gt;&lt;author&gt;Wine, P. H.&lt;/author&gt;&lt;/authors&gt;&lt;/contributors&gt;&lt;titles&gt;&lt;title&gt;Chemical Kinetics and Photochemical Data for Use in Atmospheric Studies, Evaluation Number 18&lt;/title&gt;&lt;/titles&gt;&lt;num-vols&gt;15-10&lt;/num-vols&gt;&lt;dates&gt;&lt;year&gt;2015&lt;/year&gt;&lt;/dates&gt;&lt;pub-location&gt;Pasadena, California&lt;/pub-location&gt;&lt;publisher&gt;National Aeronautics and Space Administration, Jet Propulsion Laboratory, California Institute of Technology&lt;/publisher&gt;&lt;urls&gt;&lt;related-urls&gt;&lt;url&gt;http://jpldataeval.jpl.nasa.gov/&lt;/url&gt;&lt;/related-urls&gt;&lt;/urls&gt;&lt;/record&gt;&lt;/Cite&gt;&lt;/EndNote&gt;</w:instrText>
              </w:r>
              <w:r>
                <w:fldChar w:fldCharType="separate"/>
              </w:r>
              <w:r>
                <w:rPr>
                  <w:noProof/>
                  <w:vertAlign w:val="superscript"/>
                </w:rPr>
                <w:t>4</w:t>
              </w:r>
              <w:r>
                <w:fldChar w:fldCharType="end"/>
              </w:r>
            </w:hyperlink>
          </w:p>
        </w:tc>
      </w:tr>
      <w:tr>
        <w:tc>
          <w:tcPr>
            <w:tcW w:w="0" w:type="auto"/>
            <w:vAlign w:val="center"/>
          </w:tcPr>
          <w:p>
            <w:pPr>
              <w:spacing w:line="360" w:lineRule="auto"/>
              <w:jc w:val="center"/>
            </w:pPr>
            <w:r>
              <w:t>30</w:t>
            </w:r>
          </w:p>
        </w:tc>
        <w:tc>
          <w:tcPr>
            <w:tcW w:w="2805" w:type="dxa"/>
            <w:vAlign w:val="center"/>
          </w:tcPr>
          <w:p>
            <w:pPr>
              <w:spacing w:line="360" w:lineRule="auto"/>
              <w:jc w:val="center"/>
            </w:pPr>
            <w:r>
              <w:t>CH</w:t>
            </w:r>
            <w:r>
              <w:rPr>
                <w:vertAlign w:val="subscript"/>
              </w:rPr>
              <w:t>3</w:t>
            </w:r>
            <w:r>
              <w:t>O</w:t>
            </w:r>
            <w:r>
              <w:rPr>
                <w:vertAlign w:val="subscript"/>
              </w:rPr>
              <w:t>2</w:t>
            </w:r>
            <w:r>
              <w:t xml:space="preserve"> + NO (+ O</w:t>
            </w:r>
            <w:r>
              <w:rPr>
                <w:vertAlign w:val="subscript"/>
              </w:rPr>
              <w:t>2</w:t>
            </w:r>
            <w:r>
              <w:t>)</w:t>
            </w:r>
            <w:r>
              <w:br/>
            </w:r>
            <w:r>
              <w:sym w:font="Symbol" w:char="F0AE"/>
            </w:r>
            <w:r>
              <w:t xml:space="preserve"> NO</w:t>
            </w:r>
            <w:r>
              <w:rPr>
                <w:vertAlign w:val="subscript"/>
              </w:rPr>
              <w:t>2</w:t>
            </w:r>
            <w:r>
              <w:t xml:space="preserve"> + HO</w:t>
            </w:r>
            <w:r>
              <w:rPr>
                <w:vertAlign w:val="subscript"/>
              </w:rPr>
              <w:t>2</w:t>
            </w:r>
            <w:r>
              <w:t xml:space="preserve"> (+ HCHO)</w:t>
            </w:r>
          </w:p>
        </w:tc>
        <w:tc>
          <w:tcPr>
            <w:tcW w:w="5244" w:type="dxa"/>
            <w:vAlign w:val="center"/>
          </w:tcPr>
          <w:p>
            <w:pPr>
              <w:spacing w:line="360" w:lineRule="auto"/>
              <w:jc w:val="center"/>
              <w:rPr>
                <w:highlight w:val="yellow"/>
              </w:rPr>
            </w:pPr>
            <w:r>
              <w:t>2.8</w:t>
            </w:r>
            <w:r>
              <w:sym w:font="Symbol" w:char="F0B4"/>
            </w:r>
            <w:r>
              <w:t>10</w:t>
            </w:r>
            <w:r>
              <w:rPr>
                <w:vertAlign w:val="superscript"/>
              </w:rPr>
              <w:t>-12</w:t>
            </w:r>
            <w:r>
              <w:sym w:font="Symbol" w:char="F0B4"/>
            </w:r>
            <w:r>
              <w:t>e</w:t>
            </w:r>
            <w:r>
              <w:rPr>
                <w:vertAlign w:val="superscript"/>
              </w:rPr>
              <w:t>300/T</w:t>
            </w:r>
            <w:r>
              <w:t xml:space="preserve"> cm</w:t>
            </w:r>
            <w:r>
              <w:rPr>
                <w:vertAlign w:val="superscript"/>
              </w:rPr>
              <w:t>3</w:t>
            </w:r>
            <w:r>
              <w:t xml:space="preserve"> molecule</w:t>
            </w:r>
            <w:r>
              <w:rPr>
                <w:vertAlign w:val="superscript"/>
              </w:rPr>
              <w:t>-1</w:t>
            </w:r>
            <w:r>
              <w:t xml:space="preserve"> sec</w:t>
            </w:r>
            <w:r>
              <w:rPr>
                <w:vertAlign w:val="superscript"/>
              </w:rPr>
              <w:t>-1</w:t>
            </w:r>
          </w:p>
        </w:tc>
        <w:tc>
          <w:tcPr>
            <w:tcW w:w="855" w:type="dxa"/>
            <w:vAlign w:val="center"/>
          </w:tcPr>
          <w:p>
            <w:pPr>
              <w:spacing w:line="360" w:lineRule="auto"/>
              <w:jc w:val="center"/>
            </w:pPr>
            <w:hyperlink w:anchor="_ENREF_4" w:tooltip="Burkholder, 2015 #4340" w:history="1">
              <w:r>
                <w:fldChar w:fldCharType="begin"/>
              </w:r>
              <w:r>
                <w:instrText xml:space="preserve"> ADDIN EN.CITE &lt;EndNote&gt;&lt;Cite&gt;&lt;Author&gt;Burkholder&lt;/Author&gt;&lt;Year&gt;2015&lt;/Year&gt;&lt;RecNum&gt;4340&lt;/RecNum&gt;&lt;DisplayText&gt;&lt;style face="superscript"&gt;4&lt;/style&gt;&lt;/DisplayText&gt;&lt;record&gt;&lt;rec-number&gt;4340&lt;/rec-number&gt;&lt;foreign-keys&gt;&lt;key app="EN" db-id="952ffrrvyzt5pcepatvvdz2zvw0da2px2dft"&gt;4340&lt;/key&gt;&lt;/foreign-keys&gt;&lt;ref-type name="Book"&gt;6&lt;/ref-type&gt;&lt;contributors&gt;&lt;authors&gt;&lt;author&gt;Burkholder, J. B.&lt;/author&gt;&lt;author&gt;Sander, S. P.&lt;/author&gt;&lt;author&gt;Abbatt, J. P. D.&lt;/author&gt;&lt;author&gt;Barker, J. R.&lt;/author&gt;&lt;author&gt;Huie, R. E.&lt;/author&gt;&lt;author&gt;Kolb, C. E.&lt;/author&gt;&lt;author&gt;Kurylo, M. J.&lt;/author&gt;&lt;author&gt;Orkin, V. L.&lt;/author&gt;&lt;author&gt;Wilmouth, D. M.&lt;/author&gt;&lt;author&gt;Wine, P. H.&lt;/author&gt;&lt;/authors&gt;&lt;/contributors&gt;&lt;titles&gt;&lt;title&gt;Chemical Kinetics and Photochemical Data for Use in Atmospheric Studies, Evaluation Number 18&lt;/title&gt;&lt;/titles&gt;&lt;num-vols&gt;15-10&lt;/num-vols&gt;&lt;dates&gt;&lt;year&gt;2015&lt;/year&gt;&lt;/dates&gt;&lt;pub-location&gt;Pasadena, California&lt;/pub-location&gt;&lt;publisher&gt;National Aeronautics and Space Administration, Jet Propulsion Laboratory, California Institute of Technology&lt;/publisher&gt;&lt;urls&gt;&lt;related-urls&gt;&lt;url&gt;http://jpldataeval.jpl.nasa.gov/&lt;/url&gt;&lt;/related-urls&gt;&lt;/urls&gt;&lt;/record&gt;&lt;/Cite&gt;&lt;/EndNote&gt;</w:instrText>
              </w:r>
              <w:r>
                <w:fldChar w:fldCharType="separate"/>
              </w:r>
              <w:r>
                <w:rPr>
                  <w:noProof/>
                  <w:vertAlign w:val="superscript"/>
                </w:rPr>
                <w:t>4</w:t>
              </w:r>
              <w:r>
                <w:fldChar w:fldCharType="end"/>
              </w:r>
            </w:hyperlink>
          </w:p>
        </w:tc>
      </w:tr>
      <w:tr>
        <w:tc>
          <w:tcPr>
            <w:tcW w:w="0" w:type="auto"/>
            <w:vAlign w:val="center"/>
          </w:tcPr>
          <w:p>
            <w:pPr>
              <w:spacing w:line="360" w:lineRule="auto"/>
              <w:jc w:val="center"/>
            </w:pPr>
            <w:r>
              <w:t>31</w:t>
            </w:r>
          </w:p>
        </w:tc>
        <w:tc>
          <w:tcPr>
            <w:tcW w:w="2805" w:type="dxa"/>
            <w:vAlign w:val="center"/>
          </w:tcPr>
          <w:p>
            <w:pPr>
              <w:spacing w:line="360" w:lineRule="auto"/>
              <w:jc w:val="center"/>
            </w:pPr>
            <w:r>
              <w:t>2NO</w:t>
            </w:r>
            <w:r>
              <w:rPr>
                <w:vertAlign w:val="subscript"/>
              </w:rPr>
              <w:t>2</w:t>
            </w:r>
            <w:r>
              <w:t xml:space="preserve"> </w:t>
            </w:r>
            <w:r>
              <w:sym w:font="Symbol" w:char="F0AE"/>
            </w:r>
            <w:r>
              <w:t xml:space="preserve"> N</w:t>
            </w:r>
            <w:r>
              <w:rPr>
                <w:vertAlign w:val="subscript"/>
              </w:rPr>
              <w:t>2</w:t>
            </w:r>
            <w:r>
              <w:t>O</w:t>
            </w:r>
            <w:r>
              <w:rPr>
                <w:vertAlign w:val="subscript"/>
              </w:rPr>
              <w:t>4</w:t>
            </w:r>
          </w:p>
        </w:tc>
        <w:tc>
          <w:tcPr>
            <w:tcW w:w="5244" w:type="dxa"/>
            <w:vAlign w:val="center"/>
          </w:tcPr>
          <w:p>
            <w:pPr>
              <w:spacing w:line="360" w:lineRule="auto"/>
              <w:jc w:val="center"/>
              <w:rPr>
                <w:highlight w:val="yellow"/>
                <w:vertAlign w:val="superscript"/>
              </w:rPr>
            </w:pPr>
            <w:r>
              <w:t>k</w:t>
            </w:r>
            <w:r>
              <w:rPr>
                <w:vertAlign w:val="subscript"/>
              </w:rPr>
              <w:t>o</w:t>
            </w:r>
            <w:r>
              <w:t>=1.44</w:t>
            </w:r>
            <w:r>
              <w:sym w:font="Symbol" w:char="F0B4"/>
            </w:r>
            <w:r>
              <w:t>10</w:t>
            </w:r>
            <w:r>
              <w:rPr>
                <w:vertAlign w:val="superscript"/>
              </w:rPr>
              <w:t>-33</w:t>
            </w:r>
            <w:r>
              <w:sym w:font="Symbol" w:char="F0B4"/>
            </w:r>
            <w:r>
              <w:t>(T/298)</w:t>
            </w:r>
            <w:r>
              <w:rPr>
                <w:vertAlign w:val="superscript"/>
              </w:rPr>
              <w:t>-3.8</w:t>
            </w:r>
            <w:r>
              <w:sym w:font="Symbol" w:char="F0B4"/>
            </w:r>
            <w:r>
              <w:t>[M] cm</w:t>
            </w:r>
            <w:r>
              <w:rPr>
                <w:vertAlign w:val="superscript"/>
              </w:rPr>
              <w:t>3</w:t>
            </w:r>
            <w:r>
              <w:t xml:space="preserve"> molecule</w:t>
            </w:r>
            <w:r>
              <w:rPr>
                <w:vertAlign w:val="superscript"/>
              </w:rPr>
              <w:t>-1</w:t>
            </w:r>
            <w:r>
              <w:t xml:space="preserve"> sec</w:t>
            </w:r>
            <w:r>
              <w:rPr>
                <w:vertAlign w:val="superscript"/>
              </w:rPr>
              <w:t>-1</w:t>
            </w:r>
          </w:p>
          <w:p>
            <w:pPr>
              <w:spacing w:line="360" w:lineRule="auto"/>
              <w:jc w:val="center"/>
              <w:rPr>
                <w:highlight w:val="yellow"/>
              </w:rPr>
            </w:pPr>
            <w:r>
              <w:t>k</w:t>
            </w:r>
            <w:r>
              <w:rPr>
                <w:vertAlign w:val="subscript"/>
              </w:rPr>
              <w:t>∞</w:t>
            </w:r>
            <w:r>
              <w:t>=1.0</w:t>
            </w:r>
            <w:r>
              <w:sym w:font="Symbol" w:char="F0B4"/>
            </w:r>
            <w:r>
              <w:t>10</w:t>
            </w:r>
            <w:r>
              <w:rPr>
                <w:vertAlign w:val="superscript"/>
              </w:rPr>
              <w:t>-12</w:t>
            </w:r>
            <w:r>
              <w:t xml:space="preserve"> cm</w:t>
            </w:r>
            <w:r>
              <w:rPr>
                <w:vertAlign w:val="superscript"/>
              </w:rPr>
              <w:t>3</w:t>
            </w:r>
            <w:r>
              <w:t xml:space="preserve"> molecule</w:t>
            </w:r>
            <w:r>
              <w:rPr>
                <w:vertAlign w:val="superscript"/>
              </w:rPr>
              <w:t>-1</w:t>
            </w:r>
            <w:r>
              <w:t xml:space="preserve"> sec</w:t>
            </w:r>
            <w:r>
              <w:rPr>
                <w:vertAlign w:val="superscript"/>
              </w:rPr>
              <w:t>-1</w:t>
            </w:r>
          </w:p>
        </w:tc>
        <w:tc>
          <w:tcPr>
            <w:tcW w:w="855" w:type="dxa"/>
            <w:vAlign w:val="center"/>
          </w:tcPr>
          <w:p>
            <w:pPr>
              <w:spacing w:line="360" w:lineRule="auto"/>
              <w:jc w:val="center"/>
            </w:pPr>
            <w:hyperlink w:anchor="_ENREF_5" w:tooltip="Atkinson, 2004 #144" w:history="1">
              <w:r>
                <w:fldChar w:fldCharType="begin">
                  <w:fldData xml:space="preserve">PEVuZE5vdGU+PENpdGU+PEF1dGhvcj5BdGtpbnNvbjwvQXV0aG9yPjxZZWFyPjIwMDQ8L1llYXI+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</w:fldData>
                </w:fldChar>
              </w:r>
              <w:r>
                <w:instrText xml:space="preserve"> ADDIN EN.CITE </w:instrText>
              </w:r>
              <w:r>
                <w:fldChar w:fldCharType="begin">
                  <w:fldData xml:space="preserve">PEVuZE5vdGU+PENpdGU+PEF1dGhvcj5BdGtpbnNvbjwvQXV0aG9yPjxZZWFyPjIwMDQ8L1llYXI+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</w:fldData>
                </w:fldChar>
              </w:r>
              <w:r>
                <w:instrText xml:space="preserve"> ADDIN EN.CITE.DATA </w:instrText>
              </w:r>
              <w:r>
                <w:fldChar w:fldCharType="end"/>
              </w:r>
              <w:r>
                <w:fldChar w:fldCharType="separate"/>
              </w:r>
              <w:r>
                <w:rPr>
                  <w:noProof/>
                  <w:vertAlign w:val="superscript"/>
                </w:rPr>
                <w:t>5</w:t>
              </w:r>
              <w:r>
                <w:fldChar w:fldCharType="end"/>
              </w:r>
            </w:hyperlink>
            <w:r>
              <w:rPr>
                <w:vertAlign w:val="superscript"/>
              </w:rPr>
              <w:t>*</w:t>
            </w:r>
          </w:p>
        </w:tc>
      </w:tr>
      <w:tr>
        <w:tc>
          <w:tcPr>
            <w:tcW w:w="0" w:type="auto"/>
            <w:vAlign w:val="center"/>
          </w:tcPr>
          <w:p>
            <w:pPr>
              <w:spacing w:line="360" w:lineRule="auto"/>
              <w:jc w:val="center"/>
            </w:pPr>
            <w:r>
              <w:t>32</w:t>
            </w:r>
          </w:p>
        </w:tc>
        <w:tc>
          <w:tcPr>
            <w:tcW w:w="2805" w:type="dxa"/>
            <w:vAlign w:val="center"/>
          </w:tcPr>
          <w:p>
            <w:pPr>
              <w:spacing w:line="360" w:lineRule="auto"/>
              <w:jc w:val="center"/>
            </w:pPr>
            <w:r>
              <w:t>N</w:t>
            </w:r>
            <w:r>
              <w:rPr>
                <w:vertAlign w:val="subscript"/>
              </w:rPr>
              <w:t>2</w:t>
            </w:r>
            <w:r>
              <w:t>O</w:t>
            </w:r>
            <w:r>
              <w:rPr>
                <w:vertAlign w:val="subscript"/>
              </w:rPr>
              <w:t>4</w:t>
            </w:r>
            <w:r>
              <w:t xml:space="preserve"> (+ M)</w:t>
            </w:r>
            <w:r>
              <w:br/>
            </w:r>
            <w:r>
              <w:sym w:font="Symbol" w:char="F0AE"/>
            </w:r>
            <w:r>
              <w:t xml:space="preserve"> 2NO</w:t>
            </w:r>
            <w:r>
              <w:rPr>
                <w:vertAlign w:val="subscript"/>
              </w:rPr>
              <w:t>2</w:t>
            </w:r>
            <w:r>
              <w:t xml:space="preserve">(+ M) </w:t>
            </w:r>
          </w:p>
        </w:tc>
        <w:tc>
          <w:tcPr>
            <w:tcW w:w="5244" w:type="dxa"/>
            <w:vAlign w:val="center"/>
          </w:tcPr>
          <w:p>
            <w:pPr>
              <w:spacing w:line="360" w:lineRule="auto"/>
              <w:jc w:val="center"/>
              <w:rPr>
                <w:vertAlign w:val="superscript"/>
              </w:rPr>
            </w:pPr>
            <w:r>
              <w:t>k</w:t>
            </w:r>
            <w:r>
              <w:rPr>
                <w:vertAlign w:val="subscript"/>
              </w:rPr>
              <w:t>0</w:t>
            </w:r>
            <w:r>
              <w:t>=1.3</w:t>
            </w:r>
            <w:r>
              <w:sym w:font="Symbol" w:char="F0B4"/>
            </w:r>
            <w:r>
              <w:t>10</w:t>
            </w:r>
            <w:r>
              <w:rPr>
                <w:vertAlign w:val="superscript"/>
              </w:rPr>
              <w:t>-5</w:t>
            </w:r>
            <w:r>
              <w:sym w:font="Symbol" w:char="F0B4"/>
            </w:r>
            <w:r>
              <w:t>(T/300)</w:t>
            </w:r>
            <w:r>
              <w:rPr>
                <w:vertAlign w:val="superscript"/>
              </w:rPr>
              <w:t>-3.8</w:t>
            </w:r>
            <w:r>
              <w:sym w:font="Symbol" w:char="F0B4"/>
            </w:r>
            <w:r>
              <w:t>e</w:t>
            </w:r>
            <w:r>
              <w:rPr>
                <w:vertAlign w:val="superscript"/>
              </w:rPr>
              <w:t>-6400/T</w:t>
            </w:r>
            <w:r>
              <w:t xml:space="preserve"> [M]</w:t>
            </w:r>
            <w:r>
              <w:rPr>
                <w:vertAlign w:val="superscript"/>
              </w:rPr>
              <w:t xml:space="preserve"> </w:t>
            </w:r>
            <w:r>
              <w:t>sec</w:t>
            </w:r>
            <w:r>
              <w:rPr>
                <w:vertAlign w:val="superscript"/>
              </w:rPr>
              <w:t>-1</w:t>
            </w:r>
          </w:p>
          <w:p>
            <w:pPr>
              <w:spacing w:line="360" w:lineRule="auto"/>
              <w:jc w:val="center"/>
            </w:pPr>
            <w:r>
              <w:t>k</w:t>
            </w:r>
            <w:r>
              <w:rPr>
                <w:vertAlign w:val="subscript"/>
              </w:rPr>
              <w:t>∞</w:t>
            </w:r>
            <w:r>
              <w:t>=7.7</w:t>
            </w:r>
            <w:r>
              <w:sym w:font="Symbol" w:char="F0B4"/>
            </w:r>
            <w:r>
              <w:t>10</w:t>
            </w:r>
            <w:r>
              <w:rPr>
                <w:vertAlign w:val="superscript"/>
              </w:rPr>
              <w:t>15</w:t>
            </w:r>
            <w:r>
              <w:sym w:font="Symbol" w:char="F0B4"/>
            </w:r>
            <w:r>
              <w:t>(T/300)</w:t>
            </w:r>
            <w:r>
              <w:rPr>
                <w:vertAlign w:val="superscript"/>
              </w:rPr>
              <w:t>-1.1</w:t>
            </w:r>
            <w:r>
              <w:sym w:font="Symbol" w:char="F0B4"/>
            </w:r>
            <w:r>
              <w:t>e</w:t>
            </w:r>
            <w:r>
              <w:rPr>
                <w:vertAlign w:val="superscript"/>
              </w:rPr>
              <w:t>-6460/T</w:t>
            </w:r>
            <w:r>
              <w:t xml:space="preserve"> sec</w:t>
            </w:r>
            <w:r>
              <w:rPr>
                <w:vertAlign w:val="superscript"/>
              </w:rPr>
              <w:t>-1</w:t>
            </w:r>
          </w:p>
        </w:tc>
        <w:tc>
          <w:tcPr>
            <w:tcW w:w="855" w:type="dxa"/>
            <w:vAlign w:val="center"/>
          </w:tcPr>
          <w:p>
            <w:pPr>
              <w:spacing w:line="360" w:lineRule="auto"/>
              <w:jc w:val="center"/>
            </w:pPr>
            <w:hyperlink w:anchor="_ENREF_5" w:tooltip="Atkinson, 2004 #144" w:history="1">
              <w:r>
                <w:rPr>
                  <w:noProof/>
                </w:rPr>
                <w:fldChar w:fldCharType="begin">
                  <w:fldData xml:space="preserve">PEVuZE5vdGU+PENpdGU+PEF1dGhvcj5BdGtpbnNvbjwvQXV0aG9yPjxZZWFyPjIwMDQ8L1llYXI+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</w:fldData>
                </w:fldChar>
              </w:r>
              <w:r>
                <w:rPr>
                  <w:noProof/>
                </w:rPr>
                <w:instrText xml:space="preserve"> ADDIN EN.CITE </w:instrText>
              </w:r>
              <w:r>
                <w:rPr>
                  <w:noProof/>
                </w:rPr>
                <w:fldChar w:fldCharType="begin">
                  <w:fldData xml:space="preserve">PEVuZE5vdGU+PENpdGU+PEF1dGhvcj5BdGtpbnNvbjwvQXV0aG9yPjxZZWFyPjIwMDQ8L1llYXI+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</w:fldData>
                </w:fldChar>
              </w:r>
              <w:r>
                <w:rPr>
                  <w:noProof/>
                </w:rPr>
                <w:instrText xml:space="preserve"> ADDIN EN.CITE.DATA </w:instrText>
              </w:r>
              <w:r>
                <w:rPr>
                  <w:noProof/>
                </w:rPr>
              </w:r>
              <w:r>
                <w:rPr>
                  <w:noProof/>
                </w:rPr>
                <w:fldChar w:fldCharType="end"/>
              </w:r>
              <w:r>
                <w:rPr>
                  <w:noProof/>
                </w:rPr>
              </w:r>
              <w:r>
                <w:rPr>
                  <w:noProof/>
                </w:rPr>
                <w:fldChar w:fldCharType="separate"/>
              </w:r>
              <w:r>
                <w:rPr>
                  <w:noProof/>
                  <w:vertAlign w:val="superscript"/>
                </w:rPr>
                <w:t>5</w:t>
              </w:r>
              <w:r>
                <w:rPr>
                  <w:noProof/>
                </w:rPr>
                <w:fldChar w:fldCharType="end"/>
              </w:r>
            </w:hyperlink>
            <w:r>
              <w:rPr>
                <w:noProof/>
                <w:vertAlign w:val="superscript"/>
              </w:rPr>
              <w:t>*</w:t>
            </w:r>
          </w:p>
        </w:tc>
      </w:tr>
      <w:tr>
        <w:tc>
          <w:tcPr>
            <w:tcW w:w="0" w:type="auto"/>
            <w:vAlign w:val="center"/>
          </w:tcPr>
          <w:p>
            <w:pPr>
              <w:spacing w:line="360" w:lineRule="auto"/>
              <w:jc w:val="center"/>
            </w:pPr>
            <w:r>
              <w:t>33</w:t>
            </w:r>
          </w:p>
        </w:tc>
        <w:tc>
          <w:tcPr>
            <w:tcW w:w="2805" w:type="dxa"/>
            <w:vAlign w:val="center"/>
          </w:tcPr>
          <w:p>
            <w:pPr>
              <w:spacing w:line="360" w:lineRule="auto"/>
              <w:jc w:val="center"/>
            </w:pPr>
            <w:r>
              <w:t>N</w:t>
            </w:r>
            <w:r>
              <w:rPr>
                <w:vertAlign w:val="subscript"/>
              </w:rPr>
              <w:t>2</w:t>
            </w:r>
            <w:r>
              <w:t>O</w:t>
            </w:r>
            <w:r>
              <w:rPr>
                <w:vertAlign w:val="subscript"/>
              </w:rPr>
              <w:t>4</w:t>
            </w:r>
            <w:r>
              <w:t xml:space="preserve"> + H</w:t>
            </w:r>
            <w:r>
              <w:rPr>
                <w:vertAlign w:val="subscript"/>
              </w:rPr>
              <w:t>2</w:t>
            </w:r>
            <w:r>
              <w:t>O</w:t>
            </w:r>
            <w:r>
              <w:br/>
            </w:r>
            <w:r>
              <w:sym w:font="Symbol" w:char="F0AE"/>
            </w:r>
            <w:r>
              <w:t xml:space="preserve"> HONO + HNO</w:t>
            </w:r>
            <w:r>
              <w:rPr>
                <w:vertAlign w:val="subscript"/>
              </w:rPr>
              <w:t>3</w:t>
            </w:r>
          </w:p>
        </w:tc>
        <w:tc>
          <w:tcPr>
            <w:tcW w:w="5244" w:type="dxa"/>
            <w:vAlign w:val="center"/>
          </w:tcPr>
          <w:p>
            <w:pPr>
              <w:spacing w:line="360" w:lineRule="auto"/>
              <w:jc w:val="center"/>
              <w:rPr>
                <w:highlight w:val="yellow"/>
              </w:rPr>
            </w:pPr>
            <w:r>
              <w:t>4.18</w:t>
            </w:r>
            <w:r>
              <w:sym w:font="Symbol" w:char="F0B4"/>
            </w:r>
            <w:r>
              <w:t>10</w:t>
            </w:r>
            <w:r>
              <w:rPr>
                <w:vertAlign w:val="superscript"/>
              </w:rPr>
              <w:t>-10</w:t>
            </w:r>
            <w:r>
              <w:sym w:font="Symbol" w:char="F0B4"/>
            </w:r>
            <w:r>
              <w:t>e</w:t>
            </w:r>
            <w:r>
              <w:rPr>
                <w:vertAlign w:val="superscript"/>
              </w:rPr>
              <w:t>-5830/T</w:t>
            </w:r>
            <w:r>
              <w:t xml:space="preserve"> cm</w:t>
            </w:r>
            <w:r>
              <w:rPr>
                <w:vertAlign w:val="superscript"/>
              </w:rPr>
              <w:t>3</w:t>
            </w:r>
            <w:r>
              <w:t xml:space="preserve"> molecule</w:t>
            </w:r>
            <w:r>
              <w:rPr>
                <w:vertAlign w:val="superscript"/>
              </w:rPr>
              <w:t>-1</w:t>
            </w:r>
            <w:r>
              <w:t xml:space="preserve"> sec</w:t>
            </w:r>
            <w:r>
              <w:rPr>
                <w:vertAlign w:val="superscript"/>
              </w:rPr>
              <w:t>-1</w:t>
            </w:r>
          </w:p>
        </w:tc>
        <w:tc>
          <w:tcPr>
            <w:tcW w:w="855" w:type="dxa"/>
            <w:vAlign w:val="center"/>
          </w:tcPr>
          <w:p>
            <w:pPr>
              <w:spacing w:line="360" w:lineRule="auto"/>
              <w:jc w:val="center"/>
            </w:pPr>
            <w:hyperlink w:anchor="_ENREF_6" w:tooltip="England, 1975 #4989" w:history="1">
              <w:r>
                <w:fldChar w:fldCharType="begin"/>
              </w:r>
              <w:r>
                <w:instrText xml:space="preserve"> ADDIN EN.CITE &lt;EndNote&gt;&lt;Cite&gt;&lt;Author&gt;England&lt;/Author&gt;&lt;Year&gt;1975&lt;/Year&gt;&lt;RecNum&gt;4989&lt;/RecNum&gt;&lt;DisplayText&gt;&lt;style face="superscript"&gt;6&lt;/style&gt;&lt;/DisplayText&gt;&lt;record&gt;&lt;rec-number&gt;4989&lt;/rec-number&gt;&lt;foreign-keys&gt;&lt;key app="EN" db-id="952ffrrvyzt5pcepatvvdz2zvw0da2px2dft"&gt;4989&lt;/key&gt;&lt;/foreign-keys&gt;&lt;ref-type name="Journal Article"&gt;17&lt;/ref-type&gt;&lt;contributors&gt;&lt;authors&gt;&lt;author&gt;England, Christopher&lt;/author&gt;&lt;author&gt;Corcoran, William H.&lt;/author&gt;&lt;/authors&gt;&lt;/contributors&gt;&lt;titles&gt;&lt;title&gt;The Rate and Mechanism of the Air Oxidation of Parts-per-Million Concentrations of Nitric Oxide in the Presence of Water Vapor&lt;/title&gt;&lt;secondary-title&gt;Ind. Eng. Chem. Fundamen.&lt;/secondary-title&gt;&lt;alt-title&gt;Industrial &amp;amp; Engineering Chemistry Fundamentals&lt;/alt-title&gt;&lt;short-title&gt;Ind. Eng. Chem. Fundamen.&lt;/short-title&gt;&lt;/titles&gt;&lt;alt-periodical&gt;&lt;full-title&gt;Industrial &amp;amp; Engineering Chemistry Fundamentals&lt;/full-title&gt;&lt;/alt-periodical&gt;&lt;pages&gt;55-63&lt;/pages&gt;&lt;volume&gt;14&lt;/volume&gt;&lt;number&gt;1&lt;/number&gt;&lt;dates&gt;&lt;year&gt;1975&lt;/year&gt;&lt;pub-dates&gt;&lt;date&gt;1975/02/01&lt;/date&gt;&lt;/pub-dates&gt;&lt;/dates&gt;&lt;publisher&gt;American Chemical Society&lt;/publisher&gt;&lt;isbn&gt;0196-4313&lt;/isbn&gt;&lt;urls&gt;&lt;related-urls&gt;&lt;url&gt;https://doi.org/10.1021/i160053a010&lt;/url&gt;&lt;/related-urls&gt;&lt;/urls&gt;&lt;electronic-resource-num&gt;10.1021/i160053a010&lt;/electronic-resource-num&gt;&lt;/record&gt;&lt;/Cite&gt;&lt;/EndNote&gt;</w:instrText>
              </w:r>
              <w:r>
                <w:fldChar w:fldCharType="separate"/>
              </w:r>
              <w:r>
                <w:rPr>
                  <w:noProof/>
                  <w:vertAlign w:val="superscript"/>
                </w:rPr>
                <w:t>6</w:t>
              </w:r>
              <w:r>
                <w:fldChar w:fldCharType="end"/>
              </w:r>
            </w:hyperlink>
          </w:p>
        </w:tc>
      </w:tr>
    </w:tbl>
    <w:p>
      <w:pPr>
        <w:spacing w:line="360" w:lineRule="auto"/>
      </w:pPr>
      <w:r>
        <w:rPr>
          <w:vertAlign w:val="superscript"/>
        </w:rPr>
        <w:t>*</w:t>
      </w:r>
      <w:r>
        <w:t xml:space="preserve"> data downloaded from http://iupac.pole-ether.fr/</w:t>
      </w:r>
    </w:p>
    <w:p>
      <w:r>
        <w:br w:type="page"/>
      </w:r>
    </w:p>
    <w:p>
      <w:pPr>
        <w:spacing w:line="360" w:lineRule="auto"/>
      </w:pPr>
      <w:r>
        <w:lastRenderedPageBreak/>
        <w:t xml:space="preserve">Interference from selected </w:t>
      </w:r>
      <w:proofErr w:type="spellStart"/>
      <w:r>
        <w:t>NO</w:t>
      </w:r>
      <w:r>
        <w:rPr>
          <w:vertAlign w:val="subscript"/>
        </w:rPr>
        <w:t>z</w:t>
      </w:r>
      <w:proofErr w:type="spellEnd"/>
      <w:r>
        <w:t xml:space="preserve"> species.</w:t>
      </w:r>
    </w:p>
    <w:p>
      <w:pPr>
        <w:spacing w:line="360" w:lineRule="auto"/>
        <w:rPr>
          <w:i/>
        </w:rPr>
      </w:pPr>
      <w:r>
        <w:rPr>
          <w:i/>
        </w:rPr>
        <w:t>Alkyl nitrates</w:t>
      </w:r>
      <w:r>
        <w:t>. The ANs are not expected to photodissociate in this wavelength region, but since they are an important component of photochemical smog, their inertness was experimentally verified. In Figure S2, the CRDS sampled 70</w:t>
      </w:r>
      <w:r>
        <w:sym w:font="Symbol" w:char="F0B1"/>
      </w:r>
      <w:r>
        <w:t>1 ppbv of IPN from 19:49 to 19:56, which was quantified by heating the TD-CRDS quartz inlet to 420 °C. The IPN diffusion source co-emitted a small amount (average of 0.455 ppbv) of NO</w:t>
      </w:r>
      <w:r>
        <w:rPr>
          <w:vertAlign w:val="subscript"/>
        </w:rPr>
        <w:t>x</w:t>
      </w:r>
      <w:r>
        <w:t>. When the converter's LEDs were turned on from 19:52 to 19:54, the NO</w:t>
      </w:r>
      <w:r>
        <w:rPr>
          <w:vertAlign w:val="subscript"/>
        </w:rPr>
        <w:t>x</w:t>
      </w:r>
      <w:r>
        <w:t xml:space="preserve"> mixing ratio increased to 0.74</w:t>
      </w:r>
      <w:r>
        <w:sym w:font="Symbol" w:char="F0B1"/>
      </w:r>
      <w:r>
        <w:t>0.12 ppbv. The difference (0.74</w:t>
      </w:r>
      <w:r>
        <w:sym w:font="Symbol" w:char="F0B1"/>
      </w:r>
      <w:r>
        <w:t>0.12 - 0.48</w:t>
      </w:r>
      <w:r>
        <w:sym w:font="Symbol" w:char="F0B1"/>
      </w:r>
      <w:r>
        <w:t>0.10 = 0.26</w:t>
      </w:r>
      <w:r>
        <w:sym w:font="Symbol" w:char="F0B1"/>
      </w:r>
      <w:r>
        <w:t>0.16 ppbv) is of the same magnitude as the UV-induced artifact (0.3</w:t>
      </w:r>
      <w:r>
        <w:sym w:font="Symbol" w:char="F0B1"/>
      </w:r>
      <w:r>
        <w:t xml:space="preserve">0.1 ppbv, measured at 19:45 - 19:47), indicating there that IPN did not photodissociate to yield NO, as expected. </w:t>
      </w:r>
    </w:p>
    <w:p>
      <w:pPr>
        <w:spacing w:line="360" w:lineRule="auto"/>
        <w:jc w:val="center"/>
      </w:pPr>
      <w:bookmarkStart w:id="0" w:name="_Hlk37585053"/>
      <w:r>
        <w:rPr>
          <w:noProof/>
          <w:lang w:val="en-CA" w:eastAsia="en-CA"/>
        </w:rPr>
        <w:drawing>
          <wp:inline distT="0" distB="0" distL="0" distR="0">
            <wp:extent cx="4011134" cy="2476799"/>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10.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11134" cy="2476799"/>
                    </a:xfrm>
                    <a:prstGeom prst="rect">
                      <a:avLst/>
                    </a:prstGeom>
                  </pic:spPr>
                </pic:pic>
              </a:graphicData>
            </a:graphic>
          </wp:inline>
        </w:drawing>
      </w:r>
    </w:p>
    <w:p>
      <w:pPr>
        <w:spacing w:line="360" w:lineRule="auto"/>
      </w:pPr>
      <w:r>
        <w:t>Figure S2. Time series of NO production in zero air and from isopropyl nitrate photolysis. The 1 sec NO</w:t>
      </w:r>
      <w:r>
        <w:rPr>
          <w:vertAlign w:val="subscript"/>
        </w:rPr>
        <w:t>x</w:t>
      </w:r>
      <w:r>
        <w:t xml:space="preserve"> data are shown in light blue. The solid blue line was obtained after applying a 60 sec binomial filter to the 1 sec data. The arrow (shown in red color) indicates the size of the UV artifact. Flow rate = 0.90 slpm. Pressure = 478 Torr.</w:t>
      </w:r>
      <w:bookmarkEnd w:id="0"/>
    </w:p>
    <w:p>
      <w:pPr>
        <w:spacing w:line="360" w:lineRule="auto"/>
        <w:jc w:val="both"/>
        <w:rPr>
          <w:i/>
        </w:rPr>
      </w:pPr>
    </w:p>
    <w:p>
      <w:pPr>
        <w:spacing w:line="360" w:lineRule="auto"/>
      </w:pPr>
      <w:bookmarkStart w:id="1" w:name="_Hlk37669344"/>
      <w:r>
        <w:rPr>
          <w:i/>
        </w:rPr>
        <w:t>Nitrous acid</w:t>
      </w:r>
      <w:r>
        <w:t>. As outlined in the main manuscript, HONO is a molecule expected to directly interfere in the photolytic conversion of NO</w:t>
      </w:r>
      <w:r>
        <w:rPr>
          <w:vertAlign w:val="subscript"/>
        </w:rPr>
        <w:t>2</w:t>
      </w:r>
      <w:r>
        <w:t>. Figure S3 shows a time series probing this interference experimentally. About 40% of HONO was expected to convert with the converter residence time set at 3.6 sec, equivalent to a photolysis frequency of 0.14 sec</w:t>
      </w:r>
      <w:r>
        <w:rPr>
          <w:vertAlign w:val="superscript"/>
        </w:rPr>
        <w:t>-1</w:t>
      </w:r>
      <w:r>
        <w:t xml:space="preserve"> (Table 2). From 18:09 to 18:13, the output of the diffusion source was sampled in parallel by the CEAS (which was teed in prior to the photolytic converter), a regular CRDS (NO</w:t>
      </w:r>
      <w:r>
        <w:rPr>
          <w:vertAlign w:val="subscript"/>
        </w:rPr>
        <w:t>2</w:t>
      </w:r>
      <w:r>
        <w:t xml:space="preserve">) channel, and a TD-CRDS </w:t>
      </w:r>
      <w:r>
        <w:lastRenderedPageBreak/>
        <w:t>channel operated at 600 °C and with O</w:t>
      </w:r>
      <w:r>
        <w:rPr>
          <w:vertAlign w:val="subscript"/>
        </w:rPr>
        <w:t>3</w:t>
      </w:r>
      <w:r>
        <w:t xml:space="preserve"> after the quartz tube to oxidize the thermal dissociation product of HONO, NO, to NO</w:t>
      </w:r>
      <w:r>
        <w:rPr>
          <w:vertAlign w:val="subscript"/>
        </w:rPr>
        <w:t>2</w:t>
      </w:r>
      <w:r>
        <w:t>; this channel corresponds to an NO</w:t>
      </w:r>
      <w:r>
        <w:rPr>
          <w:vertAlign w:val="subscript"/>
        </w:rPr>
        <w:t>y</w:t>
      </w:r>
      <w:r>
        <w:t xml:space="preserve"> measurement.</w:t>
      </w:r>
      <w:hyperlink w:anchor="_ENREF_7" w:tooltip="Wild, 2014 #3799" w:history="1">
        <w:r>
          <w:fldChar w:fldCharType="begin"/>
        </w:r>
        <w:r>
          <w:instrText xml:space="preserve"> ADDIN EN.CITE &lt;EndNote&gt;&lt;Cite&gt;&lt;Author&gt;Wild&lt;/Author&gt;&lt;Year&gt;2014&lt;/Year&gt;&lt;RecNum&gt;3799&lt;/RecNum&gt;&lt;DisplayText&gt;&lt;style face="superscript"&gt;7&lt;/style&gt;&lt;/DisplayText&gt;&lt;record&gt;&lt;rec-number&gt;3799&lt;/rec-number&gt;&lt;foreign-keys&gt;&lt;key app="EN" db-id="952ffrrvyzt5pcepatvvdz2zvw0da2px2dft"&gt;3799&lt;/key&gt;&lt;/foreign-keys&gt;&lt;ref-type name="Journal Article"&gt;17&lt;/ref-type&gt;&lt;contributors&gt;&lt;authors&gt;&lt;author&gt;Wild, Robert J.&lt;/author&gt;&lt;author&gt;Edwards, Peter M.&lt;/author&gt;&lt;author&gt;Dube, William P.&lt;/author&gt;&lt;author&gt;Baumann, Karsten&lt;/author&gt;&lt;author&gt;Edgerton, Eric S.&lt;/author&gt;&lt;author&gt;Quinn, Patricia K.&lt;/author&gt;&lt;author&gt;Roberts, James M.&lt;/author&gt;&lt;author&gt;Rollins, Andrew W.&lt;/author&gt;&lt;author&gt;Veres, Patrick R.&lt;/author&gt;&lt;author&gt;Warneke, Carsten&lt;/author&gt;&lt;author&gt;Williams, Eric J.&lt;/author&gt;&lt;author&gt;Yuan, Bin&lt;/author&gt;&lt;author&gt;Brown, Steven S.&lt;/author&gt;&lt;/authors&gt;&lt;/contributors&gt;&lt;titles&gt;&lt;title&gt;&lt;style face="normal" font="default" size="100%"&gt;A Measurement of Total Reactive Nitrogen, NO&lt;/style&gt;&lt;style face="subscript" font="default" size="100%"&gt;y&lt;/style&gt;&lt;style face="normal" font="default" size="100%"&gt;, together with NO&lt;/style&gt;&lt;style face="subscript" font="default" size="100%"&gt;2&lt;/style&gt;&lt;style face="normal" font="default" size="100%"&gt;, NO, and O&lt;/style&gt;&lt;style face="subscript" font="default" size="100%"&gt;3&lt;/style&gt;&lt;style face="normal" font="default" size="100%"&gt; via Cavity Ring-down Spectroscopy&lt;/style&gt;&lt;/title&gt;&lt;secondary-title&gt;Environmental Science &amp;amp; Technology&lt;/secondary-title&gt;&lt;/titles&gt;&lt;periodical&gt;&lt;full-title&gt;Environmental Science &amp;amp; Technology&lt;/full-title&gt;&lt;abbr-1&gt;Environm. Sci. Technol.&lt;/abbr-1&gt;&lt;/periodical&gt;&lt;pages&gt;9609-9615&lt;/pages&gt;&lt;volume&gt;48&lt;/volume&gt;&lt;number&gt;16&lt;/number&gt;&lt;dates&gt;&lt;year&gt;2014&lt;/year&gt;&lt;pub-dates&gt;&lt;date&gt;2014/08/19&lt;/date&gt;&lt;/pub-dates&gt;&lt;/dates&gt;&lt;publisher&gt;American Chemical Society&lt;/publisher&gt;&lt;isbn&gt;0013-936X&lt;/isbn&gt;&lt;urls&gt;&lt;related-urls&gt;&lt;url&gt;http://dx.doi.org/10.1021/es501896w&lt;/url&gt;&lt;/related-urls&gt;&lt;/urls&gt;&lt;electronic-resource-num&gt;10.1021/es501896w&lt;/electronic-resource-num&gt;&lt;/record&gt;&lt;/Cite&gt;&lt;/EndNote&gt;</w:instrText>
        </w:r>
        <w:r>
          <w:fldChar w:fldCharType="separate"/>
        </w:r>
        <w:r>
          <w:rPr>
            <w:noProof/>
            <w:vertAlign w:val="superscript"/>
          </w:rPr>
          <w:t>7</w:t>
        </w:r>
        <w:r>
          <w:fldChar w:fldCharType="end"/>
        </w:r>
      </w:hyperlink>
      <w:r>
        <w:t xml:space="preserve"> </w:t>
      </w:r>
      <w:bookmarkStart w:id="2" w:name="_Hlk37665874"/>
      <w:r>
        <w:t>In this example, the diffusion source emitted a mixture of HONO (0.6</w:t>
      </w:r>
      <w:r>
        <w:sym w:font="Symbol" w:char="F0B1"/>
      </w:r>
      <w:r>
        <w:t>0.1 ppbv) and HNO</w:t>
      </w:r>
      <w:r>
        <w:rPr>
          <w:vertAlign w:val="subscript"/>
        </w:rPr>
        <w:t>3</w:t>
      </w:r>
      <w:r>
        <w:t xml:space="preserve"> (0.5</w:t>
      </w:r>
      <w:r>
        <w:sym w:font="Symbol" w:char="F0B1"/>
      </w:r>
      <w:r>
        <w:t>0.1 ppbv) and a negligible amount of NO</w:t>
      </w:r>
      <w:r>
        <w:rPr>
          <w:vertAlign w:val="subscript"/>
        </w:rPr>
        <w:t>x</w:t>
      </w:r>
      <w:r>
        <w:t xml:space="preserve"> (0.01</w:t>
      </w:r>
      <w:r>
        <w:sym w:font="Symbol" w:char="F0B1"/>
      </w:r>
      <w:r>
        <w:t>0.05 ppbv).</w:t>
      </w:r>
      <w:bookmarkEnd w:id="2"/>
      <w:r>
        <w:t xml:space="preserve"> Following a brief zeroing period, the two CRDS channels sampled through the converter at 18:15, which was turned on at 18:16:30, while the CEAS continued to sample the test gas mixture entering the photolytic converter. At 18:19, the O</w:t>
      </w:r>
      <w:r>
        <w:rPr>
          <w:vertAlign w:val="subscript"/>
        </w:rPr>
        <w:t>3</w:t>
      </w:r>
      <w:r>
        <w:t xml:space="preserve"> addition was switched from the NO</w:t>
      </w:r>
      <w:r>
        <w:rPr>
          <w:vertAlign w:val="subscript"/>
        </w:rPr>
        <w:t>y</w:t>
      </w:r>
      <w:r>
        <w:t xml:space="preserve"> to the NO</w:t>
      </w:r>
      <w:r>
        <w:rPr>
          <w:vertAlign w:val="subscript"/>
        </w:rPr>
        <w:t>2</w:t>
      </w:r>
      <w:r>
        <w:t xml:space="preserve"> channel, converting the latter into a NO</w:t>
      </w:r>
      <w:r>
        <w:rPr>
          <w:vertAlign w:val="subscript"/>
        </w:rPr>
        <w:t>x</w:t>
      </w:r>
      <w:r>
        <w:t xml:space="preserve"> measurement. </w:t>
      </w:r>
      <w:bookmarkStart w:id="3" w:name="_Hlk37666050"/>
      <w:r>
        <w:t>An average of (0.75</w:t>
      </w:r>
      <w:r>
        <w:sym w:font="Symbol" w:char="F0B1"/>
      </w:r>
      <w:r>
        <w:t>0.05) ppbv of NO</w:t>
      </w:r>
      <w:r>
        <w:rPr>
          <w:vertAlign w:val="subscript"/>
        </w:rPr>
        <w:t>x</w:t>
      </w:r>
      <w:r>
        <w:t xml:space="preserve"> was observed. </w:t>
      </w:r>
      <w:bookmarkEnd w:id="3"/>
      <w:r>
        <w:t>Subtracting a UV-induced-artifact of ~(0.3</w:t>
      </w:r>
      <w:r>
        <w:sym w:font="Symbol" w:char="F0B1"/>
      </w:r>
      <w:r>
        <w:t>0.1) ppbv (Figure S2) and subtracting the amount of NO</w:t>
      </w:r>
      <w:r>
        <w:rPr>
          <w:vertAlign w:val="subscript"/>
        </w:rPr>
        <w:t>x</w:t>
      </w:r>
      <w:r>
        <w:t xml:space="preserve"> produced from HNO</w:t>
      </w:r>
      <w:r>
        <w:rPr>
          <w:vertAlign w:val="subscript"/>
        </w:rPr>
        <w:t>3</w:t>
      </w:r>
      <w:r>
        <w:t>, calculated assuming that ~14% (see section titled "HNO</w:t>
      </w:r>
      <w:r>
        <w:rPr>
          <w:vertAlign w:val="subscript"/>
        </w:rPr>
        <w:t>3</w:t>
      </w:r>
      <w:r>
        <w:t>" below) of the (0.5</w:t>
      </w:r>
      <w:r>
        <w:sym w:font="Symbol" w:char="F0B1"/>
      </w:r>
      <w:r>
        <w:t>0.1) ppbv HNO</w:t>
      </w:r>
      <w:r>
        <w:rPr>
          <w:vertAlign w:val="subscript"/>
        </w:rPr>
        <w:t>3</w:t>
      </w:r>
      <w:r>
        <w:t xml:space="preserve"> converted to NO</w:t>
      </w:r>
      <w:r>
        <w:rPr>
          <w:vertAlign w:val="subscript"/>
        </w:rPr>
        <w:t>x</w:t>
      </w:r>
      <w:r>
        <w:t>, or (0.07</w:t>
      </w:r>
      <w:r>
        <w:sym w:font="Symbol" w:char="F0B1"/>
      </w:r>
      <w:r>
        <w:t>0.02) ppbv) suggests that (0.38</w:t>
      </w:r>
      <w:r>
        <w:sym w:font="Symbol" w:char="F0B1"/>
      </w:r>
      <w:r>
        <w:t>0.11) ppbv of NO was produced from HONO, a yield of (63</w:t>
      </w:r>
      <w:r>
        <w:sym w:font="Symbol" w:char="F0B1"/>
      </w:r>
      <w:r>
        <w:t xml:space="preserve">21)%. </w:t>
      </w:r>
    </w:p>
    <w:bookmarkEnd w:id="1"/>
    <w:p>
      <w:pPr>
        <w:spacing w:line="360" w:lineRule="auto"/>
        <w:jc w:val="center"/>
      </w:pPr>
      <w:r>
        <w:rPr>
          <w:noProof/>
          <w:lang w:val="en-CA" w:eastAsia="en-CA"/>
        </w:rPr>
        <w:drawing>
          <wp:inline distT="0" distB="0" distL="0" distR="0">
            <wp:extent cx="4046400" cy="2685600"/>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7.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46400" cy="2685600"/>
                    </a:xfrm>
                    <a:prstGeom prst="rect">
                      <a:avLst/>
                    </a:prstGeom>
                  </pic:spPr>
                </pic:pic>
              </a:graphicData>
            </a:graphic>
          </wp:inline>
        </w:drawing>
      </w:r>
    </w:p>
    <w:p>
      <w:pPr>
        <w:spacing w:line="360" w:lineRule="auto"/>
      </w:pPr>
      <w:r>
        <w:t>Figure S3. Photochemical conversion of HONO to NO. At 18:09, the CRDS and CEAS sampled the HONO source, which emitted ~0.6 ppbv of HONO (shown in black), ~0.0 ppbv NO</w:t>
      </w:r>
      <w:r>
        <w:rPr>
          <w:vertAlign w:val="subscript"/>
        </w:rPr>
        <w:t>2</w:t>
      </w:r>
      <w:r>
        <w:t xml:space="preserve"> (shown in green) and NO</w:t>
      </w:r>
      <w:r>
        <w:rPr>
          <w:vertAlign w:val="subscript"/>
        </w:rPr>
        <w:t>x</w:t>
      </w:r>
      <w:r>
        <w:t xml:space="preserve"> (shown in blue), and ~0.5 ppbv of HNO</w:t>
      </w:r>
      <w:r>
        <w:rPr>
          <w:vertAlign w:val="subscript"/>
        </w:rPr>
        <w:t>3</w:t>
      </w:r>
      <w:r>
        <w:t xml:space="preserve"> (calculated relative to NO</w:t>
      </w:r>
      <w:r>
        <w:rPr>
          <w:vertAlign w:val="subscript"/>
        </w:rPr>
        <w:t>y</w:t>
      </w:r>
      <w:r>
        <w:t>). The instruments sampled zero air from 18:13 to 18:15. At 18:15:15, the CRDS sampled through the converter (Pressure ~580 Torr; residence time ~3.6 sec), which was turned on at 18:16:30.</w:t>
      </w:r>
    </w:p>
    <w:p>
      <w:pPr>
        <w:spacing w:line="360" w:lineRule="auto"/>
        <w:jc w:val="both"/>
      </w:pPr>
    </w:p>
    <w:p>
      <w:pPr>
        <w:spacing w:line="360" w:lineRule="auto"/>
      </w:pPr>
      <w:r>
        <w:t xml:space="preserve">The experiment shown in Figure S3 was repeated with shorter photolysis residence times. A fit of eq 7 (with </w:t>
      </w:r>
      <w:r>
        <w:rPr>
          <w:i/>
        </w:rPr>
        <w:t>k</w:t>
      </w:r>
      <w:r>
        <w:rPr>
          <w:iCs/>
        </w:rPr>
        <w:t>[Ox]</w:t>
      </w:r>
      <w:r>
        <w:t xml:space="preserve"> = 0 sec</w:t>
      </w:r>
      <w:r>
        <w:rPr>
          <w:vertAlign w:val="superscript"/>
        </w:rPr>
        <w:t>-1</w:t>
      </w:r>
      <w:r>
        <w:t xml:space="preserve">) to a plot of NO against </w:t>
      </w:r>
      <w:proofErr w:type="spellStart"/>
      <w:r>
        <w:rPr>
          <w:i/>
        </w:rPr>
        <w:t>t</w:t>
      </w:r>
      <w:r>
        <w:rPr>
          <w:i/>
          <w:vertAlign w:val="subscript"/>
        </w:rPr>
        <w:t>res</w:t>
      </w:r>
      <w:proofErr w:type="spellEnd"/>
      <w:r>
        <w:rPr>
          <w:vertAlign w:val="subscript"/>
        </w:rPr>
        <w:t xml:space="preserve"> </w:t>
      </w:r>
      <w:r>
        <w:t xml:space="preserve">(not shown) indicates a HONO </w:t>
      </w:r>
      <w:r>
        <w:lastRenderedPageBreak/>
        <w:t>photolysis frequency of 0.25 sec</w:t>
      </w:r>
      <w:r>
        <w:rPr>
          <w:vertAlign w:val="superscript"/>
        </w:rPr>
        <w:t>-1</w:t>
      </w:r>
      <w:r>
        <w:t>, slightly larger than predicted from the overlap of the LED emission spectrum with the absorption spectrum of HONO.</w:t>
      </w:r>
    </w:p>
    <w:p>
      <w:pPr>
        <w:rPr>
          <w:i/>
        </w:rPr>
      </w:pPr>
    </w:p>
    <w:p>
      <w:pPr>
        <w:spacing w:line="360" w:lineRule="auto"/>
      </w:pPr>
      <w:r>
        <w:rPr>
          <w:i/>
        </w:rPr>
        <w:t>PAN</w:t>
      </w:r>
      <w:r>
        <w:t>. Reed et al.</w:t>
      </w:r>
      <w:hyperlink w:anchor="_ENREF_8" w:tooltip="Reed, 2016 #4534" w:history="1">
        <w:r>
          <w:fldChar w:fldCharType="begin"/>
        </w:r>
        <w:r>
          <w:instrText xml:space="preserve"> ADDIN EN.CITE &lt;EndNote&gt;&lt;Cite ExcludeAuth="1"&gt;&lt;Author&gt;Reed&lt;/Author&gt;&lt;Year&gt;2016&lt;/Year&gt;&lt;RecNum&gt;4534&lt;/RecNum&gt;&lt;DisplayText&gt;&lt;style face="superscript"&gt;8&lt;/style&gt;&lt;/DisplayText&gt;&lt;record&gt;&lt;rec-number&gt;4534&lt;/rec-number&gt;&lt;foreign-keys&gt;&lt;key app="EN" db-id="952ffrrvyzt5pcepatvvdz2zvw0da2px2dft"&gt;4534&lt;/key&gt;&lt;/foreign-keys&gt;&lt;ref-type name="Journal Article"&gt;17&lt;/ref-type&gt;&lt;contributors&gt;&lt;authors&gt;&lt;author&gt;Reed, C.&lt;/author&gt;&lt;author&gt;Evans, M. J.&lt;/author&gt;&lt;author&gt;Di Carlo, P.&lt;/author&gt;&lt;author&gt;Lee, J. D.&lt;/author&gt;&lt;author&gt;Carpenter, L. J.&lt;/author&gt;&lt;/authors&gt;&lt;/contributors&gt;&lt;titles&gt;&lt;title&gt;&lt;style face="normal" font="default" size="100%"&gt;Interferences in photolytic NO&lt;/style&gt;&lt;style face="subscript" font="default" size="100%"&gt;2&lt;/style&gt;&lt;style face="normal" font="default" size="100%"&gt; measurements: explanation for an apparent missing oxidant?&lt;/style&gt;&lt;/title&gt;&lt;secondary-title&gt;Atmospheric Chemistry and Physics&lt;/secondary-title&gt;&lt;/titles&gt;&lt;periodical&gt;&lt;full-title&gt;Atmospheric Chemistry and Physics&lt;/full-title&gt;&lt;abbr-1&gt;Atmos. Chem. Phys.&lt;/abbr-1&gt;&lt;/periodical&gt;&lt;pages&gt;4707-4724&lt;/pages&gt;&lt;volume&gt;16&lt;/volume&gt;&lt;number&gt;7&lt;/number&gt;&lt;dates&gt;&lt;year&gt;2016&lt;/year&gt;&lt;/dates&gt;&lt;publisher&gt;Copernicus Publications&lt;/publisher&gt;&lt;isbn&gt;1680-7324&lt;/isbn&gt;&lt;urls&gt;&lt;related-urls&gt;&lt;url&gt;http://www.atmos-chem-phys.net/16/4707/2016/&lt;/url&gt;&lt;url&gt;http://www.atmos-chem-phys.net/16/4707/2016/acp-16-4707-2016.pdf&lt;/url&gt;&lt;/related-urls&gt;&lt;/urls&gt;&lt;electronic-resource-num&gt;10.5194/acp-16-4707-2016&lt;/electronic-resource-num&gt;&lt;/record&gt;&lt;/Cite&gt;&lt;/EndNote&gt;</w:instrText>
        </w:r>
        <w:r>
          <w:fldChar w:fldCharType="separate"/>
        </w:r>
        <w:r>
          <w:rPr>
            <w:noProof/>
            <w:vertAlign w:val="superscript"/>
          </w:rPr>
          <w:t>8</w:t>
        </w:r>
        <w:r>
          <w:fldChar w:fldCharType="end"/>
        </w:r>
      </w:hyperlink>
      <w:r>
        <w:t xml:space="preserve"> examined interferences in their photolytic converter and reported thermal dissociation of PAN to NO</w:t>
      </w:r>
      <w:r>
        <w:rPr>
          <w:vertAlign w:val="subscript"/>
        </w:rPr>
        <w:t>2</w:t>
      </w:r>
      <w:r>
        <w:t xml:space="preserve">, leading to measurement artifacts that are highly elevated in remote environments. </w:t>
      </w:r>
    </w:p>
    <w:p>
      <w:pPr>
        <w:tabs>
          <w:tab w:val="center" w:pos="4674"/>
          <w:tab w:val="right" w:pos="9291"/>
        </w:tabs>
        <w:spacing w:line="360" w:lineRule="auto"/>
      </w:pPr>
      <w:r>
        <w:tab/>
        <w:t>CH</w:t>
      </w:r>
      <w:r>
        <w:rPr>
          <w:vertAlign w:val="subscript"/>
        </w:rPr>
        <w:t>3</w:t>
      </w:r>
      <w:r>
        <w:t>C(O)O</w:t>
      </w:r>
      <w:r>
        <w:rPr>
          <w:vertAlign w:val="subscript"/>
        </w:rPr>
        <w:t>2</w:t>
      </w:r>
      <w:r>
        <w:t>NO</w:t>
      </w:r>
      <w:r>
        <w:rPr>
          <w:vertAlign w:val="subscript"/>
        </w:rPr>
        <w:t>2</w:t>
      </w:r>
      <w:r>
        <w:t xml:space="preserve"> </w:t>
      </w:r>
      <w:r>
        <w:rPr>
          <w:rFonts w:ascii="Cambria Math" w:hAnsi="Cambria Math"/>
        </w:rPr>
        <w:t>⇌</w:t>
      </w:r>
      <w:r>
        <w:t xml:space="preserve"> CH</w:t>
      </w:r>
      <w:r>
        <w:rPr>
          <w:vertAlign w:val="subscript"/>
        </w:rPr>
        <w:t>3</w:t>
      </w:r>
      <w:r>
        <w:t>C(O)O</w:t>
      </w:r>
      <w:r>
        <w:rPr>
          <w:vertAlign w:val="subscript"/>
        </w:rPr>
        <w:t>2</w:t>
      </w:r>
      <w:r>
        <w:t xml:space="preserve"> + NO</w:t>
      </w:r>
      <w:r>
        <w:rPr>
          <w:vertAlign w:val="subscript"/>
        </w:rPr>
        <w:t>2</w:t>
      </w:r>
      <w:r>
        <w:tab/>
        <w:t>(12)</w:t>
      </w:r>
    </w:p>
    <w:p>
      <w:pPr>
        <w:spacing w:line="360" w:lineRule="auto"/>
      </w:pPr>
      <w:r>
        <w:t>Hence, the stability of PAN within the converter was investigated. Figure S4 shows a time series of the response to sampling PAN. Here, one of the TD-CRDS quartz inlets was heated to 250 °C; this channel was used to monitor NO</w:t>
      </w:r>
      <w:r>
        <w:rPr>
          <w:vertAlign w:val="subscript"/>
        </w:rPr>
        <w:t>2</w:t>
      </w:r>
      <w:r>
        <w:t xml:space="preserve">+ΣPAN (shown in red color) </w:t>
      </w:r>
      <w:hyperlink w:anchor="_ENREF_9" w:tooltip="Paul, 2010 #2265" w:history="1">
        <w:r>
          <w:fldChar w:fldCharType="begin"/>
        </w:r>
        <w:r>
          <w:instrText xml:space="preserve"> ADDIN EN.CITE &lt;EndNote&gt;&lt;Cite&gt;&lt;Author&gt;Paul&lt;/Author&gt;&lt;Year&gt;2010&lt;/Year&gt;&lt;RecNum&gt;2265&lt;/RecNum&gt;&lt;DisplayText&gt;&lt;style face="superscript"&gt;9&lt;/style&gt;&lt;/DisplayText&gt;&lt;record&gt;&lt;rec-number&gt;2265&lt;/rec-number&gt;&lt;foreign-keys&gt;&lt;key app="EN" db-id="952ffrrvyzt5pcepatvvdz2zvw0da2px2dft"&gt;2265&lt;/key&gt;&lt;/foreign-keys&gt;&lt;ref-type name="Journal Article"&gt;17&lt;/ref-type&gt;&lt;contributors&gt;&lt;authors&gt;&lt;author&gt;Paul, D.&lt;/author&gt;&lt;author&gt;Osthoff, H. D.&lt;/author&gt;&lt;/authors&gt;&lt;/contributors&gt;&lt;titles&gt;&lt;title&gt;Absolute Measurements of Total Peroxy Nitrate Mixing Ratios by Thermal Dissociation Blue Diode Laser Cavity Ring-Down Spectroscopy&lt;/title&gt;&lt;secondary-title&gt;Analytical Chemistry&lt;/secondary-title&gt;&lt;/titles&gt;&lt;periodical&gt;&lt;full-title&gt;Analytical Chemistry&lt;/full-title&gt;&lt;abbr-1&gt;Anal. Chem.&lt;/abbr-1&gt;&lt;/periodical&gt;&lt;pages&gt;6695-6703&lt;/pages&gt;&lt;volume&gt;82&lt;/volume&gt;&lt;number&gt;15&lt;/number&gt;&lt;dates&gt;&lt;year&gt;2010&lt;/year&gt;&lt;/dates&gt;&lt;publisher&gt;American Chemical Society&lt;/publisher&gt;&lt;isbn&gt;0003-2700&lt;/isbn&gt;&lt;urls&gt;&lt;related-urls&gt;&lt;url&gt;http://pubs.acs.org/doi/abs/10.1021/ac101441z&lt;/url&gt;&lt;/related-urls&gt;&lt;/urls&gt;&lt;electronic-resource-num&gt;10.1021/ac101441z&lt;/electronic-resource-num&gt;&lt;/record&gt;&lt;/Cite&gt;&lt;/EndNote&gt;</w:instrText>
        </w:r>
        <w:r>
          <w:fldChar w:fldCharType="separate"/>
        </w:r>
        <w:r>
          <w:rPr>
            <w:noProof/>
            <w:vertAlign w:val="superscript"/>
          </w:rPr>
          <w:t>9</w:t>
        </w:r>
        <w:r>
          <w:fldChar w:fldCharType="end"/>
        </w:r>
      </w:hyperlink>
      <w:r>
        <w:t>,  while O</w:t>
      </w:r>
      <w:r>
        <w:rPr>
          <w:vertAlign w:val="subscript"/>
        </w:rPr>
        <w:t>3</w:t>
      </w:r>
      <w:r>
        <w:t xml:space="preserve"> was added to the other CRDS channel which monitored NO</w:t>
      </w:r>
      <w:r>
        <w:rPr>
          <w:vertAlign w:val="subscript"/>
        </w:rPr>
        <w:t>x</w:t>
      </w:r>
      <w:r>
        <w:t xml:space="preserve"> (shown in blue color). Both channels sampled through the converter. After the usual zeroing period, (18.8</w:t>
      </w:r>
      <w:r>
        <w:sym w:font="Symbol" w:char="F0B1"/>
      </w:r>
      <w:r>
        <w:t>0.1) ppbv of PAN were added to the inlet at 22:54. The LEDs were turned on at 22:56. Initially, there was no change, but over time, the observed NO</w:t>
      </w:r>
      <w:r>
        <w:rPr>
          <w:vertAlign w:val="subscript"/>
        </w:rPr>
        <w:t>2</w:t>
      </w:r>
      <w:r>
        <w:t>+ΣPAN mixing ratio decreased, while the NO</w:t>
      </w:r>
      <w:r>
        <w:rPr>
          <w:vertAlign w:val="subscript"/>
        </w:rPr>
        <w:t>x</w:t>
      </w:r>
      <w:r>
        <w:t xml:space="preserve"> mixing ratio increased. </w:t>
      </w:r>
    </w:p>
    <w:p>
      <w:pPr>
        <w:pStyle w:val="NormalWeb"/>
        <w:jc w:val="center"/>
      </w:pPr>
      <w:r>
        <w:rPr>
          <w:noProof/>
          <w:lang w:val="en-CA" w:eastAsia="en-CA"/>
        </w:rPr>
        <w:drawing>
          <wp:inline distT="0" distB="0" distL="0" distR="0">
            <wp:extent cx="4049999" cy="2957564"/>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7.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49999" cy="2957564"/>
                    </a:xfrm>
                    <a:prstGeom prst="rect">
                      <a:avLst/>
                    </a:prstGeom>
                  </pic:spPr>
                </pic:pic>
              </a:graphicData>
            </a:graphic>
          </wp:inline>
        </w:drawing>
      </w:r>
    </w:p>
    <w:p>
      <w:pPr>
        <w:spacing w:line="360" w:lineRule="auto"/>
      </w:pPr>
      <w:r>
        <w:t>Figure S4. (a) Time series of NO</w:t>
      </w:r>
      <w:r>
        <w:rPr>
          <w:vertAlign w:val="subscript"/>
        </w:rPr>
        <w:t>2</w:t>
      </w:r>
      <w:r>
        <w:t>+ΣPAN (shown in red color) and of NO</w:t>
      </w:r>
      <w:r>
        <w:rPr>
          <w:vertAlign w:val="subscript"/>
        </w:rPr>
        <w:t>x</w:t>
      </w:r>
      <w:r>
        <w:t xml:space="preserve"> (shown in blue color). (18.8</w:t>
      </w:r>
      <w:r>
        <w:sym w:font="Symbol" w:char="F0B1"/>
      </w:r>
      <w:r>
        <w:t>0.1) ppbv of PAN were added at 22:54. The converter was operated at a pressure of 417 Torr (3.3 sec residence time) and turned on at 22:56. Over time, more and more PAN dissociated to NO</w:t>
      </w:r>
      <w:r>
        <w:rPr>
          <w:vertAlign w:val="subscript"/>
        </w:rPr>
        <w:t>2</w:t>
      </w:r>
      <w:r>
        <w:t xml:space="preserve">, which </w:t>
      </w:r>
      <w:proofErr w:type="spellStart"/>
      <w:r>
        <w:t>photodissociated</w:t>
      </w:r>
      <w:proofErr w:type="spellEnd"/>
      <w:r>
        <w:t xml:space="preserve"> and was observed as NO in the NO</w:t>
      </w:r>
      <w:r>
        <w:rPr>
          <w:vertAlign w:val="subscript"/>
        </w:rPr>
        <w:t>x</w:t>
      </w:r>
      <w:r>
        <w:t xml:space="preserve"> channel. When the converter was turned off at 23:07, (19.3</w:t>
      </w:r>
      <w:r>
        <w:sym w:font="Symbol" w:char="F0B1"/>
      </w:r>
      <w:r>
        <w:t>0.1) ppbv of NO</w:t>
      </w:r>
      <w:r>
        <w:rPr>
          <w:vertAlign w:val="subscript"/>
        </w:rPr>
        <w:t>2</w:t>
      </w:r>
      <w:r>
        <w:t>+ΣPAN and 6.2</w:t>
      </w:r>
      <w:r>
        <w:sym w:font="Symbol" w:char="F0B1"/>
      </w:r>
      <w:r>
        <w:t>0.2 NO</w:t>
      </w:r>
      <w:r>
        <w:rPr>
          <w:vertAlign w:val="subscript"/>
        </w:rPr>
        <w:t>x</w:t>
      </w:r>
      <w:r>
        <w:t xml:space="preserve"> (NO</w:t>
      </w:r>
      <w:r>
        <w:rPr>
          <w:vertAlign w:val="subscript"/>
        </w:rPr>
        <w:t>2</w:t>
      </w:r>
      <w:r>
        <w:t xml:space="preserve">) were </w:t>
      </w:r>
      <w:r>
        <w:lastRenderedPageBreak/>
        <w:t>observed. The amount of NO</w:t>
      </w:r>
      <w:r>
        <w:rPr>
          <w:vertAlign w:val="subscript"/>
        </w:rPr>
        <w:t>2</w:t>
      </w:r>
      <w:r>
        <w:t xml:space="preserve"> was less during this time than before because the thermal dissociation of PAN is reversible; the NO generated by photolysis titrates the PA radical, speeding up the thermal dissociation. (b) Time series of temperature next to the photoreactor cell, measured using a K-type thermocouple inserted into the converter. </w:t>
      </w:r>
    </w:p>
    <w:p>
      <w:pPr>
        <w:spacing w:line="360" w:lineRule="auto"/>
        <w:jc w:val="both"/>
      </w:pPr>
    </w:p>
    <w:p>
      <w:pPr>
        <w:spacing w:line="360" w:lineRule="auto"/>
      </w:pPr>
      <w:r>
        <w:t>Shown in the bottom panel of Figure S4 is the corresponding time series of temperature, measured via a K-type thermocouple whose junction was located on the outside of the photolysis cell. The decrease in NO</w:t>
      </w:r>
      <w:r>
        <w:rPr>
          <w:vertAlign w:val="subscript"/>
        </w:rPr>
        <w:t>2</w:t>
      </w:r>
      <w:r>
        <w:t>+ΣPAN was accompanied by an increase in temperature, thermally dissociating higher amounts of PAN to NO</w:t>
      </w:r>
      <w:r>
        <w:rPr>
          <w:vertAlign w:val="subscript"/>
        </w:rPr>
        <w:t>2</w:t>
      </w:r>
      <w:r>
        <w:t xml:space="preserve">, which in turn </w:t>
      </w:r>
      <w:proofErr w:type="spellStart"/>
      <w:r>
        <w:t>photodissociated</w:t>
      </w:r>
      <w:proofErr w:type="spellEnd"/>
      <w:r>
        <w:t xml:space="preserve"> to NO and was observed in the NO</w:t>
      </w:r>
      <w:r>
        <w:rPr>
          <w:vertAlign w:val="subscript"/>
        </w:rPr>
        <w:t>x</w:t>
      </w:r>
      <w:r>
        <w:t xml:space="preserve"> channel. </w:t>
      </w:r>
    </w:p>
    <w:p>
      <w:pPr>
        <w:spacing w:line="360" w:lineRule="auto"/>
      </w:pPr>
      <w:r>
        <w:t>When the converter was turned off at 23:07, (19.3</w:t>
      </w:r>
      <w:r>
        <w:sym w:font="Symbol" w:char="F0B1"/>
      </w:r>
      <w:r>
        <w:t>0.1) ppbv of NO</w:t>
      </w:r>
      <w:r>
        <w:rPr>
          <w:vertAlign w:val="subscript"/>
        </w:rPr>
        <w:t>2</w:t>
      </w:r>
      <w:r>
        <w:t>+ΣPAN and (6.2</w:t>
      </w:r>
      <w:r>
        <w:sym w:font="Symbol" w:char="F0B1"/>
      </w:r>
      <w:r>
        <w:t>0.2) NO</w:t>
      </w:r>
      <w:r>
        <w:rPr>
          <w:vertAlign w:val="subscript"/>
        </w:rPr>
        <w:t>x</w:t>
      </w:r>
      <w:r>
        <w:t xml:space="preserve"> (mostly NO</w:t>
      </w:r>
      <w:r>
        <w:rPr>
          <w:vertAlign w:val="subscript"/>
        </w:rPr>
        <w:t>2</w:t>
      </w:r>
      <w:r>
        <w:t>) were observed. From the extent of thermal dissociation (~31% dissociated at 23:08) and using a recent expression for TD of PAN, 2.8</w:t>
      </w:r>
      <w:r>
        <w:sym w:font="Symbol" w:char="F0B4"/>
      </w:r>
      <w:r>
        <w:t>10</w:t>
      </w:r>
      <w:r>
        <w:rPr>
          <w:vertAlign w:val="superscript"/>
        </w:rPr>
        <w:t>16</w:t>
      </w:r>
      <w:r>
        <w:t xml:space="preserve"> sec</w:t>
      </w:r>
      <w:r>
        <w:rPr>
          <w:vertAlign w:val="superscript"/>
        </w:rPr>
        <w:t>-1</w:t>
      </w:r>
      <w:r>
        <w:t xml:space="preserve"> </w:t>
      </w:r>
      <w:r>
        <w:sym w:font="Symbol" w:char="F0B4"/>
      </w:r>
      <w:r>
        <w:t xml:space="preserve"> e</w:t>
      </w:r>
      <w:r>
        <w:rPr>
          <w:vertAlign w:val="superscript"/>
        </w:rPr>
        <w:t>(-113 kJ/mol)/(RT)</w:t>
      </w:r>
      <w:r>
        <w:t xml:space="preserve">, </w:t>
      </w:r>
      <w:hyperlink w:anchor="_ENREF_10" w:tooltip="Kabir, 2014 #3655" w:history="1">
        <w:r>
          <w:fldChar w:fldCharType="begin"/>
        </w:r>
        <w:r>
          <w:instrText xml:space="preserve"> ADDIN EN.CITE &lt;EndNote&gt;&lt;Cite&gt;&lt;Author&gt;Kabir&lt;/Author&gt;&lt;Year&gt;2014&lt;/Year&gt;&lt;RecNum&gt;3655&lt;/RecNum&gt;&lt;DisplayText&gt;&lt;style face="superscript"&gt;10&lt;/style&gt;&lt;/DisplayText&gt;&lt;record&gt;&lt;rec-number&gt;3655&lt;/rec-number&gt;&lt;foreign-keys&gt;&lt;key app="EN" db-id="952ffrrvyzt5pcepatvvdz2zvw0da2px2dft"&gt;3655&lt;/key&gt;&lt;/foreign-keys&gt;&lt;ref-type name="Journal Article"&gt;17&lt;/ref-type&gt;&lt;contributors&gt;&lt;authors&gt;&lt;author&gt;Kabir, M.&lt;/author&gt;&lt;author&gt;Jagiella, S.&lt;/author&gt;&lt;author&gt;Zabel, F.&lt;/author&gt;&lt;/authors&gt;&lt;/contributors&gt;&lt;titles&gt;&lt;title&gt;Thermal Stability of n-Acyl Peroxynitrates&lt;/title&gt;&lt;secondary-title&gt;International Journal of Chemical Kinetics&lt;/secondary-title&gt;&lt;/titles&gt;&lt;periodical&gt;&lt;full-title&gt;International Journal of Chemical Kinetics&lt;/full-title&gt;&lt;abbr-1&gt;Internat. J. Chem. Kin.&lt;/abbr-1&gt;&lt;/periodical&gt;&lt;pages&gt;462-469&lt;/pages&gt;&lt;volume&gt;46&lt;/volume&gt;&lt;number&gt;8&lt;/number&gt;&lt;dates&gt;&lt;year&gt;2014&lt;/year&gt;&lt;/dates&gt;&lt;isbn&gt;1097-4601&lt;/isbn&gt;&lt;urls&gt;&lt;related-urls&gt;&lt;url&gt;http://dx.doi.org/10.1002/kin.20862&lt;/url&gt;&lt;/related-urls&gt;&lt;/urls&gt;&lt;electronic-resource-num&gt;10.1002/kin.20862&lt;/electronic-resource-num&gt;&lt;/record&gt;&lt;/Cite&gt;&lt;/EndNote&gt;</w:instrText>
        </w:r>
        <w:r>
          <w:fldChar w:fldCharType="separate"/>
        </w:r>
        <w:r>
          <w:rPr>
            <w:noProof/>
            <w:vertAlign w:val="superscript"/>
          </w:rPr>
          <w:t>10</w:t>
        </w:r>
        <w:r>
          <w:fldChar w:fldCharType="end"/>
        </w:r>
      </w:hyperlink>
      <w:r>
        <w:t xml:space="preserve"> and a residence time of 3.3 sec, we estimate that the internal temperature within the photolysis chamber in this particular experiment was 66 °C. However, this temperature is a lower estimate since the reverse of reaction (12) converts some NO</w:t>
      </w:r>
      <w:r>
        <w:rPr>
          <w:vertAlign w:val="subscript"/>
        </w:rPr>
        <w:t>2</w:t>
      </w:r>
      <w:r>
        <w:t xml:space="preserve"> back to PAN. The converter's LEDs are cooled using high-efficiency fans; these likely have transferred some of the heat to the surrounding tubing, such that the effective residence time was likely longer (and the temperature needed to achieve the effect lower). </w:t>
      </w:r>
    </w:p>
    <w:p>
      <w:pPr>
        <w:spacing w:line="360" w:lineRule="auto"/>
        <w:jc w:val="both"/>
      </w:pPr>
      <w:r>
        <w:t>When the converter's LEDs were turned back on at 23:09, the ratio of NO</w:t>
      </w:r>
      <w:r>
        <w:rPr>
          <w:vertAlign w:val="subscript"/>
        </w:rPr>
        <w:t>2</w:t>
      </w:r>
      <w:r>
        <w:t>+ΣPAN to NO</w:t>
      </w:r>
      <w:r>
        <w:rPr>
          <w:vertAlign w:val="subscript"/>
        </w:rPr>
        <w:t>x</w:t>
      </w:r>
      <w:r>
        <w:t xml:space="preserve"> (=NO) was considerably lower (~66% dissociated), consistent with an internal temperature of 75 °C. The greater extent of dissociation is rationalized by photodissociation of NO</w:t>
      </w:r>
      <w:r>
        <w:rPr>
          <w:vertAlign w:val="subscript"/>
        </w:rPr>
        <w:t>2</w:t>
      </w:r>
      <w:r>
        <w:t xml:space="preserve"> to NO which in turn titrates the PA radical, driving equilibrium (12) towards the right, i.e., towards dissociation. </w:t>
      </w:r>
    </w:p>
    <w:p>
      <w:pPr>
        <w:tabs>
          <w:tab w:val="center" w:pos="4674"/>
          <w:tab w:val="right" w:pos="9291"/>
        </w:tabs>
        <w:spacing w:line="360" w:lineRule="auto"/>
      </w:pPr>
      <w:r>
        <w:tab/>
        <w:t xml:space="preserve"> CH</w:t>
      </w:r>
      <w:r>
        <w:rPr>
          <w:vertAlign w:val="subscript"/>
        </w:rPr>
        <w:t>3</w:t>
      </w:r>
      <w:r>
        <w:t>C(O)O</w:t>
      </w:r>
      <w:r>
        <w:rPr>
          <w:vertAlign w:val="subscript"/>
        </w:rPr>
        <w:t>2</w:t>
      </w:r>
      <w:r>
        <w:t xml:space="preserve"> + NO </w:t>
      </w:r>
      <m:oMath>
        <m:box>
          <m:boxPr>
            <m:opEmu m:val="1"/>
            <m:ctrlPr>
              <w:rPr>
                <w:rFonts w:ascii="Cambria Math" w:hAnsi="Cambria Math"/>
              </w:rPr>
            </m:ctrlPr>
          </m:boxPr>
          <m:e>
            <m:groupChr>
              <m:groupChrPr>
                <m:chr m:val="→"/>
                <m:vertJc m:val="bot"/>
                <m:ctrlPr>
                  <w:rPr>
                    <w:rFonts w:ascii="Cambria Math" w:hAnsi="Cambria Math"/>
                  </w:rPr>
                </m:ctrlPr>
              </m:groupChrPr>
              <m:e>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e>
            </m:groupChr>
          </m:e>
        </m:box>
      </m:oMath>
      <w:r>
        <w:t xml:space="preserve"> CH</w:t>
      </w:r>
      <w:r>
        <w:rPr>
          <w:vertAlign w:val="subscript"/>
        </w:rPr>
        <w:t>3</w:t>
      </w:r>
      <w:r>
        <w:t>O</w:t>
      </w:r>
      <w:r>
        <w:rPr>
          <w:vertAlign w:val="subscript"/>
        </w:rPr>
        <w:t xml:space="preserve">2 </w:t>
      </w:r>
      <w:r>
        <w:t>+ CO</w:t>
      </w:r>
      <w:r>
        <w:rPr>
          <w:vertAlign w:val="subscript"/>
        </w:rPr>
        <w:t>2</w:t>
      </w:r>
      <w:r>
        <w:t xml:space="preserve"> + NO</w:t>
      </w:r>
      <w:r>
        <w:rPr>
          <w:vertAlign w:val="subscript"/>
        </w:rPr>
        <w:t>2</w:t>
      </w:r>
      <w:r>
        <w:tab/>
        <w:t>(13)</w:t>
      </w:r>
    </w:p>
    <w:p>
      <w:pPr>
        <w:tabs>
          <w:tab w:val="center" w:pos="4674"/>
          <w:tab w:val="right" w:pos="9291"/>
        </w:tabs>
        <w:spacing w:line="360" w:lineRule="auto"/>
      </w:pPr>
      <w:r>
        <w:tab/>
        <w:t>CH</w:t>
      </w:r>
      <w:r>
        <w:rPr>
          <w:vertAlign w:val="subscript"/>
        </w:rPr>
        <w:t>3</w:t>
      </w:r>
      <w:r>
        <w:t>O</w:t>
      </w:r>
      <w:r>
        <w:rPr>
          <w:vertAlign w:val="subscript"/>
        </w:rPr>
        <w:t>2</w:t>
      </w:r>
      <w:r>
        <w:t xml:space="preserve"> + NO</w:t>
      </w:r>
      <m:oMath>
        <m:r>
          <w:rPr>
            <w:rFonts w:ascii="Cambria Math" w:hAnsi="Cambria Math"/>
          </w:rPr>
          <m:t xml:space="preserve"> </m:t>
        </m:r>
        <m:box>
          <m:boxPr>
            <m:opEmu m:val="1"/>
            <m:ctrlPr>
              <w:rPr>
                <w:rFonts w:ascii="Cambria Math" w:hAnsi="Cambria Math"/>
              </w:rPr>
            </m:ctrlPr>
          </m:boxPr>
          <m:e>
            <m:groupChr>
              <m:groupChrPr>
                <m:chr m:val="→"/>
                <m:vertJc m:val="bot"/>
                <m:ctrlPr>
                  <w:rPr>
                    <w:rFonts w:ascii="Cambria Math" w:hAnsi="Cambria Math"/>
                  </w:rPr>
                </m:ctrlPr>
              </m:groupChrPr>
              <m:e>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e>
            </m:groupChr>
          </m:e>
        </m:box>
      </m:oMath>
      <w:r>
        <w:t xml:space="preserve"> HCHO + HO</w:t>
      </w:r>
      <w:r>
        <w:rPr>
          <w:vertAlign w:val="subscript"/>
        </w:rPr>
        <w:t>2</w:t>
      </w:r>
      <w:r>
        <w:t xml:space="preserve"> + NO</w:t>
      </w:r>
      <w:r>
        <w:rPr>
          <w:vertAlign w:val="subscript"/>
        </w:rPr>
        <w:t>2</w:t>
      </w:r>
      <w:r>
        <w:tab/>
        <w:t>(14)</w:t>
      </w:r>
    </w:p>
    <w:p>
      <w:pPr>
        <w:tabs>
          <w:tab w:val="center" w:pos="4674"/>
          <w:tab w:val="right" w:pos="9291"/>
        </w:tabs>
        <w:spacing w:line="360" w:lineRule="auto"/>
      </w:pPr>
    </w:p>
    <w:p>
      <w:pPr>
        <w:spacing w:line="360" w:lineRule="auto"/>
      </w:pPr>
      <w:r>
        <w:rPr>
          <w:i/>
        </w:rPr>
        <w:t>Nitric acid</w:t>
      </w:r>
      <w:r>
        <w:t>. Figure S5 shows a time series of an experiment in which the photo-conversion of HNO</w:t>
      </w:r>
      <w:r>
        <w:rPr>
          <w:vertAlign w:val="subscript"/>
        </w:rPr>
        <w:t>3</w:t>
      </w:r>
      <w:r>
        <w:t xml:space="preserve"> was investigated. A challenge with HNO</w:t>
      </w:r>
      <w:r>
        <w:rPr>
          <w:vertAlign w:val="subscript"/>
        </w:rPr>
        <w:t>3</w:t>
      </w:r>
      <w:r>
        <w:t xml:space="preserve"> was its slow equilibration with respect to partitioning to the inner walls of the Teflon™ tubing, manifesting itself with long equilibration </w:t>
      </w:r>
      <w:r>
        <w:lastRenderedPageBreak/>
        <w:t>times before stable mixing ratios were observed. An additional complication was that the permeation tube co-emitted some NO and NO</w:t>
      </w:r>
      <w:r>
        <w:rPr>
          <w:vertAlign w:val="subscript"/>
        </w:rPr>
        <w:t>2</w:t>
      </w:r>
      <w:r>
        <w:t>.</w:t>
      </w:r>
    </w:p>
    <w:p/>
    <w:p>
      <w:pPr>
        <w:spacing w:line="360" w:lineRule="auto"/>
        <w:jc w:val="center"/>
      </w:pPr>
      <w:r>
        <w:rPr>
          <w:noProof/>
          <w:lang w:val="en-CA" w:eastAsia="en-CA"/>
        </w:rPr>
        <w:drawing>
          <wp:inline distT="0" distB="0" distL="0" distR="0">
            <wp:extent cx="4045103" cy="2589017"/>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1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45103" cy="2589017"/>
                    </a:xfrm>
                    <a:prstGeom prst="rect">
                      <a:avLst/>
                    </a:prstGeom>
                  </pic:spPr>
                </pic:pic>
              </a:graphicData>
            </a:graphic>
          </wp:inline>
        </w:drawing>
      </w:r>
    </w:p>
    <w:p>
      <w:pPr>
        <w:spacing w:line="360" w:lineRule="auto"/>
        <w:jc w:val="both"/>
      </w:pPr>
    </w:p>
    <w:p>
      <w:pPr>
        <w:spacing w:line="360" w:lineRule="auto"/>
        <w:jc w:val="both"/>
      </w:pPr>
      <w:r>
        <w:t>Figure S5. Time series of NO production from HNO</w:t>
      </w:r>
      <w:r>
        <w:rPr>
          <w:vertAlign w:val="subscript"/>
        </w:rPr>
        <w:t>3</w:t>
      </w:r>
      <w:r>
        <w:t xml:space="preserve"> photolysis at a cell pressure of 480 Torr. The solid lines indicate observed data, whereas the dashed lines indicate interpolated data. </w:t>
      </w:r>
    </w:p>
    <w:p>
      <w:pPr>
        <w:spacing w:line="360" w:lineRule="auto"/>
        <w:jc w:val="both"/>
      </w:pPr>
    </w:p>
    <w:p>
      <w:pPr>
        <w:spacing w:line="360" w:lineRule="auto"/>
      </w:pPr>
      <w:r>
        <w:t xml:space="preserve">In the experiment shown in Figure S5, the CRDS sampled the output of the </w:t>
      </w:r>
      <w:proofErr w:type="spellStart"/>
      <w:r>
        <w:t>Dynacalibrator</w:t>
      </w:r>
      <w:proofErr w:type="spellEnd"/>
      <w:r>
        <w:t xml:space="preserve"> from 22:43 onwards (the time series was truncated for clarity). One CRDS channel was operated in NO</w:t>
      </w:r>
      <w:r>
        <w:rPr>
          <w:vertAlign w:val="subscript"/>
        </w:rPr>
        <w:t>x</w:t>
      </w:r>
      <w:r>
        <w:t xml:space="preserve"> mode (i.e., with O</w:t>
      </w:r>
      <w:r>
        <w:rPr>
          <w:vertAlign w:val="subscript"/>
        </w:rPr>
        <w:t>3</w:t>
      </w:r>
      <w:r>
        <w:t>), while the other sampled from a quartz inlet heated to 600 °C and quantified NO</w:t>
      </w:r>
      <w:r>
        <w:rPr>
          <w:vertAlign w:val="subscript"/>
        </w:rPr>
        <w:t>2</w:t>
      </w:r>
      <w:r>
        <w:t>+HNO</w:t>
      </w:r>
      <w:r>
        <w:rPr>
          <w:vertAlign w:val="subscript"/>
        </w:rPr>
        <w:t>3</w:t>
      </w:r>
      <w:r>
        <w:t>. From 22:59 to 23:06, the O</w:t>
      </w:r>
      <w:r>
        <w:rPr>
          <w:vertAlign w:val="subscript"/>
        </w:rPr>
        <w:t>3</w:t>
      </w:r>
      <w:r>
        <w:t xml:space="preserve"> addition point was switched, such that one channel quantified NO</w:t>
      </w:r>
      <w:r>
        <w:rPr>
          <w:vertAlign w:val="subscript"/>
        </w:rPr>
        <w:t xml:space="preserve">2 </w:t>
      </w:r>
      <w:r>
        <w:t>and the other NO</w:t>
      </w:r>
      <w:r>
        <w:rPr>
          <w:vertAlign w:val="subscript"/>
        </w:rPr>
        <w:t>y</w:t>
      </w:r>
      <w:r>
        <w:t>. Between 22:58 and 23:00, the following mixing ratios were observed: NO</w:t>
      </w:r>
      <w:r>
        <w:rPr>
          <w:vertAlign w:val="subscript"/>
        </w:rPr>
        <w:t>x</w:t>
      </w:r>
      <w:r>
        <w:t> = 32.6 ppbv, NO</w:t>
      </w:r>
      <w:r>
        <w:rPr>
          <w:vertAlign w:val="subscript"/>
        </w:rPr>
        <w:t>2</w:t>
      </w:r>
      <w:r>
        <w:t> = 16.2 ppbv, and NO</w:t>
      </w:r>
      <w:r>
        <w:rPr>
          <w:vertAlign w:val="subscript"/>
        </w:rPr>
        <w:t>y</w:t>
      </w:r>
      <w:r>
        <w:t> = 44.1 ppbv. From this, we calculate NO = NO</w:t>
      </w:r>
      <w:r>
        <w:rPr>
          <w:vertAlign w:val="subscript"/>
        </w:rPr>
        <w:t>x</w:t>
      </w:r>
      <w:r>
        <w:t> - NO</w:t>
      </w:r>
      <w:r>
        <w:rPr>
          <w:vertAlign w:val="subscript"/>
        </w:rPr>
        <w:t>2</w:t>
      </w:r>
      <w:r>
        <w:t xml:space="preserve"> = 16.4 ppbv and </w:t>
      </w:r>
      <w:proofErr w:type="spellStart"/>
      <w:r>
        <w:t>NO</w:t>
      </w:r>
      <w:r>
        <w:rPr>
          <w:vertAlign w:val="subscript"/>
        </w:rPr>
        <w:t>z</w:t>
      </w:r>
      <w:proofErr w:type="spellEnd"/>
      <w:r>
        <w:t> = NO</w:t>
      </w:r>
      <w:r>
        <w:rPr>
          <w:vertAlign w:val="subscript"/>
        </w:rPr>
        <w:t>y</w:t>
      </w:r>
      <w:r>
        <w:t> - NO</w:t>
      </w:r>
      <w:r>
        <w:rPr>
          <w:vertAlign w:val="subscript"/>
        </w:rPr>
        <w:t>x</w:t>
      </w:r>
      <w:r>
        <w:t> = 11.5 ppbv ≈ HNO</w:t>
      </w:r>
      <w:r>
        <w:rPr>
          <w:vertAlign w:val="subscript"/>
        </w:rPr>
        <w:t>3</w:t>
      </w:r>
      <w:r>
        <w:t>. The NO</w:t>
      </w:r>
      <w:r>
        <w:rPr>
          <w:vertAlign w:val="subscript"/>
        </w:rPr>
        <w:t>2</w:t>
      </w:r>
      <w:r>
        <w:t>+HNO</w:t>
      </w:r>
      <w:r>
        <w:rPr>
          <w:vertAlign w:val="subscript"/>
        </w:rPr>
        <w:t>3</w:t>
      </w:r>
      <w:r>
        <w:t xml:space="preserve"> channel measured 28.8 ppbv, which is greater than the sum of NO</w:t>
      </w:r>
      <w:r>
        <w:rPr>
          <w:vertAlign w:val="subscript"/>
        </w:rPr>
        <w:t>2</w:t>
      </w:r>
      <w:r>
        <w:t xml:space="preserve"> and </w:t>
      </w:r>
      <w:proofErr w:type="spellStart"/>
      <w:r>
        <w:t>NO</w:t>
      </w:r>
      <w:r>
        <w:rPr>
          <w:vertAlign w:val="subscript"/>
        </w:rPr>
        <w:t>z</w:t>
      </w:r>
      <w:proofErr w:type="spellEnd"/>
      <w:r>
        <w:t xml:space="preserve"> (27.7 ppbv); this difference is due to partial oxidation of NO in the quartz inlet heated to 600 °C. </w:t>
      </w:r>
    </w:p>
    <w:p>
      <w:pPr>
        <w:spacing w:line="360" w:lineRule="auto"/>
      </w:pPr>
      <w:r>
        <w:t>When the converter's LEDs were turned on at 22:53 and again at 23:07, the mixing ratio in the NO</w:t>
      </w:r>
      <w:r>
        <w:rPr>
          <w:vertAlign w:val="subscript"/>
        </w:rPr>
        <w:t>x</w:t>
      </w:r>
      <w:r>
        <w:t xml:space="preserve"> channel increased by up to 2.7 ppbv, indicating that a molecule other than NO</w:t>
      </w:r>
      <w:r>
        <w:rPr>
          <w:vertAlign w:val="subscript"/>
        </w:rPr>
        <w:t>2</w:t>
      </w:r>
      <w:r>
        <w:t xml:space="preserve"> photo-dissociated to NO. The response was not instantaneous. Rather, the NO</w:t>
      </w:r>
      <w:r>
        <w:rPr>
          <w:vertAlign w:val="subscript"/>
        </w:rPr>
        <w:t>x</w:t>
      </w:r>
      <w:r>
        <w:t xml:space="preserve"> mixing ratio slowly increased during the irradiation. The NO</w:t>
      </w:r>
      <w:r>
        <w:rPr>
          <w:vertAlign w:val="subscript"/>
        </w:rPr>
        <w:t>2</w:t>
      </w:r>
      <w:r>
        <w:t>+HNO</w:t>
      </w:r>
      <w:r>
        <w:rPr>
          <w:vertAlign w:val="subscript"/>
        </w:rPr>
        <w:t>3</w:t>
      </w:r>
      <w:r>
        <w:t xml:space="preserve"> signal, while not quantitative, showed an initial sharp decrease in signal, which was followed by what seemed like a recovery period. The </w:t>
      </w:r>
      <w:r>
        <w:lastRenderedPageBreak/>
        <w:t>decrease in signal is mainly due to NO</w:t>
      </w:r>
      <w:r>
        <w:rPr>
          <w:vertAlign w:val="subscript"/>
        </w:rPr>
        <w:t>2</w:t>
      </w:r>
      <w:r>
        <w:t xml:space="preserve"> photolysis but was less (maximum of ~9 and ~10 ppbv) than the decrease observed in the pure NO</w:t>
      </w:r>
      <w:r>
        <w:rPr>
          <w:vertAlign w:val="subscript"/>
        </w:rPr>
        <w:t>2</w:t>
      </w:r>
      <w:r>
        <w:t xml:space="preserve"> channel at 23:02 (~15.4 ppbv). It is unclear if this shape is due to a process in the heated quartz inlet of the TD-CRDS or if it is the result of a process within the converter, or a combination thereof. </w:t>
      </w:r>
    </w:p>
    <w:p>
      <w:pPr>
        <w:spacing w:line="360" w:lineRule="auto"/>
      </w:pPr>
      <w:r>
        <w:t>The NO</w:t>
      </w:r>
      <w:r>
        <w:rPr>
          <w:vertAlign w:val="subscript"/>
        </w:rPr>
        <w:t>y</w:t>
      </w:r>
      <w:r>
        <w:t xml:space="preserve"> signal observed during the photolysis period from 23:01 to 23:04 showed an initial decrease and a recovery qualitatively similar to what was observed in the NO</w:t>
      </w:r>
      <w:r>
        <w:rPr>
          <w:vertAlign w:val="subscript"/>
        </w:rPr>
        <w:t>2</w:t>
      </w:r>
      <w:r>
        <w:t>+HNO</w:t>
      </w:r>
      <w:r>
        <w:rPr>
          <w:vertAlign w:val="subscript"/>
        </w:rPr>
        <w:t>3</w:t>
      </w:r>
      <w:r>
        <w:t xml:space="preserve"> channel.  In contrast, the change in NO</w:t>
      </w:r>
      <w:r>
        <w:rPr>
          <w:vertAlign w:val="subscript"/>
        </w:rPr>
        <w:t>2</w:t>
      </w:r>
      <w:r>
        <w:t xml:space="preserve"> mixing ratio (by 12.9 ppbv), when the LEDs were switched on or off, was immediate and constant.</w:t>
      </w:r>
    </w:p>
    <w:p>
      <w:pPr>
        <w:spacing w:line="360" w:lineRule="auto"/>
      </w:pPr>
      <w:r>
        <w:t>When the source was taken offline at 23:13, HNO</w:t>
      </w:r>
      <w:r>
        <w:rPr>
          <w:vertAlign w:val="subscript"/>
        </w:rPr>
        <w:t>3</w:t>
      </w:r>
      <w:r>
        <w:t xml:space="preserve"> was still observed as it outgassed from the inner walls of the Teflon™ tubing. Most of this HNO</w:t>
      </w:r>
      <w:r>
        <w:rPr>
          <w:vertAlign w:val="subscript"/>
        </w:rPr>
        <w:t>3</w:t>
      </w:r>
      <w:r>
        <w:t xml:space="preserve"> originated from the transfer tubing between the calibration gas addition point and the flow restriction (as this region has a larger surface area); it is therefore likely that this concentration was also flowing through the converter. No other components of NO</w:t>
      </w:r>
      <w:r>
        <w:rPr>
          <w:vertAlign w:val="subscript"/>
        </w:rPr>
        <w:t>y</w:t>
      </w:r>
      <w:r>
        <w:t xml:space="preserve"> (e.g., NO, NO</w:t>
      </w:r>
      <w:r>
        <w:rPr>
          <w:vertAlign w:val="subscript"/>
        </w:rPr>
        <w:t>2</w:t>
      </w:r>
      <w:r>
        <w:t>, or HONO) would have been present during this time as they are all "better behaved" on Teflon™ tubing. At 23:15, the LEDs were turned on one more time, and an increase of 1.1 ppbv of NO</w:t>
      </w:r>
      <w:r>
        <w:rPr>
          <w:vertAlign w:val="subscript"/>
        </w:rPr>
        <w:t>x</w:t>
      </w:r>
      <w:r>
        <w:t xml:space="preserve"> was observed. The ratio of produced NO</w:t>
      </w:r>
      <w:r>
        <w:rPr>
          <w:vertAlign w:val="subscript"/>
        </w:rPr>
        <w:t>x</w:t>
      </w:r>
      <w:r>
        <w:t xml:space="preserve"> to gas-phase HNO</w:t>
      </w:r>
      <w:r>
        <w:rPr>
          <w:vertAlign w:val="subscript"/>
        </w:rPr>
        <w:t>3</w:t>
      </w:r>
      <w:r>
        <w:t xml:space="preserve"> was ~0.14 in this experiment. </w:t>
      </w:r>
    </w:p>
    <w:p>
      <w:pPr>
        <w:spacing w:line="360" w:lineRule="auto"/>
      </w:pPr>
      <w:r>
        <w:t>The experiment was repeated the following day with higher HNO</w:t>
      </w:r>
      <w:r>
        <w:rPr>
          <w:vertAlign w:val="subscript"/>
        </w:rPr>
        <w:t>3</w:t>
      </w:r>
      <w:r>
        <w:t xml:space="preserve"> mixing ratios (up to 28 ppbv). When the converter's LEDs were turned on, NO</w:t>
      </w:r>
      <w:r>
        <w:rPr>
          <w:vertAlign w:val="subscript"/>
        </w:rPr>
        <w:t>x</w:t>
      </w:r>
      <w:r>
        <w:t xml:space="preserve"> mixing ratios increased by up to 1.6 ppbv (ratio relative to HNO</w:t>
      </w:r>
      <w:r>
        <w:rPr>
          <w:vertAlign w:val="subscript"/>
        </w:rPr>
        <w:t>3</w:t>
      </w:r>
      <w:r>
        <w:t xml:space="preserve"> of ~0.06). This shows that the amount of NO</w:t>
      </w:r>
      <w:r>
        <w:rPr>
          <w:vertAlign w:val="subscript"/>
        </w:rPr>
        <w:t>x</w:t>
      </w:r>
      <w:r>
        <w:t xml:space="preserve"> produced does not scale with the gas-phase HNO</w:t>
      </w:r>
      <w:r>
        <w:rPr>
          <w:vertAlign w:val="subscript"/>
        </w:rPr>
        <w:t>3</w:t>
      </w:r>
      <w:r>
        <w:t xml:space="preserve"> concentration entering the photolysis cell and suggests that the observed NO</w:t>
      </w:r>
      <w:r>
        <w:rPr>
          <w:vertAlign w:val="subscript"/>
        </w:rPr>
        <w:t>x</w:t>
      </w:r>
      <w:r>
        <w:t xml:space="preserve"> was likely generated by a surface-driven process.</w:t>
      </w:r>
    </w:p>
    <w:p>
      <w:pPr>
        <w:spacing w:line="360" w:lineRule="auto"/>
      </w:pPr>
      <w:r>
        <w:br w:type="page"/>
      </w:r>
    </w:p>
    <w:p>
      <w:pPr>
        <w:spacing w:line="360" w:lineRule="auto"/>
      </w:pPr>
      <w:r>
        <w:lastRenderedPageBreak/>
        <w:t>References</w:t>
      </w:r>
    </w:p>
    <w:p>
      <w:pPr>
        <w:spacing w:line="360" w:lineRule="auto"/>
      </w:pPr>
    </w:p>
    <w:p>
      <w:pPr>
        <w:spacing w:line="360" w:lineRule="auto"/>
        <w:rPr>
          <w:noProof/>
        </w:rPr>
      </w:pPr>
      <w:r>
        <w:fldChar w:fldCharType="begin"/>
      </w:r>
      <w:r>
        <w:instrText xml:space="preserve"> ADDIN EN.REFLIST </w:instrText>
      </w:r>
      <w:r>
        <w:fldChar w:fldCharType="separate"/>
      </w:r>
      <w:bookmarkStart w:id="4" w:name="_ENREF_1"/>
      <w:r>
        <w:rPr>
          <w:noProof/>
        </w:rPr>
        <w:t>1.</w:t>
      </w:r>
      <w:r>
        <w:rPr>
          <w:noProof/>
        </w:rPr>
        <w:tab/>
        <w:t xml:space="preserve">Mielke, L. H.; Osthoff, H. D., On quantitative measurements of peroxycarboxylic nitric anhydride mixing ratios by thermal dissociation chemical ionization mass spectrometry. </w:t>
      </w:r>
      <w:r>
        <w:rPr>
          <w:i/>
          <w:noProof/>
        </w:rPr>
        <w:t xml:space="preserve">Int. J. Mass Spectrom. </w:t>
      </w:r>
      <w:r>
        <w:rPr>
          <w:b/>
          <w:noProof/>
        </w:rPr>
        <w:t>2012,</w:t>
      </w:r>
      <w:r>
        <w:rPr>
          <w:noProof/>
        </w:rPr>
        <w:t xml:space="preserve"> </w:t>
      </w:r>
      <w:r>
        <w:rPr>
          <w:i/>
          <w:noProof/>
        </w:rPr>
        <w:t>310</w:t>
      </w:r>
      <w:r>
        <w:rPr>
          <w:noProof/>
        </w:rPr>
        <w:t>, 1-9.</w:t>
      </w:r>
      <w:bookmarkEnd w:id="4"/>
    </w:p>
    <w:p>
      <w:pPr>
        <w:spacing w:line="360" w:lineRule="auto"/>
        <w:rPr>
          <w:noProof/>
        </w:rPr>
      </w:pPr>
      <w:bookmarkStart w:id="5" w:name="_ENREF_2"/>
      <w:r>
        <w:rPr>
          <w:noProof/>
        </w:rPr>
        <w:t>2.</w:t>
      </w:r>
      <w:r>
        <w:rPr>
          <w:noProof/>
        </w:rPr>
        <w:tab/>
        <w:t>Ye, C. Z. Development of Purge-and-Trap Sample Preconcentrator for Enhanced Detection of Alkyl Nitrates by Thermal Dissociation Cavity Ring-Down Spectroscopy. University of Calgary, http://hdl.handle.net/11023/3510, 10.5072/PRISM/25688, Calgary, 2016.</w:t>
      </w:r>
      <w:bookmarkEnd w:id="5"/>
    </w:p>
    <w:p>
      <w:pPr>
        <w:spacing w:line="360" w:lineRule="auto"/>
        <w:rPr>
          <w:noProof/>
        </w:rPr>
      </w:pPr>
      <w:bookmarkStart w:id="6" w:name="_ENREF_3"/>
      <w:r>
        <w:rPr>
          <w:noProof/>
        </w:rPr>
        <w:t>3.</w:t>
      </w:r>
      <w:r>
        <w:rPr>
          <w:noProof/>
        </w:rPr>
        <w:tab/>
        <w:t xml:space="preserve">Atkinson, R.; Baulch, D. L.; Cox, R. A.; Hampson, R. F.; Kerr, J. A.; Troe, J., Evaluated Kinetic And Photochemical Data For Atmospheric Chemistry.3. Iupac Subcommittee On Gas Kinetic Data Evaluation For Atmospheric Chemistry. </w:t>
      </w:r>
      <w:r>
        <w:rPr>
          <w:i/>
          <w:noProof/>
        </w:rPr>
        <w:t xml:space="preserve">J. Phys. Chem. Ref. Data </w:t>
      </w:r>
      <w:r>
        <w:rPr>
          <w:b/>
          <w:noProof/>
        </w:rPr>
        <w:t>1989,</w:t>
      </w:r>
      <w:r>
        <w:rPr>
          <w:noProof/>
        </w:rPr>
        <w:t xml:space="preserve"> </w:t>
      </w:r>
      <w:r>
        <w:rPr>
          <w:i/>
          <w:noProof/>
        </w:rPr>
        <w:t>18</w:t>
      </w:r>
      <w:r>
        <w:rPr>
          <w:noProof/>
        </w:rPr>
        <w:t xml:space="preserve"> (2), 881-1097.</w:t>
      </w:r>
      <w:bookmarkEnd w:id="6"/>
    </w:p>
    <w:p>
      <w:pPr>
        <w:spacing w:line="360" w:lineRule="auto"/>
        <w:rPr>
          <w:noProof/>
        </w:rPr>
      </w:pPr>
      <w:bookmarkStart w:id="7" w:name="_ENREF_4"/>
      <w:r>
        <w:rPr>
          <w:noProof/>
        </w:rPr>
        <w:t>4.</w:t>
      </w:r>
      <w:r>
        <w:rPr>
          <w:noProof/>
        </w:rPr>
        <w:tab/>
        <w:t xml:space="preserve">Burkholder, J. B.; Sander, S. P.; Abbatt, J. P. D.; Barker, J. R.; Huie, R. E.; Kolb, C. E.; Kurylo, M. J.; Orkin, V. L.; Wilmouth, D. M.; Wine, P. H., </w:t>
      </w:r>
      <w:r>
        <w:rPr>
          <w:i/>
          <w:noProof/>
        </w:rPr>
        <w:t>Chemical Kinetics and Photochemical Data for Use in Atmospheric Studies, Evaluation Number 18</w:t>
      </w:r>
      <w:r>
        <w:rPr>
          <w:noProof/>
        </w:rPr>
        <w:t>. National Aeronautics and Space Administration, Jet Propulsion Laboratory, California Institute of Technology: Pasadena, California, 2015.</w:t>
      </w:r>
      <w:bookmarkEnd w:id="7"/>
    </w:p>
    <w:p>
      <w:pPr>
        <w:spacing w:line="360" w:lineRule="auto"/>
        <w:rPr>
          <w:noProof/>
        </w:rPr>
      </w:pPr>
      <w:bookmarkStart w:id="8" w:name="_ENREF_5"/>
      <w:r>
        <w:rPr>
          <w:noProof/>
        </w:rPr>
        <w:t>5.</w:t>
      </w:r>
      <w:r>
        <w:rPr>
          <w:noProof/>
        </w:rPr>
        <w:tab/>
        <w:t>Atkinson, R.; Baulch, D. L.; Cox, R. A.; Crowley, J. N.; Hampson, R. F.; Hynes, R. G.; Jenkin, M. E.; Rossi, M. J.; Troe, J., Evaluated kinetic and photochemical data for atmospheric chemistry: Volume I - gas phase reactions of O</w:t>
      </w:r>
      <w:r>
        <w:rPr>
          <w:noProof/>
          <w:vertAlign w:val="subscript"/>
        </w:rPr>
        <w:t>x</w:t>
      </w:r>
      <w:r>
        <w:rPr>
          <w:noProof/>
        </w:rPr>
        <w:t>, HO</w:t>
      </w:r>
      <w:r>
        <w:rPr>
          <w:noProof/>
          <w:vertAlign w:val="subscript"/>
        </w:rPr>
        <w:t>x</w:t>
      </w:r>
      <w:r>
        <w:rPr>
          <w:noProof/>
        </w:rPr>
        <w:t>, NO</w:t>
      </w:r>
      <w:r>
        <w:rPr>
          <w:noProof/>
          <w:vertAlign w:val="subscript"/>
        </w:rPr>
        <w:t>x</w:t>
      </w:r>
      <w:r>
        <w:rPr>
          <w:noProof/>
        </w:rPr>
        <w:t xml:space="preserve"> and SO</w:t>
      </w:r>
      <w:r>
        <w:rPr>
          <w:noProof/>
          <w:vertAlign w:val="subscript"/>
        </w:rPr>
        <w:t>x</w:t>
      </w:r>
      <w:r>
        <w:rPr>
          <w:noProof/>
        </w:rPr>
        <w:t xml:space="preserve"> species. </w:t>
      </w:r>
      <w:r>
        <w:rPr>
          <w:i/>
          <w:noProof/>
        </w:rPr>
        <w:t xml:space="preserve">Atmos. Chem. Phys. </w:t>
      </w:r>
      <w:r>
        <w:rPr>
          <w:b/>
          <w:noProof/>
        </w:rPr>
        <w:t>2004,</w:t>
      </w:r>
      <w:r>
        <w:rPr>
          <w:noProof/>
        </w:rPr>
        <w:t xml:space="preserve"> </w:t>
      </w:r>
      <w:r>
        <w:rPr>
          <w:i/>
          <w:noProof/>
        </w:rPr>
        <w:t>4</w:t>
      </w:r>
      <w:r>
        <w:rPr>
          <w:noProof/>
        </w:rPr>
        <w:t>, 1461-1738.</w:t>
      </w:r>
      <w:bookmarkEnd w:id="8"/>
    </w:p>
    <w:p>
      <w:pPr>
        <w:spacing w:line="360" w:lineRule="auto"/>
        <w:rPr>
          <w:noProof/>
        </w:rPr>
      </w:pPr>
      <w:bookmarkStart w:id="9" w:name="_ENREF_6"/>
      <w:r>
        <w:rPr>
          <w:noProof/>
        </w:rPr>
        <w:t>6.</w:t>
      </w:r>
      <w:r>
        <w:rPr>
          <w:noProof/>
        </w:rPr>
        <w:tab/>
        <w:t xml:space="preserve">England, C.; Corcoran, W. H., The Rate and Mechanism of the Air Oxidation of Parts-per-Million Concentrations of Nitric Oxide in the Presence of Water Vapor. </w:t>
      </w:r>
      <w:r>
        <w:rPr>
          <w:i/>
          <w:noProof/>
        </w:rPr>
        <w:t xml:space="preserve">Ind. Eng. Chem. Fundamen. </w:t>
      </w:r>
      <w:r>
        <w:rPr>
          <w:b/>
          <w:noProof/>
        </w:rPr>
        <w:t>1975,</w:t>
      </w:r>
      <w:r>
        <w:rPr>
          <w:noProof/>
        </w:rPr>
        <w:t xml:space="preserve"> </w:t>
      </w:r>
      <w:r>
        <w:rPr>
          <w:i/>
          <w:noProof/>
        </w:rPr>
        <w:t>14</w:t>
      </w:r>
      <w:r>
        <w:rPr>
          <w:noProof/>
        </w:rPr>
        <w:t xml:space="preserve"> (1), 55-63.</w:t>
      </w:r>
      <w:bookmarkEnd w:id="9"/>
    </w:p>
    <w:p>
      <w:pPr>
        <w:spacing w:line="360" w:lineRule="auto"/>
        <w:rPr>
          <w:noProof/>
        </w:rPr>
      </w:pPr>
      <w:bookmarkStart w:id="10" w:name="_ENREF_7"/>
      <w:r>
        <w:rPr>
          <w:noProof/>
        </w:rPr>
        <w:t>7.</w:t>
      </w:r>
      <w:r>
        <w:rPr>
          <w:noProof/>
        </w:rPr>
        <w:tab/>
        <w:t>Wild, R. J.; Edwards, P. M.; Dube, W. P.; Baumann, K.; Edgerton, E. S.; Quinn, P. K.; Roberts, J. M.; Rollins, A. W.; Veres, P. R.; Warneke, C.; Williams, E. J.; Yuan, B.; Brown, S. S., A Measurement of Total Reactive Nitrogen, NO</w:t>
      </w:r>
      <w:r>
        <w:rPr>
          <w:noProof/>
          <w:vertAlign w:val="subscript"/>
        </w:rPr>
        <w:t>y</w:t>
      </w:r>
      <w:r>
        <w:rPr>
          <w:noProof/>
        </w:rPr>
        <w:t>, together with NO</w:t>
      </w:r>
      <w:r>
        <w:rPr>
          <w:noProof/>
          <w:vertAlign w:val="subscript"/>
        </w:rPr>
        <w:t>2</w:t>
      </w:r>
      <w:r>
        <w:rPr>
          <w:noProof/>
        </w:rPr>
        <w:t>, NO, and O</w:t>
      </w:r>
      <w:r>
        <w:rPr>
          <w:noProof/>
          <w:vertAlign w:val="subscript"/>
        </w:rPr>
        <w:t>3</w:t>
      </w:r>
      <w:r>
        <w:rPr>
          <w:noProof/>
        </w:rPr>
        <w:t xml:space="preserve"> via Cavity Ring-down Spectroscopy. </w:t>
      </w:r>
      <w:r>
        <w:rPr>
          <w:i/>
          <w:noProof/>
        </w:rPr>
        <w:t xml:space="preserve">Environm. Sci. Technol. </w:t>
      </w:r>
      <w:r>
        <w:rPr>
          <w:b/>
          <w:noProof/>
        </w:rPr>
        <w:t>2014,</w:t>
      </w:r>
      <w:r>
        <w:rPr>
          <w:noProof/>
        </w:rPr>
        <w:t xml:space="preserve"> </w:t>
      </w:r>
      <w:r>
        <w:rPr>
          <w:i/>
          <w:noProof/>
        </w:rPr>
        <w:t>48</w:t>
      </w:r>
      <w:r>
        <w:rPr>
          <w:noProof/>
        </w:rPr>
        <w:t xml:space="preserve"> (16), 9609-9615.</w:t>
      </w:r>
      <w:bookmarkEnd w:id="10"/>
    </w:p>
    <w:p>
      <w:pPr>
        <w:spacing w:line="360" w:lineRule="auto"/>
        <w:rPr>
          <w:noProof/>
        </w:rPr>
      </w:pPr>
      <w:bookmarkStart w:id="11" w:name="_ENREF_8"/>
      <w:r>
        <w:rPr>
          <w:noProof/>
        </w:rPr>
        <w:t>8.</w:t>
      </w:r>
      <w:r>
        <w:rPr>
          <w:noProof/>
        </w:rPr>
        <w:tab/>
        <w:t>Reed, C.; Evans, M. J.; Di Carlo, P.; Lee, J. D.; Carpenter, L. J., Interferences in photolytic NO</w:t>
      </w:r>
      <w:r>
        <w:rPr>
          <w:noProof/>
          <w:vertAlign w:val="subscript"/>
        </w:rPr>
        <w:t>2</w:t>
      </w:r>
      <w:r>
        <w:rPr>
          <w:noProof/>
        </w:rPr>
        <w:t xml:space="preserve"> measurements: explanation for an apparent missing oxidant? </w:t>
      </w:r>
      <w:r>
        <w:rPr>
          <w:i/>
          <w:noProof/>
        </w:rPr>
        <w:t xml:space="preserve">Atmos. Chem. Phys. </w:t>
      </w:r>
      <w:r>
        <w:rPr>
          <w:b/>
          <w:noProof/>
        </w:rPr>
        <w:t>2016,</w:t>
      </w:r>
      <w:r>
        <w:rPr>
          <w:noProof/>
        </w:rPr>
        <w:t xml:space="preserve"> </w:t>
      </w:r>
      <w:r>
        <w:rPr>
          <w:i/>
          <w:noProof/>
        </w:rPr>
        <w:t>16</w:t>
      </w:r>
      <w:r>
        <w:rPr>
          <w:noProof/>
        </w:rPr>
        <w:t xml:space="preserve"> (7), 4707-4724.</w:t>
      </w:r>
      <w:bookmarkEnd w:id="11"/>
    </w:p>
    <w:p>
      <w:pPr>
        <w:spacing w:line="360" w:lineRule="auto"/>
        <w:rPr>
          <w:noProof/>
        </w:rPr>
      </w:pPr>
      <w:bookmarkStart w:id="12" w:name="_ENREF_9"/>
      <w:r>
        <w:rPr>
          <w:noProof/>
        </w:rPr>
        <w:lastRenderedPageBreak/>
        <w:t>9.</w:t>
      </w:r>
      <w:r>
        <w:rPr>
          <w:noProof/>
        </w:rPr>
        <w:tab/>
        <w:t xml:space="preserve">Paul, D.; Osthoff, H. D., Absolute Measurements of Total Peroxy Nitrate Mixing Ratios by Thermal Dissociation Blue Diode Laser Cavity Ring-Down Spectroscopy. </w:t>
      </w:r>
      <w:r>
        <w:rPr>
          <w:i/>
          <w:noProof/>
        </w:rPr>
        <w:t xml:space="preserve">Anal. Chem. </w:t>
      </w:r>
      <w:r>
        <w:rPr>
          <w:b/>
          <w:noProof/>
        </w:rPr>
        <w:t>2010,</w:t>
      </w:r>
      <w:r>
        <w:rPr>
          <w:noProof/>
        </w:rPr>
        <w:t xml:space="preserve"> </w:t>
      </w:r>
      <w:r>
        <w:rPr>
          <w:i/>
          <w:noProof/>
        </w:rPr>
        <w:t>82</w:t>
      </w:r>
      <w:r>
        <w:rPr>
          <w:noProof/>
        </w:rPr>
        <w:t xml:space="preserve"> (15), 6695-6703.</w:t>
      </w:r>
      <w:bookmarkEnd w:id="12"/>
    </w:p>
    <w:p>
      <w:pPr>
        <w:spacing w:line="360" w:lineRule="auto"/>
        <w:rPr>
          <w:noProof/>
        </w:rPr>
      </w:pPr>
      <w:bookmarkStart w:id="13" w:name="_ENREF_10"/>
      <w:r>
        <w:rPr>
          <w:noProof/>
        </w:rPr>
        <w:t>10.</w:t>
      </w:r>
      <w:r>
        <w:rPr>
          <w:noProof/>
        </w:rPr>
        <w:tab/>
        <w:t xml:space="preserve">Kabir, M.; Jagiella, S.; Zabel, F., Thermal Stability of n-Acyl Peroxynitrates. </w:t>
      </w:r>
      <w:r>
        <w:rPr>
          <w:i/>
          <w:noProof/>
        </w:rPr>
        <w:t xml:space="preserve">Internat. J. Chem. Kin. </w:t>
      </w:r>
      <w:r>
        <w:rPr>
          <w:b/>
          <w:noProof/>
        </w:rPr>
        <w:t>2014,</w:t>
      </w:r>
      <w:r>
        <w:rPr>
          <w:noProof/>
        </w:rPr>
        <w:t xml:space="preserve"> </w:t>
      </w:r>
      <w:r>
        <w:rPr>
          <w:i/>
          <w:noProof/>
        </w:rPr>
        <w:t>46</w:t>
      </w:r>
      <w:r>
        <w:rPr>
          <w:noProof/>
        </w:rPr>
        <w:t xml:space="preserve"> (8), 462-469.</w:t>
      </w:r>
      <w:bookmarkEnd w:id="13"/>
    </w:p>
    <w:p>
      <w:pPr>
        <w:spacing w:line="360" w:lineRule="auto"/>
        <w:rPr>
          <w:noProof/>
        </w:rPr>
      </w:pPr>
    </w:p>
    <w:p>
      <w:pPr>
        <w:spacing w:line="360" w:lineRule="auto"/>
      </w:pPr>
      <w:r>
        <w:fldChar w:fldCharType="end"/>
      </w:r>
      <w:bookmarkStart w:id="14" w:name="_GoBack"/>
      <w:bookmarkEnd w:id="14"/>
    </w:p>
    <w:sectPr>
      <w:footerReference w:type="default" r:id="rId14"/>
      <w:pgSz w:w="12240" w:h="15840" w:code="1"/>
      <w:pgMar w:top="1440" w:right="1440" w:bottom="1440" w:left="1440" w:header="80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4531736"/>
      <w:docPartObj>
        <w:docPartGallery w:val="Page Numbers (Bottom of Page)"/>
        <w:docPartUnique/>
      </w:docPartObj>
    </w:sdtPr>
    <w:sdtEndPr>
      <w:rPr>
        <w:noProof/>
      </w:rPr>
    </w:sdtEndPr>
    <w:sdtContent>
      <w:p>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25899"/>
    <w:multiLevelType w:val="multilevel"/>
    <w:tmpl w:val="522A7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7BD3BF5"/>
    <w:multiLevelType w:val="hybridMultilevel"/>
    <w:tmpl w:val="5CC0CBF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4D7426FA"/>
    <w:multiLevelType w:val="hybridMultilevel"/>
    <w:tmpl w:val="E83855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3213E4C"/>
    <w:multiLevelType w:val="hybridMultilevel"/>
    <w:tmpl w:val="DF02CEC4"/>
    <w:lvl w:ilvl="0" w:tplc="E6A01A08">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7F355671"/>
    <w:multiLevelType w:val="hybridMultilevel"/>
    <w:tmpl w:val="28E064D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0&lt;/ScanUnformatted&gt;&lt;ScanChanges&gt;0&lt;/ScanChanges&gt;&lt;Suspended&gt;0&lt;/Suspended&gt;&lt;/ENInstantFormat&gt;"/>
    <w:docVar w:name="EN.Layout" w:val="&lt;ENLayout&gt;&lt;Style&gt;J Air Waste Manage Assoc&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952ffrrvyzt5pcepatvvdz2zvw0da2px2dft&quot;&gt;Hans Main&lt;record-ids&gt;&lt;item&gt;144&lt;/item&gt;&lt;item&gt;648&lt;/item&gt;&lt;item&gt;2265&lt;/item&gt;&lt;item&gt;2962&lt;/item&gt;&lt;item&gt;3655&lt;/item&gt;&lt;item&gt;3799&lt;/item&gt;&lt;item&gt;4340&lt;/item&gt;&lt;item&gt;4472&lt;/item&gt;&lt;item&gt;4534&lt;/item&gt;&lt;item&gt;4989&lt;/item&gt;&lt;/record-ids&gt;&lt;/item&gt;&lt;/Libraries&gt;"/>
  </w:docVar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B0BA45BF-AA5D-4743-A0F7-344643B0C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style>
  <w:style w:type="character" w:styleId="Hyperlink">
    <w:name w:val="Hyperlink"/>
    <w:uiPriority w:val="99"/>
    <w:rPr>
      <w:color w:val="0000FF"/>
      <w:u w:val="single"/>
    </w:rPr>
  </w:style>
  <w:style w:type="paragraph" w:styleId="NormalWeb">
    <w:name w:val="Normal (Web)"/>
    <w:basedOn w:val="Normal"/>
    <w:pPr>
      <w:spacing w:before="100" w:beforeAutospacing="1" w:after="100" w:afterAutospacing="1"/>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Pr>
      <w:rFonts w:ascii="Consolas" w:eastAsia="Calibri" w:hAnsi="Consolas"/>
      <w:sz w:val="21"/>
      <w:szCs w:val="21"/>
      <w:lang w:val="x-none" w:eastAsia="x-none"/>
    </w:rPr>
  </w:style>
  <w:style w:type="character" w:customStyle="1" w:styleId="PlainTextChar">
    <w:name w:val="Plain Text Char"/>
    <w:link w:val="PlainText"/>
    <w:uiPriority w:val="99"/>
    <w:rPr>
      <w:rFonts w:ascii="Consolas" w:eastAsia="Calibri" w:hAnsi="Consolas" w:cs="Consolas"/>
      <w:sz w:val="21"/>
      <w:szCs w:val="21"/>
    </w:rPr>
  </w:style>
  <w:style w:type="character" w:styleId="CommentReference">
    <w:name w:val="annotation reference"/>
    <w:rPr>
      <w:sz w:val="16"/>
      <w:szCs w:val="16"/>
    </w:rPr>
  </w:style>
  <w:style w:type="paragraph" w:styleId="CommentText">
    <w:name w:val="annotation text"/>
    <w:basedOn w:val="Normal"/>
    <w:link w:val="CommentTextChar"/>
    <w:rPr>
      <w:sz w:val="20"/>
      <w:szCs w:val="20"/>
    </w:rPr>
  </w:style>
  <w:style w:type="character" w:customStyle="1" w:styleId="CommentTextChar">
    <w:name w:val="Comment Text Char"/>
    <w:basedOn w:val="DefaultParagraphFont"/>
    <w:link w:val="CommentText"/>
  </w:style>
  <w:style w:type="paragraph" w:styleId="CommentSubject">
    <w:name w:val="annotation subject"/>
    <w:basedOn w:val="CommentText"/>
    <w:next w:val="CommentText"/>
    <w:link w:val="CommentSubjectChar"/>
    <w:rPr>
      <w:b/>
      <w:bCs/>
      <w:lang w:val="x-none" w:eastAsia="x-none"/>
    </w:rPr>
  </w:style>
  <w:style w:type="character" w:customStyle="1" w:styleId="CommentSubjectChar">
    <w:name w:val="Comment Subject Char"/>
    <w:link w:val="CommentSubject"/>
    <w:rPr>
      <w:b/>
      <w:bCs/>
    </w:rPr>
  </w:style>
  <w:style w:type="paragraph" w:styleId="BalloonText">
    <w:name w:val="Balloon Text"/>
    <w:basedOn w:val="Normal"/>
    <w:link w:val="BalloonTextChar"/>
    <w:rPr>
      <w:rFonts w:ascii="Tahoma" w:hAnsi="Tahoma"/>
      <w:sz w:val="16"/>
      <w:szCs w:val="16"/>
      <w:lang w:val="x-none" w:eastAsia="x-none"/>
    </w:rPr>
  </w:style>
  <w:style w:type="character" w:customStyle="1" w:styleId="BalloonTextChar">
    <w:name w:val="Balloon Text Char"/>
    <w:link w:val="BalloonText"/>
    <w:rPr>
      <w:rFonts w:ascii="Tahoma" w:hAnsi="Tahoma" w:cs="Tahoma"/>
      <w:sz w:val="16"/>
      <w:szCs w:val="16"/>
    </w:rPr>
  </w:style>
  <w:style w:type="paragraph" w:customStyle="1" w:styleId="Style1">
    <w:name w:val="Style1"/>
    <w:basedOn w:val="Normal"/>
    <w:qFormat/>
    <w:pPr>
      <w:spacing w:line="360" w:lineRule="auto"/>
      <w:jc w:val="both"/>
    </w:pPr>
    <w:rPr>
      <w:sz w:val="22"/>
      <w:szCs w:val="22"/>
      <w:lang w:val="en-GB" w:eastAsia="de-DE"/>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styleId="PlaceholderText">
    <w:name w:val="Placeholder Text"/>
    <w:basedOn w:val="DefaultParagraphFont"/>
    <w:uiPriority w:val="99"/>
    <w:semiHidden/>
    <w:rPr>
      <w:color w:val="808080"/>
    </w:rPr>
  </w:style>
  <w:style w:type="paragraph" w:styleId="Revision">
    <w:name w:val="Revision"/>
    <w:hidden/>
    <w:uiPriority w:val="99"/>
    <w:semiHidden/>
    <w:rPr>
      <w:sz w:val="24"/>
      <w:szCs w:val="24"/>
    </w:rPr>
  </w:style>
  <w:style w:type="character" w:styleId="UnresolvedMention">
    <w:name w:val="Unresolved Mention"/>
    <w:basedOn w:val="DefaultParagraphFont"/>
    <w:uiPriority w:val="99"/>
    <w:semiHidden/>
    <w:unhideWhenUsed/>
    <w:rPr>
      <w:color w:val="605E5C"/>
      <w:shd w:val="clear" w:color="auto" w:fill="E1DFDD"/>
    </w:rPr>
  </w:style>
  <w:style w:type="paragraph" w:styleId="Header">
    <w:name w:val="header"/>
    <w:basedOn w:val="Normal"/>
    <w:link w:val="HeaderChar"/>
    <w:pPr>
      <w:tabs>
        <w:tab w:val="center" w:pos="4680"/>
        <w:tab w:val="right" w:pos="9360"/>
      </w:tabs>
    </w:pPr>
  </w:style>
  <w:style w:type="character" w:customStyle="1" w:styleId="HeaderChar">
    <w:name w:val="Header Char"/>
    <w:basedOn w:val="DefaultParagraphFont"/>
    <w:link w:val="Header"/>
    <w:rPr>
      <w:sz w:val="24"/>
      <w:szCs w:val="24"/>
    </w:rPr>
  </w:style>
  <w:style w:type="paragraph" w:styleId="Footer">
    <w:name w:val="footer"/>
    <w:basedOn w:val="Normal"/>
    <w:link w:val="FooterChar"/>
    <w:uiPriority w:val="99"/>
    <w:pPr>
      <w:tabs>
        <w:tab w:val="center" w:pos="4680"/>
        <w:tab w:val="right" w:pos="9360"/>
      </w:tabs>
    </w:pPr>
  </w:style>
  <w:style w:type="character" w:customStyle="1" w:styleId="FooterChar">
    <w:name w:val="Footer Char"/>
    <w:basedOn w:val="DefaultParagraphFont"/>
    <w:link w:val="Footer"/>
    <w:uiPriority w:val="9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254864">
      <w:bodyDiv w:val="1"/>
      <w:marLeft w:val="0"/>
      <w:marRight w:val="0"/>
      <w:marTop w:val="0"/>
      <w:marBottom w:val="0"/>
      <w:divBdr>
        <w:top w:val="none" w:sz="0" w:space="0" w:color="auto"/>
        <w:left w:val="none" w:sz="0" w:space="0" w:color="auto"/>
        <w:bottom w:val="none" w:sz="0" w:space="0" w:color="auto"/>
        <w:right w:val="none" w:sz="0" w:space="0" w:color="auto"/>
      </w:divBdr>
    </w:div>
    <w:div w:id="256252053">
      <w:bodyDiv w:val="1"/>
      <w:marLeft w:val="0"/>
      <w:marRight w:val="0"/>
      <w:marTop w:val="0"/>
      <w:marBottom w:val="0"/>
      <w:divBdr>
        <w:top w:val="none" w:sz="0" w:space="0" w:color="auto"/>
        <w:left w:val="none" w:sz="0" w:space="0" w:color="auto"/>
        <w:bottom w:val="none" w:sz="0" w:space="0" w:color="auto"/>
        <w:right w:val="none" w:sz="0" w:space="0" w:color="auto"/>
      </w:divBdr>
      <w:divsChild>
        <w:div w:id="6716142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3946304">
      <w:bodyDiv w:val="1"/>
      <w:marLeft w:val="0"/>
      <w:marRight w:val="0"/>
      <w:marTop w:val="0"/>
      <w:marBottom w:val="0"/>
      <w:divBdr>
        <w:top w:val="none" w:sz="0" w:space="0" w:color="auto"/>
        <w:left w:val="none" w:sz="0" w:space="0" w:color="auto"/>
        <w:bottom w:val="none" w:sz="0" w:space="0" w:color="auto"/>
        <w:right w:val="none" w:sz="0" w:space="0" w:color="auto"/>
      </w:divBdr>
    </w:div>
    <w:div w:id="760376874">
      <w:bodyDiv w:val="1"/>
      <w:marLeft w:val="0"/>
      <w:marRight w:val="0"/>
      <w:marTop w:val="0"/>
      <w:marBottom w:val="0"/>
      <w:divBdr>
        <w:top w:val="none" w:sz="0" w:space="0" w:color="auto"/>
        <w:left w:val="none" w:sz="0" w:space="0" w:color="auto"/>
        <w:bottom w:val="none" w:sz="0" w:space="0" w:color="auto"/>
        <w:right w:val="none" w:sz="0" w:space="0" w:color="auto"/>
      </w:divBdr>
    </w:div>
    <w:div w:id="1390417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osthoff@ucalgary.ca"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097ED8-B5F6-46D2-902C-54AE2B798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1</Pages>
  <Words>8968</Words>
  <Characters>51120</Characters>
  <Application>Microsoft Office Word</Application>
  <DocSecurity>0</DocSecurity>
  <Lines>426</Lines>
  <Paragraphs>119</Paragraphs>
  <ScaleCrop>false</ScaleCrop>
  <HeadingPairs>
    <vt:vector size="2" baseType="variant">
      <vt:variant>
        <vt:lpstr>Title</vt:lpstr>
      </vt:variant>
      <vt:variant>
        <vt:i4>1</vt:i4>
      </vt:variant>
    </vt:vector>
  </HeadingPairs>
  <TitlesOfParts>
    <vt:vector size="1" baseType="lpstr">
      <vt:lpstr>(Text example)</vt:lpstr>
    </vt:vector>
  </TitlesOfParts>
  <Company>A&amp;WMA</Company>
  <LinksUpToDate>false</LinksUpToDate>
  <CharactersWithSpaces>59969</CharactersWithSpaces>
  <SharedDoc>false</SharedDoc>
  <HLinks>
    <vt:vector size="12" baseType="variant">
      <vt:variant>
        <vt:i4>2949127</vt:i4>
      </vt:variant>
      <vt:variant>
        <vt:i4>3</vt:i4>
      </vt:variant>
      <vt:variant>
        <vt:i4>0</vt:i4>
      </vt:variant>
      <vt:variant>
        <vt:i4>5</vt:i4>
      </vt:variant>
      <vt:variant>
        <vt:lpwstr>mailto:nbernheisel@awma.org</vt:lpwstr>
      </vt:variant>
      <vt:variant>
        <vt:lpwstr/>
      </vt:variant>
      <vt:variant>
        <vt:i4>4784208</vt:i4>
      </vt:variant>
      <vt:variant>
        <vt:i4>0</vt:i4>
      </vt:variant>
      <vt:variant>
        <vt:i4>0</vt:i4>
      </vt:variant>
      <vt:variant>
        <vt:i4>5</vt:i4>
      </vt:variant>
      <vt:variant>
        <vt:lpwstr>http://www.awma.org/publications/journal/submit-a-manuscript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(Text example)</dc:title>
  <dc:subject/>
  <dc:creator>nbernheisel</dc:creator>
  <cp:keywords/>
  <cp:lastModifiedBy>Hans Osthoff</cp:lastModifiedBy>
  <cp:revision>19</cp:revision>
  <cp:lastPrinted>2019-10-14T16:39:00Z</cp:lastPrinted>
  <dcterms:created xsi:type="dcterms:W3CDTF">2020-03-04T16:45:00Z</dcterms:created>
  <dcterms:modified xsi:type="dcterms:W3CDTF">2020-04-17T18:27:00Z</dcterms:modified>
</cp:coreProperties>
</file>