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B2" w:rsidRPr="000600B6" w:rsidRDefault="004E6FB2" w:rsidP="004E6F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0B6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4E6FB2" w:rsidRPr="00E51666" w:rsidRDefault="004E6FB2" w:rsidP="004E6FB2">
      <w:pPr>
        <w:spacing w:line="240" w:lineRule="auto"/>
        <w:rPr>
          <w:rFonts w:ascii="Times New Roman" w:hAnsi="Times New Roman" w:cs="Times New Roman"/>
          <w:b/>
        </w:rPr>
      </w:pPr>
      <w:r w:rsidRPr="00E51666">
        <w:rPr>
          <w:rFonts w:ascii="Times New Roman" w:hAnsi="Times New Roman" w:cs="Times New Roman"/>
        </w:rPr>
        <w:t>Supplemental Table 1. Characteristics of major bleeding events in patients with venous thromboembolism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2551"/>
      </w:tblGrid>
      <w:tr w:rsidR="004E6FB2" w:rsidRPr="00E51666" w:rsidTr="009279F8"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Major bleeding site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% (n)</w:t>
            </w:r>
          </w:p>
        </w:tc>
      </w:tr>
      <w:tr w:rsidR="004E6FB2" w:rsidRPr="00E51666" w:rsidTr="009279F8"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   Gastrointestinal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36 (20)</w:t>
            </w:r>
          </w:p>
        </w:tc>
      </w:tr>
      <w:tr w:rsidR="004E6FB2" w:rsidRPr="00E51666" w:rsidTr="009279F8">
        <w:tc>
          <w:tcPr>
            <w:tcW w:w="4395" w:type="dxa"/>
            <w:tcBorders>
              <w:top w:val="nil"/>
            </w:tcBorders>
            <w:vAlign w:val="center"/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   Intracranial</w:t>
            </w:r>
          </w:p>
        </w:tc>
        <w:tc>
          <w:tcPr>
            <w:tcW w:w="1134" w:type="dxa"/>
            <w:tcBorders>
              <w:top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18 (10)</w:t>
            </w:r>
          </w:p>
        </w:tc>
      </w:tr>
      <w:tr w:rsidR="004E6FB2" w:rsidRPr="00E51666" w:rsidTr="009279F8">
        <w:tc>
          <w:tcPr>
            <w:tcW w:w="4395" w:type="dxa"/>
            <w:vAlign w:val="center"/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   Intramuscular/compartment syndrome</w:t>
            </w:r>
          </w:p>
        </w:tc>
        <w:tc>
          <w:tcPr>
            <w:tcW w:w="1134" w:type="dxa"/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15 (8)</w:t>
            </w:r>
          </w:p>
        </w:tc>
      </w:tr>
      <w:tr w:rsidR="004E6FB2" w:rsidRPr="00E51666" w:rsidTr="009279F8">
        <w:tc>
          <w:tcPr>
            <w:tcW w:w="4395" w:type="dxa"/>
            <w:tcBorders>
              <w:bottom w:val="nil"/>
            </w:tcBorders>
            <w:vAlign w:val="center"/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   Urogenital </w:t>
            </w:r>
          </w:p>
        </w:tc>
        <w:tc>
          <w:tcPr>
            <w:tcW w:w="1134" w:type="dxa"/>
            <w:tcBorders>
              <w:bottom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13 (7)</w:t>
            </w:r>
          </w:p>
        </w:tc>
      </w:tr>
      <w:tr w:rsidR="004E6FB2" w:rsidRPr="00E51666" w:rsidTr="009279F8">
        <w:tc>
          <w:tcPr>
            <w:tcW w:w="4395" w:type="dxa"/>
            <w:tcBorders>
              <w:bottom w:val="nil"/>
            </w:tcBorders>
            <w:vAlign w:val="center"/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   Retroperitoneal</w:t>
            </w:r>
          </w:p>
        </w:tc>
        <w:tc>
          <w:tcPr>
            <w:tcW w:w="1134" w:type="dxa"/>
            <w:tcBorders>
              <w:bottom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5 (3)</w:t>
            </w:r>
          </w:p>
        </w:tc>
      </w:tr>
      <w:tr w:rsidR="004E6FB2" w:rsidRPr="00E51666" w:rsidTr="009279F8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   Other*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13 (7)</w:t>
            </w:r>
          </w:p>
        </w:tc>
      </w:tr>
      <w:tr w:rsidR="004E6FB2" w:rsidRPr="00E51666" w:rsidTr="009279F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ISTH major bleeding criteria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FB2" w:rsidRPr="00E51666" w:rsidTr="009279F8"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   Fatal </w:t>
            </w:r>
            <w:proofErr w:type="spellStart"/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bleeding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5 (3)</w:t>
            </w:r>
          </w:p>
        </w:tc>
      </w:tr>
      <w:tr w:rsidR="004E6FB2" w:rsidRPr="00E51666" w:rsidTr="009279F8"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   Critical area or </w:t>
            </w:r>
            <w:proofErr w:type="spellStart"/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organ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40 (22)</w:t>
            </w:r>
          </w:p>
        </w:tc>
      </w:tr>
      <w:tr w:rsidR="004E6FB2" w:rsidRPr="00E51666" w:rsidTr="009279F8">
        <w:tc>
          <w:tcPr>
            <w:tcW w:w="55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E6FB2" w:rsidRPr="00E51666" w:rsidRDefault="004E6FB2" w:rsidP="009279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   Blood </w:t>
            </w:r>
            <w:proofErr w:type="spellStart"/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transfusion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  <w:proofErr w:type="spellEnd"/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 ± hemoglobin </w:t>
            </w:r>
            <w:proofErr w:type="spellStart"/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fall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E6FB2" w:rsidRPr="00E51666" w:rsidRDefault="004E6FB2" w:rsidP="009279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55 (30)</w:t>
            </w:r>
          </w:p>
        </w:tc>
      </w:tr>
    </w:tbl>
    <w:p w:rsidR="004E6FB2" w:rsidRPr="00E51666" w:rsidRDefault="004E6FB2" w:rsidP="004E6FB2">
      <w:pPr>
        <w:spacing w:line="240" w:lineRule="auto"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 xml:space="preserve">ISTH, International Society on Thrombosis and </w:t>
      </w:r>
      <w:proofErr w:type="spellStart"/>
      <w:r w:rsidRPr="00E51666">
        <w:rPr>
          <w:rFonts w:ascii="Times New Roman" w:hAnsi="Times New Roman" w:cs="Times New Roman"/>
        </w:rPr>
        <w:t>Haemostasis</w:t>
      </w:r>
      <w:proofErr w:type="spellEnd"/>
      <w:r w:rsidRPr="00E51666">
        <w:rPr>
          <w:rFonts w:ascii="Times New Roman" w:hAnsi="Times New Roman" w:cs="Times New Roman"/>
        </w:rPr>
        <w:t>.</w:t>
      </w:r>
    </w:p>
    <w:p w:rsidR="004E6FB2" w:rsidRPr="00E51666" w:rsidRDefault="004E6FB2" w:rsidP="004E6FB2">
      <w:pPr>
        <w:spacing w:line="240" w:lineRule="auto"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 xml:space="preserve">*Pericardial, intra-abdominal and subcutaneous/intramuscular/hematoma. </w:t>
      </w:r>
    </w:p>
    <w:p w:rsidR="004E6FB2" w:rsidRPr="00E51666" w:rsidRDefault="004E6FB2" w:rsidP="004E6F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a</w:t>
      </w:r>
      <w:r w:rsidRPr="00E51666">
        <w:rPr>
          <w:rFonts w:ascii="Times New Roman" w:hAnsi="Times New Roman" w:cs="Times New Roman"/>
        </w:rPr>
        <w:t>Fatal</w:t>
      </w:r>
      <w:proofErr w:type="spellEnd"/>
      <w:r w:rsidRPr="00E51666">
        <w:rPr>
          <w:rFonts w:ascii="Times New Roman" w:hAnsi="Times New Roman" w:cs="Times New Roman"/>
        </w:rPr>
        <w:t xml:space="preserve"> outcome within one week after major bleeding, without other specified cause of death.</w:t>
      </w:r>
    </w:p>
    <w:p w:rsidR="004E6FB2" w:rsidRPr="00E51666" w:rsidRDefault="004E6FB2" w:rsidP="004E6F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b</w:t>
      </w:r>
      <w:r w:rsidRPr="00E51666">
        <w:rPr>
          <w:rFonts w:ascii="Times New Roman" w:hAnsi="Times New Roman" w:cs="Times New Roman"/>
        </w:rPr>
        <w:t>Intracranial</w:t>
      </w:r>
      <w:proofErr w:type="spellEnd"/>
      <w:r w:rsidRPr="00E51666">
        <w:rPr>
          <w:rFonts w:ascii="Times New Roman" w:hAnsi="Times New Roman" w:cs="Times New Roman"/>
        </w:rPr>
        <w:t>, retroperitoneal, pericardial and intramuscular with compartment syndrome.</w:t>
      </w:r>
    </w:p>
    <w:p w:rsidR="004E6FB2" w:rsidRPr="00E51666" w:rsidRDefault="004E6FB2" w:rsidP="004E6F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c</w:t>
      </w:r>
      <w:r w:rsidRPr="00E51666">
        <w:rPr>
          <w:rFonts w:ascii="Times New Roman" w:hAnsi="Times New Roman" w:cs="Times New Roman"/>
        </w:rPr>
        <w:t>Bleeding</w:t>
      </w:r>
      <w:proofErr w:type="spellEnd"/>
      <w:r w:rsidRPr="00E51666">
        <w:rPr>
          <w:rFonts w:ascii="Times New Roman" w:hAnsi="Times New Roman" w:cs="Times New Roman"/>
        </w:rPr>
        <w:t xml:space="preserve"> leading to transfusion of ≥ 2 units of whole blood or red cells.</w:t>
      </w:r>
    </w:p>
    <w:p w:rsidR="004E6FB2" w:rsidRPr="00E51666" w:rsidRDefault="004E6FB2" w:rsidP="004E6FB2">
      <w:pPr>
        <w:spacing w:line="240" w:lineRule="auto"/>
        <w:rPr>
          <w:rFonts w:ascii="Times New Roman" w:hAnsi="Times New Roman" w:cs="Times New Roman"/>
        </w:rPr>
        <w:sectPr w:rsidR="004E6FB2" w:rsidRPr="00E51666" w:rsidSect="00BE2FD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d</w:t>
      </w:r>
      <w:r w:rsidRPr="00E51666">
        <w:rPr>
          <w:rFonts w:ascii="Times New Roman" w:hAnsi="Times New Roman" w:cs="Times New Roman"/>
        </w:rPr>
        <w:t>Bleeding</w:t>
      </w:r>
      <w:proofErr w:type="spellEnd"/>
      <w:r w:rsidRPr="00E51666">
        <w:rPr>
          <w:rFonts w:ascii="Times New Roman" w:hAnsi="Times New Roman" w:cs="Times New Roman"/>
        </w:rPr>
        <w:t xml:space="preserve"> causing a fall in hemoglobin level of ≥20 g/L.</w:t>
      </w:r>
    </w:p>
    <w:p w:rsidR="004E6FB2" w:rsidRPr="00E51666" w:rsidRDefault="004E6FB2" w:rsidP="004E6FB2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lastRenderedPageBreak/>
        <w:t>Supplemental Table 2.</w:t>
      </w:r>
      <w:r w:rsidRPr="00E51666">
        <w:rPr>
          <w:rFonts w:ascii="Times New Roman" w:hAnsi="Times New Roman" w:cs="Times New Roman"/>
          <w:b/>
        </w:rPr>
        <w:t xml:space="preserve"> </w:t>
      </w:r>
      <w:r w:rsidRPr="00E51666">
        <w:rPr>
          <w:rFonts w:ascii="Times New Roman" w:hAnsi="Times New Roman" w:cs="Times New Roman"/>
        </w:rPr>
        <w:t>The one-year risk of major bleeding according to quartiles of platelet count measured at venous thromboembolism</w:t>
      </w:r>
    </w:p>
    <w:p w:rsidR="004E6FB2" w:rsidRPr="00E51666" w:rsidRDefault="004E6FB2" w:rsidP="004E6FB2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>diagnosis</w:t>
      </w:r>
    </w:p>
    <w:tbl>
      <w:tblPr>
        <w:tblStyle w:val="TableGrid"/>
        <w:tblW w:w="12758" w:type="dxa"/>
        <w:tblInd w:w="-284" w:type="dxa"/>
        <w:tblLook w:val="04A0" w:firstRow="1" w:lastRow="0" w:firstColumn="1" w:lastColumn="0" w:noHBand="0" w:noVBand="1"/>
      </w:tblPr>
      <w:tblGrid>
        <w:gridCol w:w="2467"/>
        <w:gridCol w:w="1689"/>
        <w:gridCol w:w="1720"/>
        <w:gridCol w:w="1720"/>
        <w:gridCol w:w="1721"/>
        <w:gridCol w:w="1720"/>
        <w:gridCol w:w="1721"/>
      </w:tblGrid>
      <w:tr w:rsidR="004E6FB2" w:rsidRPr="00E51666" w:rsidTr="009279F8">
        <w:trPr>
          <w:trHeight w:val="20"/>
        </w:trPr>
        <w:tc>
          <w:tcPr>
            <w:tcW w:w="24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Quartiles of </w:t>
            </w:r>
          </w:p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Platelet count (10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/L) 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Major bleeding</w:t>
            </w:r>
          </w:p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IR (95% CI)</w:t>
            </w:r>
          </w:p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d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All VTE patients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≤192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3.8 (1.7-8.6)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193-239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9.2 (5.6-15.3)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2.7 (1.0-6.9)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2.7 (1.0-7.0)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2.7 (1.0-7.0)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2.6 (1.0-6.8)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240-299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11.0 (6.7-17.9)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3.1 (1.2-8.0)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3.2 (1.2-8.2)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3.3 (1.3-8.5)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3.2 (1.2-8.2)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≥300</w:t>
            </w: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12.8 (8.1-20.3)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4.3 (1.7-10.9)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4.4 (1.7-11.2)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4.7 (1.8-12.0)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4.3 (1.7-11.0)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p for trend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.002</w:t>
            </w:r>
          </w:p>
        </w:tc>
      </w:tr>
      <w:tr w:rsidR="004E6FB2" w:rsidRPr="00E51666" w:rsidTr="009279F8">
        <w:trPr>
          <w:trHeight w:val="20"/>
        </w:trPr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VTE patients without cancer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≤192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4.1 (1.7-9.8)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193-239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6.3 (3.3-12.2)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1.9 (0.6-5.6)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2.0 (0.7-5.9)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2.0 (0.7-5.9)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1.9 (0.6-5.7)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240-299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7.2 (3.7-13.8)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2.0 (0.7-6.1)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2.1 (0.7-6.4)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2.1 (0.7-6.5)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2.1 (0.7-6.3)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≥300</w:t>
            </w: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11.6 (6.8-20.0)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4.0 (1.4-11.4)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4.2 (1.5-12.1)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4.3 (1.5-12.3)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3.8 (1.3-11.1)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p for trend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.01</w:t>
            </w:r>
          </w:p>
        </w:tc>
      </w:tr>
    </w:tbl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r w:rsidRPr="00E51666">
        <w:rPr>
          <w:rFonts w:ascii="Times New Roman" w:eastAsiaTheme="minorEastAsia" w:hAnsi="Times New Roman" w:cs="Times New Roman"/>
        </w:rPr>
        <w:t>IR, incidence rate per 100 person-years; HR, hazard ratio; CI, confidence interval; SHR, sub-distribution hazard ratio.</w:t>
      </w:r>
      <w:r w:rsidRPr="00E51666">
        <w:rPr>
          <w:rFonts w:ascii="Times New Roman" w:eastAsiaTheme="minorEastAsia" w:hAnsi="Times New Roman" w:cs="Times New Roman"/>
        </w:rPr>
        <w:br/>
      </w:r>
      <w:proofErr w:type="spellStart"/>
      <w:r w:rsidRPr="00E51666">
        <w:rPr>
          <w:rFonts w:ascii="Times New Roman" w:hAnsi="Times New Roman" w:cs="Times New Roman"/>
          <w:vertAlign w:val="superscript"/>
        </w:rPr>
        <w:t>a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 and sex.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b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 and planned duration of anticoagulant therapy.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  <w:b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c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index, planned duration of anticoagulant therapy and surgery.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d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index, planned duration of anticoagulant therapy, surgery and acute medical conditions (acute myocardial infarction, ischemic stroke, or major infectious disease).</w:t>
      </w:r>
    </w:p>
    <w:p w:rsidR="004E6FB2" w:rsidRPr="000600B6" w:rsidRDefault="004E6FB2" w:rsidP="004E6FB2">
      <w:pPr>
        <w:spacing w:after="0" w:line="312" w:lineRule="auto"/>
        <w:rPr>
          <w:rFonts w:ascii="Times New Roman" w:hAnsi="Times New Roman" w:cs="Times New Roman"/>
          <w:szCs w:val="24"/>
        </w:rPr>
      </w:pPr>
    </w:p>
    <w:p w:rsidR="004E6FB2" w:rsidRPr="000600B6" w:rsidRDefault="004E6FB2" w:rsidP="004E6FB2">
      <w:pPr>
        <w:spacing w:after="0" w:line="312" w:lineRule="auto"/>
        <w:rPr>
          <w:rFonts w:ascii="Times New Roman" w:hAnsi="Times New Roman" w:cs="Times New Roman"/>
          <w:szCs w:val="24"/>
        </w:rPr>
      </w:pPr>
    </w:p>
    <w:p w:rsidR="004E6FB2" w:rsidRPr="000600B6" w:rsidRDefault="004E6FB2" w:rsidP="004E6FB2">
      <w:pPr>
        <w:spacing w:after="0" w:line="312" w:lineRule="auto"/>
        <w:rPr>
          <w:rFonts w:ascii="Times New Roman" w:hAnsi="Times New Roman" w:cs="Times New Roman"/>
          <w:szCs w:val="24"/>
        </w:rPr>
      </w:pPr>
    </w:p>
    <w:p w:rsidR="004E6FB2" w:rsidRPr="000600B6" w:rsidRDefault="004E6FB2" w:rsidP="004E6FB2">
      <w:pPr>
        <w:spacing w:after="0" w:line="312" w:lineRule="auto"/>
        <w:rPr>
          <w:rFonts w:ascii="Times New Roman" w:hAnsi="Times New Roman" w:cs="Times New Roman"/>
          <w:szCs w:val="24"/>
        </w:rPr>
        <w:sectPr w:rsidR="004E6FB2" w:rsidRPr="000600B6" w:rsidSect="00B46E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lastRenderedPageBreak/>
        <w:t>Continued</w:t>
      </w:r>
    </w:p>
    <w:tbl>
      <w:tblPr>
        <w:tblStyle w:val="TableGrid"/>
        <w:tblW w:w="12617" w:type="dxa"/>
        <w:tblInd w:w="-284" w:type="dxa"/>
        <w:tblLook w:val="04A0" w:firstRow="1" w:lastRow="0" w:firstColumn="1" w:lastColumn="0" w:noHBand="0" w:noVBand="1"/>
      </w:tblPr>
      <w:tblGrid>
        <w:gridCol w:w="2523"/>
        <w:gridCol w:w="2523"/>
        <w:gridCol w:w="2524"/>
        <w:gridCol w:w="2523"/>
        <w:gridCol w:w="2524"/>
      </w:tblGrid>
      <w:tr w:rsidR="004E6FB2" w:rsidRPr="00E51666" w:rsidTr="009279F8">
        <w:trPr>
          <w:trHeight w:val="20"/>
        </w:trPr>
        <w:tc>
          <w:tcPr>
            <w:tcW w:w="25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25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h</w:t>
            </w:r>
          </w:p>
        </w:tc>
        <w:tc>
          <w:tcPr>
            <w:tcW w:w="25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SHR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h</w:t>
            </w: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2.4 (0.9-6.3)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2.4 (0.9-6.3)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2.2 (0.8-5.8)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2.4 (0.9-6.3)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2.5 (1.0-6.5)</w:t>
            </w: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2.8 (1.1-7.3)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2.8 (1.1-7.3)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2.8 (1.0-7.3)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2.8 (1.1-7.4)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3.1 (1.2-8.0)</w:t>
            </w: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3.9 (1.5-10.2)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3.9 (1.5-10.2)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3.6 (1.4-9.5)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3.4 (1.3-8.8)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3.2 (1.2-8.6)</w:t>
            </w: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.007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.02</w:t>
            </w: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1.8 (0.6-5.4)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1.8 (0.6-5.4)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1.6 (0.5-5.0)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1.8 (0.6-5.4)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1.9 (0.6-5.7)</w:t>
            </w: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1.5 (0.5-4.8)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1.5 (0.5-5.0)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1.6 (0.5-5.0)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1.6 (0.5-5.2)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1.8 (0.5-6.1)</w:t>
            </w: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3.1 (1.0-9.2)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3.0 (1.0-8.9)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2.9 (1.0-8.6)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2.8 (0.9-8.5)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2.9 (0.9-9.5)</w:t>
            </w:r>
          </w:p>
        </w:tc>
      </w:tr>
      <w:tr w:rsidR="004E6FB2" w:rsidRPr="00E51666" w:rsidTr="009279F8">
        <w:trPr>
          <w:trHeight w:val="20"/>
        </w:trPr>
        <w:tc>
          <w:tcPr>
            <w:tcW w:w="2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.09</w:t>
            </w:r>
          </w:p>
        </w:tc>
      </w:tr>
    </w:tbl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  <w:b/>
        </w:rPr>
      </w:pP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  <w:b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e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index, planned duration of anticoagulant therapy, surgery, acute medical conditions and estimated glomerular filtration rate (</w:t>
      </w:r>
      <w:proofErr w:type="spellStart"/>
      <w:r w:rsidRPr="00E51666">
        <w:rPr>
          <w:rFonts w:ascii="Times New Roman" w:hAnsi="Times New Roman" w:cs="Times New Roman"/>
        </w:rPr>
        <w:t>eGFR</w:t>
      </w:r>
      <w:proofErr w:type="spellEnd"/>
      <w:r w:rsidRPr="00E51666">
        <w:rPr>
          <w:rFonts w:ascii="Times New Roman" w:hAnsi="Times New Roman" w:cs="Times New Roman"/>
        </w:rPr>
        <w:t xml:space="preserve">). 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  <w:b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f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index, planned duration of anticoagulant therapy, surgery, acute medical conditions, </w:t>
      </w:r>
      <w:proofErr w:type="spellStart"/>
      <w:r w:rsidRPr="00E51666">
        <w:rPr>
          <w:rFonts w:ascii="Times New Roman" w:hAnsi="Times New Roman" w:cs="Times New Roman"/>
        </w:rPr>
        <w:t>eGFR</w:t>
      </w:r>
      <w:proofErr w:type="spellEnd"/>
      <w:r w:rsidRPr="00E51666">
        <w:rPr>
          <w:rFonts w:ascii="Times New Roman" w:hAnsi="Times New Roman" w:cs="Times New Roman"/>
        </w:rPr>
        <w:t xml:space="preserve"> and hypertension (systolic blood pressure &gt; 160 mmHg).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g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index, planned duration of anticoagulant therapy, surgery, acute medical conditions, </w:t>
      </w:r>
      <w:proofErr w:type="spellStart"/>
      <w:r w:rsidRPr="00E51666">
        <w:rPr>
          <w:rFonts w:ascii="Times New Roman" w:hAnsi="Times New Roman" w:cs="Times New Roman"/>
        </w:rPr>
        <w:t>eGFR</w:t>
      </w:r>
      <w:proofErr w:type="spellEnd"/>
      <w:r w:rsidRPr="00E51666">
        <w:rPr>
          <w:rFonts w:ascii="Times New Roman" w:hAnsi="Times New Roman" w:cs="Times New Roman"/>
        </w:rPr>
        <w:t>, hypertension and</w:t>
      </w:r>
      <w:r w:rsidRPr="00E51666">
        <w:rPr>
          <w:rFonts w:ascii="Times New Roman" w:hAnsi="Times New Roman" w:cs="Times New Roman"/>
        </w:rPr>
        <w:br/>
        <w:t xml:space="preserve"> history of bleeding (specifically noted in the medical records of VTE cases).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h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index, planned duration of anticoagulant therapy, surgery, acute medical conditions, </w:t>
      </w:r>
      <w:proofErr w:type="spellStart"/>
      <w:r w:rsidRPr="00E51666">
        <w:rPr>
          <w:rFonts w:ascii="Times New Roman" w:hAnsi="Times New Roman" w:cs="Times New Roman"/>
        </w:rPr>
        <w:t>eGFR</w:t>
      </w:r>
      <w:proofErr w:type="spellEnd"/>
      <w:r w:rsidRPr="00E51666">
        <w:rPr>
          <w:rFonts w:ascii="Times New Roman" w:hAnsi="Times New Roman" w:cs="Times New Roman"/>
        </w:rPr>
        <w:t xml:space="preserve">, hypertension, </w:t>
      </w:r>
      <w:r w:rsidRPr="00E51666">
        <w:rPr>
          <w:rFonts w:ascii="Times New Roman" w:hAnsi="Times New Roman" w:cs="Times New Roman"/>
        </w:rPr>
        <w:br/>
        <w:t>history of bleeding and anemia (hemoglobin level below 11.5 g/</w:t>
      </w:r>
      <w:proofErr w:type="spellStart"/>
      <w:r w:rsidRPr="00E51666">
        <w:rPr>
          <w:rFonts w:ascii="Times New Roman" w:hAnsi="Times New Roman" w:cs="Times New Roman"/>
        </w:rPr>
        <w:t>dL</w:t>
      </w:r>
      <w:proofErr w:type="spellEnd"/>
      <w:r w:rsidRPr="00E51666">
        <w:rPr>
          <w:rFonts w:ascii="Times New Roman" w:hAnsi="Times New Roman" w:cs="Times New Roman"/>
        </w:rPr>
        <w:t xml:space="preserve"> for women and below 13.0 g/</w:t>
      </w:r>
      <w:proofErr w:type="spellStart"/>
      <w:r w:rsidRPr="00E51666">
        <w:rPr>
          <w:rFonts w:ascii="Times New Roman" w:hAnsi="Times New Roman" w:cs="Times New Roman"/>
        </w:rPr>
        <w:t>dL</w:t>
      </w:r>
      <w:proofErr w:type="spellEnd"/>
      <w:r w:rsidRPr="00E51666">
        <w:rPr>
          <w:rFonts w:ascii="Times New Roman" w:hAnsi="Times New Roman" w:cs="Times New Roman"/>
        </w:rPr>
        <w:t xml:space="preserve"> for men at VTE diagnosis).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>SHR denotes the HR after taking competing risk by death into account.</w:t>
      </w:r>
    </w:p>
    <w:p w:rsidR="004E6FB2" w:rsidRPr="000600B6" w:rsidRDefault="004E6FB2" w:rsidP="004E6FB2">
      <w:pPr>
        <w:spacing w:after="0" w:line="312" w:lineRule="auto"/>
        <w:contextualSpacing/>
        <w:rPr>
          <w:rFonts w:ascii="Times New Roman" w:hAnsi="Times New Roman" w:cs="Times New Roman"/>
          <w:szCs w:val="24"/>
        </w:rPr>
      </w:pPr>
    </w:p>
    <w:p w:rsidR="004E6FB2" w:rsidRPr="000600B6" w:rsidRDefault="004E6FB2" w:rsidP="004E6FB2">
      <w:pPr>
        <w:spacing w:after="0" w:line="312" w:lineRule="auto"/>
        <w:contextualSpacing/>
        <w:rPr>
          <w:rFonts w:ascii="Times New Roman" w:hAnsi="Times New Roman" w:cs="Times New Roman"/>
          <w:szCs w:val="24"/>
        </w:rPr>
      </w:pPr>
    </w:p>
    <w:p w:rsidR="004E6FB2" w:rsidRPr="000600B6" w:rsidRDefault="004E6FB2" w:rsidP="004E6FB2">
      <w:pPr>
        <w:spacing w:after="0" w:line="312" w:lineRule="auto"/>
        <w:contextualSpacing/>
        <w:rPr>
          <w:rFonts w:ascii="Times New Roman" w:hAnsi="Times New Roman" w:cs="Times New Roman"/>
          <w:szCs w:val="24"/>
        </w:rPr>
      </w:pPr>
    </w:p>
    <w:p w:rsidR="004E6FB2" w:rsidRPr="000600B6" w:rsidRDefault="004E6FB2" w:rsidP="004E6FB2">
      <w:pPr>
        <w:spacing w:after="0" w:line="312" w:lineRule="auto"/>
        <w:contextualSpacing/>
        <w:rPr>
          <w:rFonts w:ascii="Times New Roman" w:hAnsi="Times New Roman" w:cs="Times New Roman"/>
          <w:szCs w:val="24"/>
        </w:rPr>
      </w:pPr>
    </w:p>
    <w:p w:rsidR="004E6FB2" w:rsidRPr="00E51666" w:rsidRDefault="004E6FB2" w:rsidP="004E6FB2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>Supplemental Table 3. The one-year risk of major bleeding according to quartiles of platelet count measured at venous</w:t>
      </w:r>
    </w:p>
    <w:p w:rsidR="004E6FB2" w:rsidRPr="00E51666" w:rsidRDefault="004E6FB2" w:rsidP="004E6FB2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>thromboembolism diagnosis stratified by planned type of anticoagulant</w:t>
      </w:r>
    </w:p>
    <w:tbl>
      <w:tblPr>
        <w:tblStyle w:val="TableGrid"/>
        <w:tblW w:w="12475" w:type="dxa"/>
        <w:tblInd w:w="-284" w:type="dxa"/>
        <w:tblLook w:val="04A0" w:firstRow="1" w:lastRow="0" w:firstColumn="1" w:lastColumn="0" w:noHBand="0" w:noVBand="1"/>
      </w:tblPr>
      <w:tblGrid>
        <w:gridCol w:w="2552"/>
        <w:gridCol w:w="1602"/>
        <w:gridCol w:w="1664"/>
        <w:gridCol w:w="1664"/>
        <w:gridCol w:w="1664"/>
        <w:gridCol w:w="1664"/>
        <w:gridCol w:w="1665"/>
      </w:tblGrid>
      <w:tr w:rsidR="004E6FB2" w:rsidRPr="00E51666" w:rsidTr="009279F8">
        <w:trPr>
          <w:trHeight w:val="20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Quartiles of </w:t>
            </w:r>
          </w:p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Platelet count (10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/L) 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Major bleeding</w:t>
            </w:r>
          </w:p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IR (95% CI)</w:t>
            </w:r>
          </w:p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SHR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</w:tr>
      <w:tr w:rsidR="004E6FB2" w:rsidRPr="00E51666" w:rsidTr="009279F8">
        <w:trPr>
          <w:trHeight w:val="20"/>
        </w:trPr>
        <w:tc>
          <w:tcPr>
            <w:tcW w:w="41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Heparin and VKA (n=488)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FB2" w:rsidRPr="00E51666" w:rsidTr="009279F8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≤192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2.8 (0.9-8.6)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</w:tr>
      <w:tr w:rsidR="004E6FB2" w:rsidRPr="00E51666" w:rsidTr="009279F8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193-239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7.4 (3.8-14.2)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3.2 (0.9-12.0)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3.3 (0.9-12.3)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3.5 (0.9-13.0)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3.4 (09-13.0)</w:t>
            </w:r>
          </w:p>
        </w:tc>
      </w:tr>
      <w:tr w:rsidR="004E6FB2" w:rsidRPr="00E51666" w:rsidTr="009279F8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240-299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10.5 (5.8-19.0)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4.1 (1.1-14.6)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4.2 (1.2-15.0)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3.1 (0.8-11.5)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3.2 (0.8-12.3)</w:t>
            </w:r>
          </w:p>
        </w:tc>
      </w:tr>
      <w:tr w:rsidR="004E6FB2" w:rsidRPr="00E51666" w:rsidTr="009279F8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≥300</w:t>
            </w: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10.0 (5.4-18.6)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5.3 (1.4-19.5)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5.4 (1.5-20.0)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4.5 (1.2-17.1)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4.4 (1.1-17.1)</w:t>
            </w:r>
          </w:p>
        </w:tc>
      </w:tr>
      <w:tr w:rsidR="004E6FB2" w:rsidRPr="00E51666" w:rsidTr="009279F8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p for trend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.03</w:t>
            </w:r>
          </w:p>
        </w:tc>
      </w:tr>
      <w:tr w:rsidR="004E6FB2" w:rsidRPr="00E51666" w:rsidTr="009279F8">
        <w:trPr>
          <w:trHeight w:val="20"/>
        </w:trPr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Heparin (n=145)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</w:tr>
      <w:tr w:rsidR="004E6FB2" w:rsidRPr="00E51666" w:rsidTr="009279F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≤192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4.1 (0.6-28.9)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</w:tr>
      <w:tr w:rsidR="004E6FB2" w:rsidRPr="00E51666" w:rsidTr="009279F8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193-239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18.2 (6.8-48.4)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5.2 (0.6-48.5)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5.0 (0.5-47.5)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3.4 (0.3-36.7)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5.5 (0.7-43.3)</w:t>
            </w:r>
          </w:p>
        </w:tc>
      </w:tr>
      <w:tr w:rsidR="004E6FB2" w:rsidRPr="00E51666" w:rsidTr="009279F8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240-299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10.7 (2.7-42.6)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3.1 (0.3-35.5)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3.2 (0.3-36.8)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6.0 (0.4-92.8)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5.3 (0.5-56.8)</w:t>
            </w:r>
          </w:p>
        </w:tc>
      </w:tr>
      <w:tr w:rsidR="004E6FB2" w:rsidRPr="00E51666" w:rsidTr="009279F8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≥300</w:t>
            </w: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28.1 (12.6-62.6)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6.8 (0.8-57.2)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6.6 (0.8-55.0)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4.1 (0.4-47.3)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4.3 (0.6-31.0)</w:t>
            </w:r>
          </w:p>
        </w:tc>
      </w:tr>
      <w:tr w:rsidR="004E6FB2" w:rsidRPr="00E51666" w:rsidTr="009279F8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p for trend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.2</w:t>
            </w:r>
          </w:p>
        </w:tc>
      </w:tr>
    </w:tbl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r w:rsidRPr="00E51666">
        <w:rPr>
          <w:rFonts w:ascii="Times New Roman" w:eastAsiaTheme="minorEastAsia" w:hAnsi="Times New Roman" w:cs="Times New Roman"/>
        </w:rPr>
        <w:t>IR, incidence rate per 100 person-years; HR, hazard ratio; CI, confidence interval; SHR, sub-distribution hazard ratio; VKA, vitamin k antagonist.</w:t>
      </w:r>
      <w:r w:rsidRPr="00E51666">
        <w:rPr>
          <w:rFonts w:ascii="Times New Roman" w:eastAsiaTheme="minorEastAsia" w:hAnsi="Times New Roman" w:cs="Times New Roman"/>
        </w:rPr>
        <w:br/>
      </w:r>
      <w:r w:rsidRPr="00E51666">
        <w:rPr>
          <w:rFonts w:ascii="Times New Roman" w:hAnsi="Times New Roman" w:cs="Times New Roman"/>
        </w:rPr>
        <w:t>*Information on anticoagulation type was missing in 34 subjects.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a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 and sex.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b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 and planned duration of anticoagulant therapy.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c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index, planned duration of anticoagulant therapy, surgery, acute medical conditions (acute myocardial infarction,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 xml:space="preserve"> ischemic stroke, or major infectious disease), estimated glomerular filtration rate, hypertension (systolic blood pressure &gt; 160 mmHg), </w:t>
      </w:r>
      <w:r w:rsidRPr="00E51666">
        <w:rPr>
          <w:rFonts w:ascii="Times New Roman" w:hAnsi="Times New Roman" w:cs="Times New Roman"/>
        </w:rPr>
        <w:br/>
        <w:t>history of bleeding (specifically noted in the medical records of VTE cases), and anemia (hemoglobin level below 11.5 g/</w:t>
      </w:r>
      <w:proofErr w:type="spellStart"/>
      <w:r w:rsidRPr="00E51666">
        <w:rPr>
          <w:rFonts w:ascii="Times New Roman" w:hAnsi="Times New Roman" w:cs="Times New Roman"/>
        </w:rPr>
        <w:t>dL</w:t>
      </w:r>
      <w:proofErr w:type="spellEnd"/>
      <w:r w:rsidRPr="00E51666">
        <w:rPr>
          <w:rFonts w:ascii="Times New Roman" w:hAnsi="Times New Roman" w:cs="Times New Roman"/>
        </w:rPr>
        <w:t xml:space="preserve"> for women and below 13.0 g/</w:t>
      </w:r>
      <w:proofErr w:type="spellStart"/>
      <w:r w:rsidRPr="00E51666">
        <w:rPr>
          <w:rFonts w:ascii="Times New Roman" w:hAnsi="Times New Roman" w:cs="Times New Roman"/>
        </w:rPr>
        <w:t>dL</w:t>
      </w:r>
      <w:proofErr w:type="spellEnd"/>
      <w:r w:rsidRPr="00E51666">
        <w:rPr>
          <w:rFonts w:ascii="Times New Roman" w:hAnsi="Times New Roman" w:cs="Times New Roman"/>
        </w:rPr>
        <w:t xml:space="preserve"> for men at VTE diagnosis).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>SHR denotes the HR after taking competing risk by death into account</w:t>
      </w:r>
    </w:p>
    <w:p w:rsidR="004E6FB2" w:rsidRPr="00477D2A" w:rsidRDefault="004E6FB2" w:rsidP="004E6FB2">
      <w:pPr>
        <w:spacing w:after="0" w:line="312" w:lineRule="auto"/>
        <w:contextualSpacing/>
        <w:rPr>
          <w:rFonts w:ascii="Times New Roman" w:hAnsi="Times New Roman" w:cs="Times New Roman"/>
        </w:rPr>
        <w:sectPr w:rsidR="004E6FB2" w:rsidRPr="00477D2A" w:rsidSect="00B46EA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E6FB2" w:rsidRPr="00E51666" w:rsidRDefault="004E6FB2" w:rsidP="004E6FB2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lastRenderedPageBreak/>
        <w:t>Supplemental Table 4</w:t>
      </w:r>
      <w:r w:rsidRPr="00E51666">
        <w:rPr>
          <w:rFonts w:ascii="Times New Roman" w:hAnsi="Times New Roman" w:cs="Times New Roman"/>
          <w:b/>
        </w:rPr>
        <w:t xml:space="preserve">. </w:t>
      </w:r>
      <w:r w:rsidRPr="00E51666">
        <w:rPr>
          <w:rFonts w:ascii="Times New Roman" w:hAnsi="Times New Roman" w:cs="Times New Roman"/>
        </w:rPr>
        <w:t>The one-year risk of major bleeding according to quartiles of platelet count measured at venous</w:t>
      </w:r>
    </w:p>
    <w:p w:rsidR="004E6FB2" w:rsidRPr="00E51666" w:rsidRDefault="004E6FB2" w:rsidP="004E6FB2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>thromboembolism diagnosis after excluding subjects</w:t>
      </w:r>
      <w:r w:rsidRPr="00E51666">
        <w:rPr>
          <w:rFonts w:ascii="Times New Roman" w:hAnsi="Times New Roman" w:cs="Times New Roman"/>
          <w:b/>
        </w:rPr>
        <w:t xml:space="preserve"> </w:t>
      </w:r>
      <w:r w:rsidRPr="00E51666">
        <w:rPr>
          <w:rFonts w:ascii="Times New Roman" w:hAnsi="Times New Roman" w:cs="Times New Roman"/>
        </w:rPr>
        <w:t xml:space="preserve">with previous myocardial infarction or stroke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67"/>
        <w:gridCol w:w="1689"/>
        <w:gridCol w:w="1536"/>
        <w:gridCol w:w="1464"/>
        <w:gridCol w:w="1472"/>
        <w:gridCol w:w="1464"/>
        <w:gridCol w:w="1586"/>
      </w:tblGrid>
      <w:tr w:rsidR="004E6FB2" w:rsidRPr="00E51666" w:rsidTr="009279F8">
        <w:trPr>
          <w:trHeight w:val="20"/>
        </w:trPr>
        <w:tc>
          <w:tcPr>
            <w:tcW w:w="24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Quartiles of </w:t>
            </w:r>
          </w:p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Platelet count (10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/L) 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Major bleeding</w:t>
            </w:r>
          </w:p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IR (95% CI)</w:t>
            </w:r>
          </w:p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SHR (95% CI)</w:t>
            </w:r>
            <w:r w:rsidRPr="00E516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</w:tr>
      <w:tr w:rsidR="004E6FB2" w:rsidRPr="00E51666" w:rsidTr="009279F8">
        <w:trPr>
          <w:trHeight w:val="20"/>
        </w:trPr>
        <w:tc>
          <w:tcPr>
            <w:tcW w:w="4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All VTE patients (n=613)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 xml:space="preserve">≤192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4.1 (1.7-10.0)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 (reference)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193-239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7.8 (4.3-14.1)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1.9 (0.7-5.6)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2.0 (0.7-5.7)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1.9 (0.6-5.5)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2.0 (0.7-6.0)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240-299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9.9 (5.6-17.4)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2.4 (0.8-6.9)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2.4 (0.9-7.0)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2.4 (0.8-7.1)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2.7 (0.9-8.1)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sz w:val="22"/>
                <w:szCs w:val="22"/>
              </w:rPr>
              <w:t>≥300</w:t>
            </w: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13.2 (8.1-21.5)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3.8 (1.4-10.5)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3.9 (1.4-10.6)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3.1 (1.1-8.7)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2.9 (1.0-8.7)</w:t>
            </w:r>
          </w:p>
        </w:tc>
      </w:tr>
      <w:tr w:rsidR="004E6FB2" w:rsidRPr="00E51666" w:rsidTr="009279F8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p for trend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E6FB2" w:rsidRPr="00E51666" w:rsidRDefault="004E6FB2" w:rsidP="009279F8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</w:pPr>
            <w:r w:rsidRPr="00E51666">
              <w:rPr>
                <w:rFonts w:ascii="Times New Roman" w:hAnsi="Times New Roman" w:cs="Times New Roman"/>
                <w:color w:val="252525"/>
                <w:sz w:val="22"/>
                <w:szCs w:val="22"/>
                <w:shd w:val="clear" w:color="auto" w:fill="FFFFFF"/>
              </w:rPr>
              <w:t>.04</w:t>
            </w:r>
          </w:p>
        </w:tc>
      </w:tr>
    </w:tbl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r w:rsidRPr="00E51666">
        <w:rPr>
          <w:rFonts w:ascii="Times New Roman" w:eastAsiaTheme="minorEastAsia" w:hAnsi="Times New Roman" w:cs="Times New Roman"/>
        </w:rPr>
        <w:t>IR, incidence rate per 100 person-years; HR, hazard ratio; CI, confidence interval; SHR, sub-distribution hazard ratio.</w:t>
      </w:r>
      <w:r w:rsidRPr="00E51666">
        <w:rPr>
          <w:rFonts w:ascii="Times New Roman" w:eastAsiaTheme="minorEastAsia" w:hAnsi="Times New Roman" w:cs="Times New Roman"/>
        </w:rPr>
        <w:br/>
      </w:r>
      <w:proofErr w:type="spellStart"/>
      <w:r w:rsidRPr="00E51666">
        <w:rPr>
          <w:rFonts w:ascii="Times New Roman" w:hAnsi="Times New Roman" w:cs="Times New Roman"/>
          <w:vertAlign w:val="superscript"/>
        </w:rPr>
        <w:t>a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 and sex.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b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 and planned duration of anticoagulant therapy.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proofErr w:type="spellStart"/>
      <w:r w:rsidRPr="00E51666">
        <w:rPr>
          <w:rFonts w:ascii="Times New Roman" w:hAnsi="Times New Roman" w:cs="Times New Roman"/>
          <w:vertAlign w:val="superscript"/>
        </w:rPr>
        <w:t>c</w:t>
      </w:r>
      <w:r w:rsidRPr="00E51666">
        <w:rPr>
          <w:rFonts w:ascii="Times New Roman" w:hAnsi="Times New Roman" w:cs="Times New Roman"/>
        </w:rPr>
        <w:t>Adjusted</w:t>
      </w:r>
      <w:proofErr w:type="spellEnd"/>
      <w:r w:rsidRPr="00E51666">
        <w:rPr>
          <w:rFonts w:ascii="Times New Roman" w:hAnsi="Times New Roman" w:cs="Times New Roman"/>
        </w:rPr>
        <w:t xml:space="preserve"> for age, sex, body mass index, planned duration of anticoagulant therapy, surgery, acute medical conditions (acute myocardial infarction,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 xml:space="preserve"> ischemic stroke, or major infectious disease), estimated glomerular filtration rate, hypertension (systolic blood pressure &gt; 160 mmHg), </w:t>
      </w:r>
      <w:r w:rsidRPr="00E51666">
        <w:rPr>
          <w:rFonts w:ascii="Times New Roman" w:hAnsi="Times New Roman" w:cs="Times New Roman"/>
        </w:rPr>
        <w:br/>
        <w:t>history of bleeding (specifically noted in the medical records of VTE cases), and anemia (hemoglobin level below 11.5 g/</w:t>
      </w:r>
      <w:proofErr w:type="spellStart"/>
      <w:r w:rsidRPr="00E51666">
        <w:rPr>
          <w:rFonts w:ascii="Times New Roman" w:hAnsi="Times New Roman" w:cs="Times New Roman"/>
        </w:rPr>
        <w:t>dL</w:t>
      </w:r>
      <w:proofErr w:type="spellEnd"/>
      <w:r w:rsidRPr="00E51666">
        <w:rPr>
          <w:rFonts w:ascii="Times New Roman" w:hAnsi="Times New Roman" w:cs="Times New Roman"/>
        </w:rPr>
        <w:t xml:space="preserve"> for women and below 13.0 g/</w:t>
      </w:r>
      <w:proofErr w:type="spellStart"/>
      <w:r w:rsidRPr="00E51666">
        <w:rPr>
          <w:rFonts w:ascii="Times New Roman" w:hAnsi="Times New Roman" w:cs="Times New Roman"/>
        </w:rPr>
        <w:t>dL</w:t>
      </w:r>
      <w:proofErr w:type="spellEnd"/>
      <w:r w:rsidRPr="00E51666">
        <w:rPr>
          <w:rFonts w:ascii="Times New Roman" w:hAnsi="Times New Roman" w:cs="Times New Roman"/>
        </w:rPr>
        <w:t xml:space="preserve"> for men at VTE diagnosis).</w:t>
      </w:r>
    </w:p>
    <w:p w:rsidR="004E6FB2" w:rsidRPr="00E51666" w:rsidRDefault="004E6FB2" w:rsidP="004E6FB2">
      <w:pPr>
        <w:spacing w:after="0" w:line="312" w:lineRule="auto"/>
        <w:rPr>
          <w:rFonts w:ascii="Times New Roman" w:hAnsi="Times New Roman" w:cs="Times New Roman"/>
        </w:rPr>
      </w:pPr>
      <w:r w:rsidRPr="00E51666">
        <w:rPr>
          <w:rFonts w:ascii="Times New Roman" w:hAnsi="Times New Roman" w:cs="Times New Roman"/>
        </w:rPr>
        <w:t>SHR denotes the HR after taking competing risk by death into account.</w:t>
      </w:r>
    </w:p>
    <w:p w:rsidR="004E6FB2" w:rsidRPr="00921B88" w:rsidRDefault="004E6FB2" w:rsidP="004E6FB2">
      <w:pPr>
        <w:spacing w:after="0" w:line="312" w:lineRule="auto"/>
        <w:contextualSpacing/>
        <w:rPr>
          <w:rFonts w:ascii="Times New Roman" w:hAnsi="Times New Roman" w:cs="Times New Roman"/>
          <w:szCs w:val="24"/>
        </w:rPr>
      </w:pPr>
    </w:p>
    <w:p w:rsidR="006A7B6D" w:rsidRDefault="004E6FB2">
      <w:bookmarkStart w:id="0" w:name="_GoBack"/>
      <w:bookmarkEnd w:id="0"/>
    </w:p>
    <w:sectPr w:rsidR="006A7B6D" w:rsidSect="003D3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F5" w:rsidRDefault="004E6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B2"/>
    <w:rsid w:val="004A60D9"/>
    <w:rsid w:val="004E6FB2"/>
    <w:rsid w:val="00B6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0B37A-B90C-42D9-87FB-3E65919E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B2"/>
    <w:pPr>
      <w:spacing w:after="0" w:line="240" w:lineRule="auto"/>
    </w:pPr>
    <w:rPr>
      <w:rFonts w:eastAsiaTheme="minorEastAsia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F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B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6F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footer" Target="footer8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Sheela Kuzhandai Velu, Integra-PDY, IN</dc:creator>
  <cp:keywords/>
  <dc:description/>
  <cp:lastModifiedBy>Jenifer Sheela Kuzhandai Velu, Integra-PDY, IN</cp:lastModifiedBy>
  <cp:revision>1</cp:revision>
  <dcterms:created xsi:type="dcterms:W3CDTF">2020-05-31T19:30:00Z</dcterms:created>
  <dcterms:modified xsi:type="dcterms:W3CDTF">2020-05-31T19:31:00Z</dcterms:modified>
</cp:coreProperties>
</file>