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63" w:rsidRPr="00F928C3" w:rsidRDefault="00F00E63" w:rsidP="00F00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Table S1. </w:t>
      </w:r>
      <w:r>
        <w:rPr>
          <w:rFonts w:ascii="Times New Roman" w:hAnsi="Times New Roman" w:cs="Times New Roman"/>
        </w:rPr>
        <w:t xml:space="preserve">Table of all Rab7s and RILP genes examined in this study. Includes gene identifiers (GSPAT and TET IDs in the case of </w:t>
      </w:r>
      <w:r>
        <w:rPr>
          <w:rFonts w:ascii="Times New Roman" w:hAnsi="Times New Roman" w:cs="Times New Roman"/>
          <w:i/>
        </w:rPr>
        <w:t xml:space="preserve">P. </w:t>
      </w:r>
      <w:proofErr w:type="spellStart"/>
      <w:r>
        <w:rPr>
          <w:rFonts w:ascii="Times New Roman" w:hAnsi="Times New Roman" w:cs="Times New Roman"/>
          <w:i/>
        </w:rPr>
        <w:t>tetraurelia</w:t>
      </w:r>
      <w:proofErr w:type="spellEnd"/>
      <w:r>
        <w:rPr>
          <w:rFonts w:ascii="Times New Roman" w:hAnsi="Times New Roman" w:cs="Times New Roman"/>
        </w:rPr>
        <w:t>) and our gene names.</w:t>
      </w:r>
    </w:p>
    <w:p w:rsidR="00F00E63" w:rsidRDefault="00F00E63" w:rsidP="00F00E63">
      <w:pPr>
        <w:rPr>
          <w:rFonts w:ascii="Times New Roman" w:hAnsi="Times New Roman" w:cs="Times New Roman"/>
        </w:rPr>
      </w:pPr>
    </w:p>
    <w:p w:rsidR="00F00E63" w:rsidRPr="00B83C9B" w:rsidRDefault="00F00E63" w:rsidP="00F00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S1. </w:t>
      </w:r>
      <w:r>
        <w:rPr>
          <w:rFonts w:ascii="Times New Roman" w:hAnsi="Times New Roman" w:cs="Times New Roman"/>
        </w:rPr>
        <w:t xml:space="preserve">Neighbor joining phylogeny showing evolutionary relationships between </w:t>
      </w:r>
      <w:r>
        <w:rPr>
          <w:rFonts w:ascii="Times New Roman" w:hAnsi="Times New Roman" w:cs="Times New Roman"/>
          <w:i/>
        </w:rPr>
        <w:t xml:space="preserve">P. </w:t>
      </w:r>
      <w:proofErr w:type="spellStart"/>
      <w:r>
        <w:rPr>
          <w:rFonts w:ascii="Times New Roman" w:hAnsi="Times New Roman" w:cs="Times New Roman"/>
          <w:i/>
        </w:rPr>
        <w:t>aurelia</w:t>
      </w:r>
      <w:proofErr w:type="spellEnd"/>
      <w:r>
        <w:rPr>
          <w:rFonts w:ascii="Times New Roman" w:hAnsi="Times New Roman" w:cs="Times New Roman"/>
        </w:rPr>
        <w:t xml:space="preserve"> Rab7 coding sequences. </w:t>
      </w:r>
      <w:r>
        <w:rPr>
          <w:rFonts w:ascii="Times New Roman" w:hAnsi="Times New Roman" w:cs="Times New Roman"/>
          <w:i/>
        </w:rPr>
        <w:t xml:space="preserve">P. </w:t>
      </w:r>
      <w:proofErr w:type="spellStart"/>
      <w:r>
        <w:rPr>
          <w:rFonts w:ascii="Times New Roman" w:hAnsi="Times New Roman" w:cs="Times New Roman"/>
          <w:i/>
        </w:rPr>
        <w:t>tetraurelia</w:t>
      </w:r>
      <w:proofErr w:type="spellEnd"/>
      <w:r>
        <w:rPr>
          <w:rFonts w:ascii="Times New Roman" w:hAnsi="Times New Roman" w:cs="Times New Roman"/>
        </w:rPr>
        <w:t xml:space="preserve"> Rab32 gene was designated as an outgroup.</w:t>
      </w:r>
    </w:p>
    <w:p w:rsidR="00F00E63" w:rsidRDefault="00F00E63" w:rsidP="00F00E63">
      <w:pPr>
        <w:rPr>
          <w:rFonts w:ascii="Times New Roman" w:hAnsi="Times New Roman" w:cs="Times New Roman"/>
          <w:b/>
        </w:rPr>
      </w:pPr>
    </w:p>
    <w:p w:rsidR="00F00E63" w:rsidRDefault="00F00E63" w:rsidP="00F00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S2.</w:t>
      </w:r>
      <w:r>
        <w:rPr>
          <w:rFonts w:ascii="Times New Roman" w:hAnsi="Times New Roman" w:cs="Times New Roman"/>
        </w:rPr>
        <w:t xml:space="preserve"> </w:t>
      </w:r>
      <w:r w:rsidRPr="00895CF2">
        <w:rPr>
          <w:rFonts w:ascii="Times New Roman" w:hAnsi="Times New Roman" w:cs="Times New Roman"/>
        </w:rPr>
        <w:t>The full alignment of all sequences used to</w:t>
      </w:r>
      <w:r>
        <w:rPr>
          <w:rFonts w:ascii="Times New Roman" w:hAnsi="Times New Roman" w:cs="Times New Roman"/>
        </w:rPr>
        <w:t xml:space="preserve"> make the phylogeny in Figure 1</w:t>
      </w:r>
      <w:r w:rsidRPr="00895CF2">
        <w:rPr>
          <w:rFonts w:ascii="Times New Roman" w:hAnsi="Times New Roman" w:cs="Times New Roman"/>
        </w:rPr>
        <w:t xml:space="preserve"> and detailed in Table S1. Text files of all alignments suitable for analysis by </w:t>
      </w:r>
      <w:proofErr w:type="spellStart"/>
      <w:r w:rsidRPr="00895CF2">
        <w:rPr>
          <w:rFonts w:ascii="Times New Roman" w:hAnsi="Times New Roman" w:cs="Times New Roman"/>
        </w:rPr>
        <w:t>phylogenetics</w:t>
      </w:r>
      <w:proofErr w:type="spellEnd"/>
      <w:r w:rsidRPr="00895CF2">
        <w:rPr>
          <w:rFonts w:ascii="Times New Roman" w:hAnsi="Times New Roman" w:cs="Times New Roman"/>
        </w:rPr>
        <w:t xml:space="preserve"> programs are available upon request.</w:t>
      </w:r>
    </w:p>
    <w:p w:rsidR="00F00E63" w:rsidRDefault="00F00E63" w:rsidP="00F00E63">
      <w:pPr>
        <w:rPr>
          <w:rFonts w:ascii="Times New Roman" w:hAnsi="Times New Roman" w:cs="Times New Roman"/>
        </w:rPr>
      </w:pPr>
    </w:p>
    <w:p w:rsidR="00F00E63" w:rsidRDefault="00F00E63" w:rsidP="00F00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S3.</w:t>
      </w:r>
      <w:r>
        <w:rPr>
          <w:rFonts w:ascii="Times New Roman" w:hAnsi="Times New Roman" w:cs="Times New Roman"/>
        </w:rPr>
        <w:t xml:space="preserve"> </w:t>
      </w:r>
      <w:r w:rsidRPr="00895CF2">
        <w:rPr>
          <w:rFonts w:ascii="Times New Roman" w:hAnsi="Times New Roman" w:cs="Times New Roman"/>
        </w:rPr>
        <w:t>The full alignment of all sequences used to</w:t>
      </w:r>
      <w:r>
        <w:rPr>
          <w:rFonts w:ascii="Times New Roman" w:hAnsi="Times New Roman" w:cs="Times New Roman"/>
        </w:rPr>
        <w:t xml:space="preserve"> make the phylogeny in Figure S2</w:t>
      </w:r>
      <w:r w:rsidRPr="00895CF2">
        <w:rPr>
          <w:rFonts w:ascii="Times New Roman" w:hAnsi="Times New Roman" w:cs="Times New Roman"/>
        </w:rPr>
        <w:t xml:space="preserve"> and detailed in Table S1. Text files of all alignments suitable for analysis by </w:t>
      </w:r>
      <w:proofErr w:type="spellStart"/>
      <w:r w:rsidRPr="00895CF2">
        <w:rPr>
          <w:rFonts w:ascii="Times New Roman" w:hAnsi="Times New Roman" w:cs="Times New Roman"/>
        </w:rPr>
        <w:t>phylogenetics</w:t>
      </w:r>
      <w:proofErr w:type="spellEnd"/>
      <w:r w:rsidRPr="00895CF2">
        <w:rPr>
          <w:rFonts w:ascii="Times New Roman" w:hAnsi="Times New Roman" w:cs="Times New Roman"/>
        </w:rPr>
        <w:t xml:space="preserve"> programs are available upon request.</w:t>
      </w:r>
    </w:p>
    <w:p w:rsidR="00F00E63" w:rsidRDefault="00F00E63" w:rsidP="00F00E63">
      <w:pPr>
        <w:rPr>
          <w:rFonts w:ascii="Times New Roman" w:hAnsi="Times New Roman" w:cs="Times New Roman"/>
        </w:rPr>
      </w:pPr>
    </w:p>
    <w:p w:rsidR="00F00E63" w:rsidRDefault="00F00E63" w:rsidP="00F00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S4. </w:t>
      </w:r>
      <w:r>
        <w:rPr>
          <w:rFonts w:ascii="Times New Roman" w:hAnsi="Times New Roman" w:cs="Times New Roman"/>
        </w:rPr>
        <w:t xml:space="preserve">Portions of the Rab7 and RILP alignments. A. The C-terminal hypervariable domain (HVD) of Rab7 coding sequences and amino acid alignment. Arrow denotes key amino acid with differential PTMs, as found in </w:t>
      </w:r>
      <w:proofErr w:type="spellStart"/>
      <w:r>
        <w:rPr>
          <w:rFonts w:ascii="Times New Roman" w:hAnsi="Times New Roman" w:cs="Times New Roman"/>
        </w:rPr>
        <w:t>Wyroba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C225C">
        <w:rPr>
          <w:rFonts w:ascii="Times New Roman" w:hAnsi="Times New Roman" w:cs="Times New Roman"/>
          <w:i/>
        </w:rPr>
        <w:t>et al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fldChar w:fldCharType="begin">
          <w:fldData xml:space="preserve">PEVuZE5vdGU+PENpdGU+PEF1dGhvcj5XeXJvYmE8L0F1dGhvcj48WWVhcj4yMDE2PC9ZZWFyPjxS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</w:fldData>
        </w:fldChar>
      </w:r>
      <w:r>
        <w:rPr>
          <w:rFonts w:ascii="Times New Roman" w:hAnsi="Times New Roman" w:cs="Times New Roman"/>
        </w:rPr>
        <w:instrText xml:space="preserve"> ADDIN EN.CITE </w:instrText>
      </w:r>
      <w:r>
        <w:rPr>
          <w:rFonts w:ascii="Times New Roman" w:hAnsi="Times New Roman" w:cs="Times New Roman"/>
        </w:rPr>
        <w:fldChar w:fldCharType="begin">
          <w:fldData xml:space="preserve">PEVuZE5vdGU+PENpdGU+PEF1dGhvcj5XeXJvYmE8L0F1dGhvcj48WWVhcj4yMDE2PC9ZZWFyPjxS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</w:fldData>
        </w:fldChar>
      </w:r>
      <w:r>
        <w:rPr>
          <w:rFonts w:ascii="Times New Roman" w:hAnsi="Times New Roman" w:cs="Times New Roman"/>
        </w:rPr>
        <w:instrText xml:space="preserve"> ADDIN EN.CITE.DATA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(</w:t>
      </w:r>
      <w:hyperlink w:anchor="_ENREF_16" w:tooltip="Wyroba, 2016 #1509" w:history="1">
        <w:r>
          <w:rPr>
            <w:rFonts w:ascii="Times New Roman" w:hAnsi="Times New Roman" w:cs="Times New Roman"/>
            <w:noProof/>
          </w:rPr>
          <w:t>16</w:t>
        </w:r>
      </w:hyperlink>
      <w:r>
        <w:rPr>
          <w:rFonts w:ascii="Times New Roman" w:hAnsi="Times New Roman" w:cs="Times New Roman"/>
          <w:noProof/>
        </w:rPr>
        <w:t xml:space="preserve">, </w:t>
      </w:r>
      <w:hyperlink w:history="1">
        <w:r>
          <w:rPr>
            <w:rFonts w:ascii="Times New Roman" w:hAnsi="Times New Roman" w:cs="Times New Roman"/>
            <w:noProof/>
          </w:rPr>
          <w:t>17</w:t>
        </w:r>
      </w:hyperlink>
      <w:r>
        <w:rPr>
          <w:rFonts w:ascii="Times New Roman" w:hAnsi="Times New Roman" w:cs="Times New Roman"/>
          <w:noProof/>
        </w:rPr>
        <w:t>)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B. Alignment of the conserved region of the RILP protein sequences. Arrows denote the 17 highly conserved amino acids used in analysis for Table 1.</w:t>
      </w:r>
    </w:p>
    <w:p w:rsidR="00F00E63" w:rsidRDefault="00F00E63" w:rsidP="00F00E63">
      <w:pPr>
        <w:rPr>
          <w:rFonts w:ascii="Times New Roman" w:hAnsi="Times New Roman" w:cs="Times New Roman"/>
        </w:rPr>
      </w:pPr>
    </w:p>
    <w:p w:rsidR="00F00E63" w:rsidRDefault="00F00E63" w:rsidP="00F00E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S5.</w:t>
      </w:r>
      <w:r>
        <w:rPr>
          <w:rFonts w:ascii="Times New Roman" w:hAnsi="Times New Roman" w:cs="Times New Roman"/>
        </w:rPr>
        <w:t xml:space="preserve"> The alignment of RILP protein</w:t>
      </w:r>
      <w:r w:rsidRPr="00895CF2">
        <w:rPr>
          <w:rFonts w:ascii="Times New Roman" w:hAnsi="Times New Roman" w:cs="Times New Roman"/>
        </w:rPr>
        <w:t xml:space="preserve"> sequences used to</w:t>
      </w:r>
      <w:r>
        <w:rPr>
          <w:rFonts w:ascii="Times New Roman" w:hAnsi="Times New Roman" w:cs="Times New Roman"/>
        </w:rPr>
        <w:t xml:space="preserve"> analyze RILP amino acid sequence conservation.</w:t>
      </w:r>
    </w:p>
    <w:p w:rsidR="00F00E63" w:rsidRPr="004220FB" w:rsidRDefault="00F00E63" w:rsidP="00F00E63">
      <w:pPr>
        <w:rPr>
          <w:rFonts w:ascii="Times New Roman" w:hAnsi="Times New Roman" w:cs="Times New Roman"/>
        </w:rPr>
      </w:pPr>
    </w:p>
    <w:p w:rsidR="006B3AC8" w:rsidRDefault="006B3AC8">
      <w:bookmarkStart w:id="0" w:name="_GoBack"/>
      <w:bookmarkEnd w:id="0"/>
    </w:p>
    <w:sectPr w:rsidR="006B3A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63"/>
    <w:rsid w:val="006B3AC8"/>
    <w:rsid w:val="00F0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457981-6E59-4E2B-A010-9FEB26F1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E6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Software services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Amala Gobiraman, Integra-PDY, IN</dc:creator>
  <cp:keywords/>
  <dc:description/>
  <cp:lastModifiedBy>Amala Gobiraman, Integra-PDY, IN</cp:lastModifiedBy>
  <cp:revision>1</cp:revision>
  <dcterms:created xsi:type="dcterms:W3CDTF">2020-09-16T07:23:00Z</dcterms:created>
  <dcterms:modified xsi:type="dcterms:W3CDTF">2020-09-16T07:24:00Z</dcterms:modified>
</cp:coreProperties>
</file>