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C8A2" w14:textId="77777777" w:rsidR="00323525" w:rsidRPr="00683992" w:rsidRDefault="00323525" w:rsidP="00323525">
      <w:pPr>
        <w:rPr>
          <w:rFonts w:ascii="Times New Roman" w:eastAsia="Times New Roman" w:hAnsi="Times New Roman" w:cs="Times New Roman"/>
          <w:b/>
          <w:sz w:val="24"/>
          <w:szCs w:val="24"/>
          <w:lang w:val="en-GB"/>
        </w:rPr>
      </w:pPr>
      <w:r w:rsidRPr="00683992">
        <w:rPr>
          <w:rFonts w:ascii="Times New Roman" w:eastAsia="Times New Roman" w:hAnsi="Times New Roman" w:cs="Times New Roman"/>
          <w:b/>
          <w:sz w:val="24"/>
          <w:szCs w:val="24"/>
          <w:lang w:val="en-GB"/>
        </w:rPr>
        <w:t>Supplemental material:</w:t>
      </w:r>
    </w:p>
    <w:p w14:paraId="7EE2CFE1" w14:textId="77777777" w:rsidR="00323525" w:rsidRPr="00683992" w:rsidRDefault="00323525" w:rsidP="00323525">
      <w:pPr>
        <w:rPr>
          <w:rFonts w:ascii="Times New Roman" w:eastAsia="Times New Roman" w:hAnsi="Times New Roman" w:cs="Times New Roman"/>
          <w:b/>
          <w:sz w:val="24"/>
          <w:szCs w:val="24"/>
          <w:lang w:val="en-GB"/>
        </w:rPr>
      </w:pPr>
    </w:p>
    <w:p w14:paraId="5E4DF38E" w14:textId="77777777" w:rsidR="00323525" w:rsidRPr="00683992" w:rsidRDefault="00323525" w:rsidP="00323525">
      <w:pPr>
        <w:jc w:val="both"/>
        <w:rPr>
          <w:rFonts w:ascii="Times New Roman" w:eastAsia="Times New Roman" w:hAnsi="Times New Roman" w:cs="Times New Roman"/>
          <w:sz w:val="24"/>
          <w:szCs w:val="24"/>
          <w:lang w:val="en-GB"/>
        </w:rPr>
      </w:pPr>
      <w:r w:rsidRPr="00683992">
        <w:rPr>
          <w:rFonts w:ascii="Times New Roman" w:eastAsia="Times New Roman" w:hAnsi="Times New Roman" w:cs="Times New Roman"/>
          <w:sz w:val="24"/>
          <w:szCs w:val="24"/>
          <w:lang w:val="en-GB"/>
        </w:rPr>
        <w:t>Table 1 presents basic regression models where the dependent variable is the difference in the percentage of votes between the 2017 and 2013 elections (the higher numbers show the increase in the 2017 elections). The set of predictors are sociodemographic variables from the map. In addition, the log of the municipal population has been added (logging the number of inhabitants). In the last model, the dependent variable is the sum of the difference in percentage of the votes for ANO and the SPD party. The predictors are the differences in percentage of the vote for ČSSD and KSČM. We have also included the difference in the votes for ODS in order to account for the fact that in the 2013 election a small percentage of ANO 2011 voters were recruited from an ODS electorate that reverted to voting for ODS in 2017. The model shows the same result if the sociodemographic variables are added. From the simple OLS the residuals were saved to shapefile and the HAS was conducted (Figure 1</w:t>
      </w:r>
      <w:r>
        <w:rPr>
          <w:rFonts w:ascii="Times New Roman" w:eastAsia="Times New Roman" w:hAnsi="Times New Roman" w:cs="Times New Roman"/>
          <w:sz w:val="24"/>
          <w:szCs w:val="24"/>
          <w:lang w:val="en-GB"/>
        </w:rPr>
        <w:t xml:space="preserve"> – Main map</w:t>
      </w:r>
      <w:r w:rsidRPr="00683992">
        <w:rPr>
          <w:rFonts w:ascii="Times New Roman" w:eastAsia="Times New Roman" w:hAnsi="Times New Roman" w:cs="Times New Roman"/>
          <w:sz w:val="24"/>
          <w:szCs w:val="24"/>
          <w:lang w:val="en-GB"/>
        </w:rPr>
        <w:t xml:space="preserve">). </w:t>
      </w:r>
    </w:p>
    <w:p w14:paraId="6F85827F" w14:textId="77777777" w:rsidR="00323525" w:rsidRPr="00683992" w:rsidRDefault="00323525" w:rsidP="00323525">
      <w:pPr>
        <w:rPr>
          <w:rFonts w:ascii="Times New Roman" w:eastAsia="Times New Roman" w:hAnsi="Times New Roman" w:cs="Times New Roman"/>
          <w:sz w:val="24"/>
          <w:szCs w:val="24"/>
          <w:lang w:val="en-GB"/>
        </w:rPr>
      </w:pPr>
    </w:p>
    <w:p w14:paraId="6FEC4243" w14:textId="77777777" w:rsidR="00323525" w:rsidRPr="00683992" w:rsidRDefault="00323525" w:rsidP="00323525">
      <w:pPr>
        <w:rPr>
          <w:rFonts w:ascii="Times New Roman" w:eastAsia="Times New Roman" w:hAnsi="Times New Roman" w:cs="Times New Roman"/>
          <w:b/>
          <w:sz w:val="24"/>
          <w:szCs w:val="24"/>
          <w:lang w:val="en-GB"/>
        </w:rPr>
      </w:pPr>
      <w:r w:rsidRPr="00683992">
        <w:rPr>
          <w:rFonts w:ascii="Times New Roman" w:eastAsia="Times New Roman" w:hAnsi="Times New Roman" w:cs="Times New Roman"/>
          <w:b/>
          <w:sz w:val="24"/>
          <w:szCs w:val="24"/>
          <w:lang w:val="en-GB"/>
        </w:rPr>
        <w:t>Table 1. Percentage vote share difference 2017-2013 as dependent variable</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216"/>
        <w:gridCol w:w="1361"/>
        <w:gridCol w:w="1263"/>
        <w:gridCol w:w="1405"/>
        <w:gridCol w:w="1462"/>
        <w:gridCol w:w="1653"/>
      </w:tblGrid>
      <w:tr w:rsidR="00323525" w:rsidRPr="00683992" w14:paraId="7ECA8DE8" w14:textId="77777777" w:rsidTr="00185C9F">
        <w:trPr>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55B6F58E" w14:textId="77777777" w:rsidR="00323525" w:rsidRPr="00683992" w:rsidRDefault="00323525" w:rsidP="00185C9F">
            <w:pPr>
              <w:spacing w:before="72" w:line="240" w:lineRule="auto"/>
              <w:jc w:val="center"/>
              <w:textAlignment w:val="baseline"/>
              <w:rPr>
                <w:rFonts w:ascii="Times New Roman" w:eastAsia="Times New Roman" w:hAnsi="Times New Roman" w:cs="Times New Roman"/>
                <w:sz w:val="24"/>
                <w:szCs w:val="27"/>
                <w:lang w:val="en-GB" w:eastAsia="en-GB"/>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66F7341B" w14:textId="77777777" w:rsidR="00323525" w:rsidRPr="00683992" w:rsidRDefault="00323525" w:rsidP="00185C9F">
            <w:pPr>
              <w:spacing w:line="240" w:lineRule="auto"/>
              <w:jc w:val="center"/>
              <w:rPr>
                <w:rFonts w:ascii="Times New Roman" w:eastAsia="Times New Roman" w:hAnsi="Times New Roman" w:cs="Times New Roman"/>
                <w:b/>
                <w:bCs/>
                <w:sz w:val="24"/>
                <w:szCs w:val="27"/>
                <w:lang w:val="en-GB" w:eastAsia="en-GB"/>
              </w:rPr>
            </w:pPr>
            <w:r w:rsidRPr="00683992">
              <w:rPr>
                <w:rFonts w:ascii="Times New Roman" w:eastAsia="Times New Roman" w:hAnsi="Times New Roman" w:cs="Times New Roman"/>
                <w:b/>
                <w:bCs/>
                <w:sz w:val="24"/>
                <w:szCs w:val="27"/>
                <w:lang w:val="en-GB" w:eastAsia="en-GB"/>
              </w:rPr>
              <w:t>ANO 2017-13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3496E2C0" w14:textId="77777777" w:rsidR="00323525" w:rsidRPr="00683992" w:rsidRDefault="00323525" w:rsidP="00185C9F">
            <w:pPr>
              <w:spacing w:line="240" w:lineRule="auto"/>
              <w:jc w:val="center"/>
              <w:rPr>
                <w:rFonts w:ascii="Times New Roman" w:eastAsia="Times New Roman" w:hAnsi="Times New Roman" w:cs="Times New Roman"/>
                <w:b/>
                <w:bCs/>
                <w:sz w:val="24"/>
                <w:szCs w:val="27"/>
                <w:lang w:val="en-GB" w:eastAsia="en-GB"/>
              </w:rPr>
            </w:pPr>
            <w:r w:rsidRPr="00683992">
              <w:rPr>
                <w:rFonts w:ascii="Times New Roman" w:eastAsia="Times New Roman" w:hAnsi="Times New Roman" w:cs="Times New Roman"/>
                <w:b/>
                <w:bCs/>
                <w:sz w:val="24"/>
                <w:szCs w:val="27"/>
                <w:lang w:val="en-GB" w:eastAsia="en-GB"/>
              </w:rPr>
              <w:t>SPD 2017-13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1B85ABA8" w14:textId="77777777" w:rsidR="00323525" w:rsidRPr="00683992" w:rsidRDefault="00323525" w:rsidP="00185C9F">
            <w:pPr>
              <w:spacing w:line="240" w:lineRule="auto"/>
              <w:jc w:val="center"/>
              <w:rPr>
                <w:rFonts w:ascii="Times New Roman" w:eastAsia="Times New Roman" w:hAnsi="Times New Roman" w:cs="Times New Roman"/>
                <w:b/>
                <w:bCs/>
                <w:sz w:val="24"/>
                <w:szCs w:val="27"/>
                <w:lang w:val="en-GB" w:eastAsia="en-GB"/>
              </w:rPr>
            </w:pPr>
            <w:r w:rsidRPr="00683992">
              <w:rPr>
                <w:rFonts w:ascii="Times New Roman" w:eastAsia="Times New Roman" w:hAnsi="Times New Roman" w:cs="Times New Roman"/>
                <w:b/>
                <w:bCs/>
                <w:sz w:val="24"/>
                <w:szCs w:val="27"/>
                <w:lang w:val="en-GB" w:eastAsia="en-GB"/>
              </w:rPr>
              <w:t>CSSD 2017-13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7216FF94" w14:textId="77777777" w:rsidR="00323525" w:rsidRPr="00683992" w:rsidRDefault="00323525" w:rsidP="00185C9F">
            <w:pPr>
              <w:spacing w:line="240" w:lineRule="auto"/>
              <w:jc w:val="center"/>
              <w:rPr>
                <w:rFonts w:ascii="Times New Roman" w:eastAsia="Times New Roman" w:hAnsi="Times New Roman" w:cs="Times New Roman"/>
                <w:b/>
                <w:bCs/>
                <w:sz w:val="24"/>
                <w:szCs w:val="27"/>
                <w:lang w:val="en-GB" w:eastAsia="en-GB"/>
              </w:rPr>
            </w:pPr>
            <w:r w:rsidRPr="00683992">
              <w:rPr>
                <w:rFonts w:ascii="Times New Roman" w:eastAsia="Times New Roman" w:hAnsi="Times New Roman" w:cs="Times New Roman"/>
                <w:b/>
                <w:bCs/>
                <w:sz w:val="24"/>
                <w:szCs w:val="27"/>
                <w:lang w:val="en-GB" w:eastAsia="en-GB"/>
              </w:rPr>
              <w:t>KSČM 2017-13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7757CFC4" w14:textId="77777777" w:rsidR="00323525" w:rsidRPr="00683992" w:rsidRDefault="00323525" w:rsidP="00185C9F">
            <w:pPr>
              <w:spacing w:line="240" w:lineRule="auto"/>
              <w:jc w:val="center"/>
              <w:rPr>
                <w:rFonts w:ascii="Times New Roman" w:eastAsia="Times New Roman" w:hAnsi="Times New Roman" w:cs="Times New Roman"/>
                <w:b/>
                <w:bCs/>
                <w:sz w:val="24"/>
                <w:szCs w:val="27"/>
                <w:lang w:val="en-GB" w:eastAsia="en-GB"/>
              </w:rPr>
            </w:pPr>
            <w:r w:rsidRPr="00683992">
              <w:rPr>
                <w:rFonts w:ascii="Times New Roman" w:eastAsia="Times New Roman" w:hAnsi="Times New Roman" w:cs="Times New Roman"/>
                <w:b/>
                <w:bCs/>
                <w:sz w:val="24"/>
                <w:szCs w:val="27"/>
                <w:lang w:val="en-GB" w:eastAsia="en-GB"/>
              </w:rPr>
              <w:t>ANO+SPD 17-13</w:t>
            </w:r>
          </w:p>
        </w:tc>
      </w:tr>
      <w:tr w:rsidR="00323525" w:rsidRPr="00683992" w14:paraId="4B8AC3B0"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BB2F94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College degree (%)</w:t>
            </w:r>
          </w:p>
        </w:tc>
        <w:tc>
          <w:tcPr>
            <w:tcW w:w="0" w:type="auto"/>
            <w:tcBorders>
              <w:top w:val="nil"/>
              <w:left w:val="nil"/>
              <w:bottom w:val="nil"/>
              <w:right w:val="nil"/>
            </w:tcBorders>
            <w:tcMar>
              <w:top w:w="15" w:type="dxa"/>
              <w:left w:w="15" w:type="dxa"/>
              <w:bottom w:w="15" w:type="dxa"/>
              <w:right w:w="180" w:type="dxa"/>
            </w:tcMar>
            <w:vAlign w:val="center"/>
            <w:hideMark/>
          </w:tcPr>
          <w:p w14:paraId="5C12570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-0.270</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46A1D53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-0.036</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497DED8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0.143</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7F0F5878"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0.134</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AC1E56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-0.045</w:t>
            </w:r>
            <w:r w:rsidRPr="00683992">
              <w:rPr>
                <w:rFonts w:ascii="Times New Roman" w:eastAsia="Times New Roman" w:hAnsi="Times New Roman" w:cs="Times New Roman"/>
                <w:sz w:val="24"/>
                <w:szCs w:val="27"/>
                <w:vertAlign w:val="superscript"/>
                <w:lang w:val="en-GB" w:eastAsia="en-GB"/>
              </w:rPr>
              <w:t>***</w:t>
            </w:r>
          </w:p>
        </w:tc>
      </w:tr>
      <w:tr w:rsidR="00323525" w:rsidRPr="00683992" w14:paraId="4151D539"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58208E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089CA18C"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(0.013)</w:t>
            </w:r>
          </w:p>
        </w:tc>
        <w:tc>
          <w:tcPr>
            <w:tcW w:w="0" w:type="auto"/>
            <w:tcBorders>
              <w:top w:val="nil"/>
              <w:left w:val="nil"/>
              <w:bottom w:val="nil"/>
              <w:right w:val="nil"/>
            </w:tcBorders>
            <w:tcMar>
              <w:top w:w="15" w:type="dxa"/>
              <w:left w:w="15" w:type="dxa"/>
              <w:bottom w:w="15" w:type="dxa"/>
              <w:right w:w="180" w:type="dxa"/>
            </w:tcMar>
            <w:vAlign w:val="center"/>
            <w:hideMark/>
          </w:tcPr>
          <w:p w14:paraId="7BEE359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(0.008)</w:t>
            </w:r>
          </w:p>
        </w:tc>
        <w:tc>
          <w:tcPr>
            <w:tcW w:w="0" w:type="auto"/>
            <w:tcBorders>
              <w:top w:val="nil"/>
              <w:left w:val="nil"/>
              <w:bottom w:val="nil"/>
              <w:right w:val="nil"/>
            </w:tcBorders>
            <w:tcMar>
              <w:top w:w="15" w:type="dxa"/>
              <w:left w:w="15" w:type="dxa"/>
              <w:bottom w:w="15" w:type="dxa"/>
              <w:right w:w="180" w:type="dxa"/>
            </w:tcMar>
            <w:vAlign w:val="center"/>
            <w:hideMark/>
          </w:tcPr>
          <w:p w14:paraId="7C8B223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(0.009)</w:t>
            </w:r>
          </w:p>
        </w:tc>
        <w:tc>
          <w:tcPr>
            <w:tcW w:w="0" w:type="auto"/>
            <w:tcBorders>
              <w:top w:val="nil"/>
              <w:left w:val="nil"/>
              <w:bottom w:val="nil"/>
              <w:right w:val="nil"/>
            </w:tcBorders>
            <w:tcMar>
              <w:top w:w="15" w:type="dxa"/>
              <w:left w:w="15" w:type="dxa"/>
              <w:bottom w:w="15" w:type="dxa"/>
              <w:right w:w="180" w:type="dxa"/>
            </w:tcMar>
            <w:vAlign w:val="center"/>
            <w:hideMark/>
          </w:tcPr>
          <w:p w14:paraId="00ABBC7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(0.007)</w:t>
            </w:r>
          </w:p>
        </w:tc>
        <w:tc>
          <w:tcPr>
            <w:tcW w:w="0" w:type="auto"/>
            <w:tcBorders>
              <w:top w:val="nil"/>
              <w:left w:val="nil"/>
              <w:bottom w:val="nil"/>
              <w:right w:val="nil"/>
            </w:tcBorders>
            <w:tcMar>
              <w:top w:w="15" w:type="dxa"/>
              <w:left w:w="15" w:type="dxa"/>
              <w:bottom w:w="15" w:type="dxa"/>
              <w:right w:w="180" w:type="dxa"/>
            </w:tcMar>
            <w:vAlign w:val="center"/>
            <w:hideMark/>
          </w:tcPr>
          <w:p w14:paraId="576B100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(0.013)</w:t>
            </w:r>
          </w:p>
        </w:tc>
      </w:tr>
      <w:tr w:rsidR="00323525" w:rsidRPr="00683992" w14:paraId="1E083EAC"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7B6DCF5C"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Self-employed (%)</w:t>
            </w:r>
          </w:p>
        </w:tc>
        <w:tc>
          <w:tcPr>
            <w:tcW w:w="0" w:type="auto"/>
            <w:tcBorders>
              <w:top w:val="nil"/>
              <w:left w:val="nil"/>
              <w:bottom w:val="nil"/>
              <w:right w:val="nil"/>
            </w:tcBorders>
            <w:tcMar>
              <w:top w:w="15" w:type="dxa"/>
              <w:left w:w="15" w:type="dxa"/>
              <w:bottom w:w="15" w:type="dxa"/>
              <w:right w:w="180" w:type="dxa"/>
            </w:tcMar>
            <w:vAlign w:val="center"/>
            <w:hideMark/>
          </w:tcPr>
          <w:p w14:paraId="3EB8EC97"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-1.260</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5759338C"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-0.315</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141B61C5"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0.856</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79828938"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0.304</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1FD73490"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-0.373</w:t>
            </w:r>
            <w:r w:rsidRPr="00683992">
              <w:rPr>
                <w:rFonts w:ascii="Times New Roman" w:eastAsia="Times New Roman" w:hAnsi="Times New Roman" w:cs="Times New Roman"/>
                <w:sz w:val="24"/>
                <w:szCs w:val="27"/>
                <w:vertAlign w:val="superscript"/>
                <w:lang w:val="en-GB" w:eastAsia="en-GB"/>
              </w:rPr>
              <w:t>***</w:t>
            </w:r>
          </w:p>
        </w:tc>
      </w:tr>
      <w:tr w:rsidR="00323525" w:rsidRPr="00683992" w14:paraId="788D53AC"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D591577"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1D994CED"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(0.028)</w:t>
            </w:r>
          </w:p>
        </w:tc>
        <w:tc>
          <w:tcPr>
            <w:tcW w:w="0" w:type="auto"/>
            <w:tcBorders>
              <w:top w:val="nil"/>
              <w:left w:val="nil"/>
              <w:bottom w:val="nil"/>
              <w:right w:val="nil"/>
            </w:tcBorders>
            <w:tcMar>
              <w:top w:w="15" w:type="dxa"/>
              <w:left w:w="15" w:type="dxa"/>
              <w:bottom w:w="15" w:type="dxa"/>
              <w:right w:w="180" w:type="dxa"/>
            </w:tcMar>
            <w:vAlign w:val="center"/>
            <w:hideMark/>
          </w:tcPr>
          <w:p w14:paraId="1D28D9A5"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(0.017)</w:t>
            </w:r>
          </w:p>
        </w:tc>
        <w:tc>
          <w:tcPr>
            <w:tcW w:w="0" w:type="auto"/>
            <w:tcBorders>
              <w:top w:val="nil"/>
              <w:left w:val="nil"/>
              <w:bottom w:val="nil"/>
              <w:right w:val="nil"/>
            </w:tcBorders>
            <w:tcMar>
              <w:top w:w="15" w:type="dxa"/>
              <w:left w:w="15" w:type="dxa"/>
              <w:bottom w:w="15" w:type="dxa"/>
              <w:right w:w="180" w:type="dxa"/>
            </w:tcMar>
            <w:vAlign w:val="center"/>
            <w:hideMark/>
          </w:tcPr>
          <w:p w14:paraId="4332559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(0.020)</w:t>
            </w:r>
          </w:p>
        </w:tc>
        <w:tc>
          <w:tcPr>
            <w:tcW w:w="0" w:type="auto"/>
            <w:tcBorders>
              <w:top w:val="nil"/>
              <w:left w:val="nil"/>
              <w:bottom w:val="nil"/>
              <w:right w:val="nil"/>
            </w:tcBorders>
            <w:tcMar>
              <w:top w:w="15" w:type="dxa"/>
              <w:left w:w="15" w:type="dxa"/>
              <w:bottom w:w="15" w:type="dxa"/>
              <w:right w:w="180" w:type="dxa"/>
            </w:tcMar>
            <w:vAlign w:val="center"/>
            <w:hideMark/>
          </w:tcPr>
          <w:p w14:paraId="7D0AB36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(0.016)</w:t>
            </w:r>
          </w:p>
        </w:tc>
        <w:tc>
          <w:tcPr>
            <w:tcW w:w="0" w:type="auto"/>
            <w:tcBorders>
              <w:top w:val="nil"/>
              <w:left w:val="nil"/>
              <w:bottom w:val="nil"/>
              <w:right w:val="nil"/>
            </w:tcBorders>
            <w:tcMar>
              <w:top w:w="15" w:type="dxa"/>
              <w:left w:w="15" w:type="dxa"/>
              <w:bottom w:w="15" w:type="dxa"/>
              <w:right w:w="180" w:type="dxa"/>
            </w:tcMar>
            <w:vAlign w:val="center"/>
            <w:hideMark/>
          </w:tcPr>
          <w:p w14:paraId="1E9295E6"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(0.024)</w:t>
            </w:r>
          </w:p>
        </w:tc>
      </w:tr>
      <w:tr w:rsidR="00323525" w:rsidRPr="00683992" w14:paraId="7A83321B"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0CFD363"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Unemployed (%)</w:t>
            </w:r>
          </w:p>
        </w:tc>
        <w:tc>
          <w:tcPr>
            <w:tcW w:w="0" w:type="auto"/>
            <w:tcBorders>
              <w:top w:val="nil"/>
              <w:left w:val="nil"/>
              <w:bottom w:val="nil"/>
              <w:right w:val="nil"/>
            </w:tcBorders>
            <w:tcMar>
              <w:top w:w="15" w:type="dxa"/>
              <w:left w:w="15" w:type="dxa"/>
              <w:bottom w:w="15" w:type="dxa"/>
              <w:right w:w="180" w:type="dxa"/>
            </w:tcMar>
            <w:vAlign w:val="center"/>
            <w:hideMark/>
          </w:tcPr>
          <w:p w14:paraId="1FED580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-0.001</w:t>
            </w:r>
          </w:p>
        </w:tc>
        <w:tc>
          <w:tcPr>
            <w:tcW w:w="0" w:type="auto"/>
            <w:tcBorders>
              <w:top w:val="nil"/>
              <w:left w:val="nil"/>
              <w:bottom w:val="nil"/>
              <w:right w:val="nil"/>
            </w:tcBorders>
            <w:tcMar>
              <w:top w:w="15" w:type="dxa"/>
              <w:left w:w="15" w:type="dxa"/>
              <w:bottom w:w="15" w:type="dxa"/>
              <w:right w:w="180" w:type="dxa"/>
            </w:tcMar>
            <w:vAlign w:val="center"/>
            <w:hideMark/>
          </w:tcPr>
          <w:p w14:paraId="6F55EC70"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0.386</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4E5C68DE"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-0.190</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4A2FE0F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-0.198</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29D564A7"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0.107</w:t>
            </w:r>
            <w:r w:rsidRPr="00683992">
              <w:rPr>
                <w:rFonts w:ascii="Times New Roman" w:eastAsia="Times New Roman" w:hAnsi="Times New Roman" w:cs="Times New Roman"/>
                <w:sz w:val="24"/>
                <w:szCs w:val="27"/>
                <w:vertAlign w:val="superscript"/>
                <w:lang w:val="en-GB" w:eastAsia="en-GB"/>
              </w:rPr>
              <w:t>***</w:t>
            </w:r>
          </w:p>
        </w:tc>
      </w:tr>
      <w:tr w:rsidR="00323525" w:rsidRPr="00683992" w14:paraId="25BE8258"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626350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52CD8498"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(0.024)</w:t>
            </w:r>
          </w:p>
        </w:tc>
        <w:tc>
          <w:tcPr>
            <w:tcW w:w="0" w:type="auto"/>
            <w:tcBorders>
              <w:top w:val="nil"/>
              <w:left w:val="nil"/>
              <w:bottom w:val="nil"/>
              <w:right w:val="nil"/>
            </w:tcBorders>
            <w:tcMar>
              <w:top w:w="15" w:type="dxa"/>
              <w:left w:w="15" w:type="dxa"/>
              <w:bottom w:w="15" w:type="dxa"/>
              <w:right w:w="180" w:type="dxa"/>
            </w:tcMar>
            <w:vAlign w:val="center"/>
            <w:hideMark/>
          </w:tcPr>
          <w:p w14:paraId="31648B65"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(0.014)</w:t>
            </w:r>
          </w:p>
        </w:tc>
        <w:tc>
          <w:tcPr>
            <w:tcW w:w="0" w:type="auto"/>
            <w:tcBorders>
              <w:top w:val="nil"/>
              <w:left w:val="nil"/>
              <w:bottom w:val="nil"/>
              <w:right w:val="nil"/>
            </w:tcBorders>
            <w:tcMar>
              <w:top w:w="15" w:type="dxa"/>
              <w:left w:w="15" w:type="dxa"/>
              <w:bottom w:w="15" w:type="dxa"/>
              <w:right w:w="180" w:type="dxa"/>
            </w:tcMar>
            <w:vAlign w:val="center"/>
            <w:hideMark/>
          </w:tcPr>
          <w:p w14:paraId="794462CD"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(0.018)</w:t>
            </w:r>
          </w:p>
        </w:tc>
        <w:tc>
          <w:tcPr>
            <w:tcW w:w="0" w:type="auto"/>
            <w:tcBorders>
              <w:top w:val="nil"/>
              <w:left w:val="nil"/>
              <w:bottom w:val="nil"/>
              <w:right w:val="nil"/>
            </w:tcBorders>
            <w:tcMar>
              <w:top w:w="15" w:type="dxa"/>
              <w:left w:w="15" w:type="dxa"/>
              <w:bottom w:w="15" w:type="dxa"/>
              <w:right w:w="180" w:type="dxa"/>
            </w:tcMar>
            <w:vAlign w:val="center"/>
            <w:hideMark/>
          </w:tcPr>
          <w:p w14:paraId="4F8F4CC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(0.014)</w:t>
            </w:r>
          </w:p>
        </w:tc>
        <w:tc>
          <w:tcPr>
            <w:tcW w:w="0" w:type="auto"/>
            <w:tcBorders>
              <w:top w:val="nil"/>
              <w:left w:val="nil"/>
              <w:bottom w:val="nil"/>
              <w:right w:val="nil"/>
            </w:tcBorders>
            <w:tcMar>
              <w:top w:w="15" w:type="dxa"/>
              <w:left w:w="15" w:type="dxa"/>
              <w:bottom w:w="15" w:type="dxa"/>
              <w:right w:w="180" w:type="dxa"/>
            </w:tcMar>
            <w:vAlign w:val="center"/>
            <w:hideMark/>
          </w:tcPr>
          <w:p w14:paraId="478072BC"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(0.024)</w:t>
            </w:r>
          </w:p>
        </w:tc>
      </w:tr>
      <w:tr w:rsidR="00323525" w:rsidRPr="00683992" w14:paraId="238B5198"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89B40F7"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65+ years (%)</w:t>
            </w:r>
          </w:p>
        </w:tc>
        <w:tc>
          <w:tcPr>
            <w:tcW w:w="0" w:type="auto"/>
            <w:tcBorders>
              <w:top w:val="nil"/>
              <w:left w:val="nil"/>
              <w:bottom w:val="nil"/>
              <w:right w:val="nil"/>
            </w:tcBorders>
            <w:tcMar>
              <w:top w:w="15" w:type="dxa"/>
              <w:left w:w="15" w:type="dxa"/>
              <w:bottom w:w="15" w:type="dxa"/>
              <w:right w:w="180" w:type="dxa"/>
            </w:tcMar>
            <w:vAlign w:val="center"/>
            <w:hideMark/>
          </w:tcPr>
          <w:p w14:paraId="1717F2C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0.173</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CC9E58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-0.015</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38785EF0"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-0.107</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7CDEFBAB"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-0.005</w:t>
            </w:r>
          </w:p>
        </w:tc>
        <w:tc>
          <w:tcPr>
            <w:tcW w:w="0" w:type="auto"/>
            <w:tcBorders>
              <w:top w:val="nil"/>
              <w:left w:val="nil"/>
              <w:bottom w:val="nil"/>
              <w:right w:val="nil"/>
            </w:tcBorders>
            <w:tcMar>
              <w:top w:w="15" w:type="dxa"/>
              <w:left w:w="15" w:type="dxa"/>
              <w:bottom w:w="15" w:type="dxa"/>
              <w:right w:w="180" w:type="dxa"/>
            </w:tcMar>
            <w:vAlign w:val="center"/>
            <w:hideMark/>
          </w:tcPr>
          <w:p w14:paraId="1169D133"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0.040</w:t>
            </w:r>
            <w:r w:rsidRPr="00683992">
              <w:rPr>
                <w:rFonts w:ascii="Times New Roman" w:eastAsia="Times New Roman" w:hAnsi="Times New Roman" w:cs="Times New Roman"/>
                <w:sz w:val="24"/>
                <w:szCs w:val="27"/>
                <w:vertAlign w:val="superscript"/>
                <w:lang w:val="en-GB" w:eastAsia="en-GB"/>
              </w:rPr>
              <w:t>***</w:t>
            </w:r>
          </w:p>
        </w:tc>
      </w:tr>
      <w:tr w:rsidR="00323525" w:rsidRPr="00683992" w14:paraId="18B80A76"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2C5F34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6F13F54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(0.008)</w:t>
            </w:r>
          </w:p>
        </w:tc>
        <w:tc>
          <w:tcPr>
            <w:tcW w:w="0" w:type="auto"/>
            <w:tcBorders>
              <w:top w:val="nil"/>
              <w:left w:val="nil"/>
              <w:bottom w:val="nil"/>
              <w:right w:val="nil"/>
            </w:tcBorders>
            <w:tcMar>
              <w:top w:w="15" w:type="dxa"/>
              <w:left w:w="15" w:type="dxa"/>
              <w:bottom w:w="15" w:type="dxa"/>
              <w:right w:w="180" w:type="dxa"/>
            </w:tcMar>
            <w:vAlign w:val="center"/>
            <w:hideMark/>
          </w:tcPr>
          <w:p w14:paraId="6BB5FEA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(0.005)</w:t>
            </w:r>
          </w:p>
        </w:tc>
        <w:tc>
          <w:tcPr>
            <w:tcW w:w="0" w:type="auto"/>
            <w:tcBorders>
              <w:top w:val="nil"/>
              <w:left w:val="nil"/>
              <w:bottom w:val="nil"/>
              <w:right w:val="nil"/>
            </w:tcBorders>
            <w:tcMar>
              <w:top w:w="15" w:type="dxa"/>
              <w:left w:w="15" w:type="dxa"/>
              <w:bottom w:w="15" w:type="dxa"/>
              <w:right w:w="180" w:type="dxa"/>
            </w:tcMar>
            <w:vAlign w:val="center"/>
            <w:hideMark/>
          </w:tcPr>
          <w:p w14:paraId="3FF8618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(0.006)</w:t>
            </w:r>
          </w:p>
        </w:tc>
        <w:tc>
          <w:tcPr>
            <w:tcW w:w="0" w:type="auto"/>
            <w:tcBorders>
              <w:top w:val="nil"/>
              <w:left w:val="nil"/>
              <w:bottom w:val="nil"/>
              <w:right w:val="nil"/>
            </w:tcBorders>
            <w:tcMar>
              <w:top w:w="15" w:type="dxa"/>
              <w:left w:w="15" w:type="dxa"/>
              <w:bottom w:w="15" w:type="dxa"/>
              <w:right w:w="180" w:type="dxa"/>
            </w:tcMar>
            <w:vAlign w:val="center"/>
            <w:hideMark/>
          </w:tcPr>
          <w:p w14:paraId="36C17B4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(0.004)</w:t>
            </w:r>
          </w:p>
        </w:tc>
        <w:tc>
          <w:tcPr>
            <w:tcW w:w="0" w:type="auto"/>
            <w:tcBorders>
              <w:top w:val="nil"/>
              <w:left w:val="nil"/>
              <w:bottom w:val="nil"/>
              <w:right w:val="nil"/>
            </w:tcBorders>
            <w:tcMar>
              <w:top w:w="15" w:type="dxa"/>
              <w:left w:w="15" w:type="dxa"/>
              <w:bottom w:w="15" w:type="dxa"/>
              <w:right w:w="180" w:type="dxa"/>
            </w:tcMar>
            <w:vAlign w:val="center"/>
            <w:hideMark/>
          </w:tcPr>
          <w:p w14:paraId="37A38F2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(0.007)</w:t>
            </w:r>
          </w:p>
        </w:tc>
      </w:tr>
      <w:tr w:rsidR="00323525" w:rsidRPr="00683992" w14:paraId="60D4EE73"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776204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Catholics (%)</w:t>
            </w:r>
          </w:p>
        </w:tc>
        <w:tc>
          <w:tcPr>
            <w:tcW w:w="0" w:type="auto"/>
            <w:tcBorders>
              <w:top w:val="nil"/>
              <w:left w:val="nil"/>
              <w:bottom w:val="nil"/>
              <w:right w:val="nil"/>
            </w:tcBorders>
            <w:tcMar>
              <w:top w:w="15" w:type="dxa"/>
              <w:left w:w="15" w:type="dxa"/>
              <w:bottom w:w="15" w:type="dxa"/>
              <w:right w:w="180" w:type="dxa"/>
            </w:tcMar>
            <w:vAlign w:val="center"/>
            <w:hideMark/>
          </w:tcPr>
          <w:p w14:paraId="39C1A567"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0.029</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54F3372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-0.006</w:t>
            </w:r>
          </w:p>
        </w:tc>
        <w:tc>
          <w:tcPr>
            <w:tcW w:w="0" w:type="auto"/>
            <w:tcBorders>
              <w:top w:val="nil"/>
              <w:left w:val="nil"/>
              <w:bottom w:val="nil"/>
              <w:right w:val="nil"/>
            </w:tcBorders>
            <w:tcMar>
              <w:top w:w="15" w:type="dxa"/>
              <w:left w:w="15" w:type="dxa"/>
              <w:bottom w:w="15" w:type="dxa"/>
              <w:right w:w="180" w:type="dxa"/>
            </w:tcMar>
            <w:vAlign w:val="center"/>
            <w:hideMark/>
          </w:tcPr>
          <w:p w14:paraId="1198ECF4"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-0.004</w:t>
            </w:r>
          </w:p>
        </w:tc>
        <w:tc>
          <w:tcPr>
            <w:tcW w:w="0" w:type="auto"/>
            <w:tcBorders>
              <w:top w:val="nil"/>
              <w:left w:val="nil"/>
              <w:bottom w:val="nil"/>
              <w:right w:val="nil"/>
            </w:tcBorders>
            <w:tcMar>
              <w:top w:w="15" w:type="dxa"/>
              <w:left w:w="15" w:type="dxa"/>
              <w:bottom w:w="15" w:type="dxa"/>
              <w:right w:w="180" w:type="dxa"/>
            </w:tcMar>
            <w:vAlign w:val="center"/>
            <w:hideMark/>
          </w:tcPr>
          <w:p w14:paraId="32C70F2E"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0.057</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199E1694"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0.047</w:t>
            </w:r>
            <w:r w:rsidRPr="00683992">
              <w:rPr>
                <w:rFonts w:ascii="Times New Roman" w:eastAsia="Times New Roman" w:hAnsi="Times New Roman" w:cs="Times New Roman"/>
                <w:sz w:val="24"/>
                <w:szCs w:val="27"/>
                <w:vertAlign w:val="superscript"/>
                <w:lang w:val="en-GB" w:eastAsia="en-GB"/>
              </w:rPr>
              <w:t>***</w:t>
            </w:r>
          </w:p>
        </w:tc>
      </w:tr>
      <w:tr w:rsidR="00323525" w:rsidRPr="00683992" w14:paraId="0EBB9EC1"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3CCA4F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3CE0925C"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(0.006)</w:t>
            </w:r>
          </w:p>
        </w:tc>
        <w:tc>
          <w:tcPr>
            <w:tcW w:w="0" w:type="auto"/>
            <w:tcBorders>
              <w:top w:val="nil"/>
              <w:left w:val="nil"/>
              <w:bottom w:val="nil"/>
              <w:right w:val="nil"/>
            </w:tcBorders>
            <w:tcMar>
              <w:top w:w="15" w:type="dxa"/>
              <w:left w:w="15" w:type="dxa"/>
              <w:bottom w:w="15" w:type="dxa"/>
              <w:right w:w="180" w:type="dxa"/>
            </w:tcMar>
            <w:vAlign w:val="center"/>
            <w:hideMark/>
          </w:tcPr>
          <w:p w14:paraId="0E5BA0F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(0.004)</w:t>
            </w:r>
          </w:p>
        </w:tc>
        <w:tc>
          <w:tcPr>
            <w:tcW w:w="0" w:type="auto"/>
            <w:tcBorders>
              <w:top w:val="nil"/>
              <w:left w:val="nil"/>
              <w:bottom w:val="nil"/>
              <w:right w:val="nil"/>
            </w:tcBorders>
            <w:tcMar>
              <w:top w:w="15" w:type="dxa"/>
              <w:left w:w="15" w:type="dxa"/>
              <w:bottom w:w="15" w:type="dxa"/>
              <w:right w:w="180" w:type="dxa"/>
            </w:tcMar>
            <w:vAlign w:val="center"/>
            <w:hideMark/>
          </w:tcPr>
          <w:p w14:paraId="6C3B4A38"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(0.004)</w:t>
            </w:r>
          </w:p>
        </w:tc>
        <w:tc>
          <w:tcPr>
            <w:tcW w:w="0" w:type="auto"/>
            <w:tcBorders>
              <w:top w:val="nil"/>
              <w:left w:val="nil"/>
              <w:bottom w:val="nil"/>
              <w:right w:val="nil"/>
            </w:tcBorders>
            <w:tcMar>
              <w:top w:w="15" w:type="dxa"/>
              <w:left w:w="15" w:type="dxa"/>
              <w:bottom w:w="15" w:type="dxa"/>
              <w:right w:w="180" w:type="dxa"/>
            </w:tcMar>
            <w:vAlign w:val="center"/>
            <w:hideMark/>
          </w:tcPr>
          <w:p w14:paraId="399B376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(0.003)</w:t>
            </w:r>
          </w:p>
        </w:tc>
        <w:tc>
          <w:tcPr>
            <w:tcW w:w="0" w:type="auto"/>
            <w:tcBorders>
              <w:top w:val="nil"/>
              <w:left w:val="nil"/>
              <w:bottom w:val="nil"/>
              <w:right w:val="nil"/>
            </w:tcBorders>
            <w:tcMar>
              <w:top w:w="15" w:type="dxa"/>
              <w:left w:w="15" w:type="dxa"/>
              <w:bottom w:w="15" w:type="dxa"/>
              <w:right w:w="180" w:type="dxa"/>
            </w:tcMar>
            <w:vAlign w:val="center"/>
            <w:hideMark/>
          </w:tcPr>
          <w:p w14:paraId="12A994BC"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(0.005)</w:t>
            </w:r>
          </w:p>
        </w:tc>
      </w:tr>
      <w:tr w:rsidR="00323525" w:rsidRPr="00683992" w14:paraId="6AC474F3"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EC61D44"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Distraints (%)</w:t>
            </w:r>
          </w:p>
        </w:tc>
        <w:tc>
          <w:tcPr>
            <w:tcW w:w="0" w:type="auto"/>
            <w:tcBorders>
              <w:top w:val="nil"/>
              <w:left w:val="nil"/>
              <w:bottom w:val="nil"/>
              <w:right w:val="nil"/>
            </w:tcBorders>
            <w:tcMar>
              <w:top w:w="15" w:type="dxa"/>
              <w:left w:w="15" w:type="dxa"/>
              <w:bottom w:w="15" w:type="dxa"/>
              <w:right w:w="180" w:type="dxa"/>
            </w:tcMar>
            <w:vAlign w:val="center"/>
            <w:hideMark/>
          </w:tcPr>
          <w:p w14:paraId="215D9AA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0.212</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1F0320E2"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0.047</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56114F9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-0.034</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71287893"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-0.119</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38A69C3C"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0.127</w:t>
            </w:r>
            <w:r w:rsidRPr="00683992">
              <w:rPr>
                <w:rFonts w:ascii="Times New Roman" w:eastAsia="Times New Roman" w:hAnsi="Times New Roman" w:cs="Times New Roman"/>
                <w:sz w:val="24"/>
                <w:szCs w:val="27"/>
                <w:vertAlign w:val="superscript"/>
                <w:lang w:val="en-GB" w:eastAsia="en-GB"/>
              </w:rPr>
              <w:t>***</w:t>
            </w:r>
          </w:p>
        </w:tc>
      </w:tr>
      <w:tr w:rsidR="00323525" w:rsidRPr="00683992" w14:paraId="352DE1ED"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DC76F3D"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37032C4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(0.011)</w:t>
            </w:r>
          </w:p>
        </w:tc>
        <w:tc>
          <w:tcPr>
            <w:tcW w:w="0" w:type="auto"/>
            <w:tcBorders>
              <w:top w:val="nil"/>
              <w:left w:val="nil"/>
              <w:bottom w:val="nil"/>
              <w:right w:val="nil"/>
            </w:tcBorders>
            <w:tcMar>
              <w:top w:w="15" w:type="dxa"/>
              <w:left w:w="15" w:type="dxa"/>
              <w:bottom w:w="15" w:type="dxa"/>
              <w:right w:w="180" w:type="dxa"/>
            </w:tcMar>
            <w:vAlign w:val="center"/>
            <w:hideMark/>
          </w:tcPr>
          <w:p w14:paraId="0FC6BE0B"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(0.007)</w:t>
            </w:r>
          </w:p>
        </w:tc>
        <w:tc>
          <w:tcPr>
            <w:tcW w:w="0" w:type="auto"/>
            <w:tcBorders>
              <w:top w:val="nil"/>
              <w:left w:val="nil"/>
              <w:bottom w:val="nil"/>
              <w:right w:val="nil"/>
            </w:tcBorders>
            <w:tcMar>
              <w:top w:w="15" w:type="dxa"/>
              <w:left w:w="15" w:type="dxa"/>
              <w:bottom w:w="15" w:type="dxa"/>
              <w:right w:w="180" w:type="dxa"/>
            </w:tcMar>
            <w:vAlign w:val="center"/>
            <w:hideMark/>
          </w:tcPr>
          <w:p w14:paraId="56757773"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(0.008)</w:t>
            </w:r>
          </w:p>
        </w:tc>
        <w:tc>
          <w:tcPr>
            <w:tcW w:w="0" w:type="auto"/>
            <w:tcBorders>
              <w:top w:val="nil"/>
              <w:left w:val="nil"/>
              <w:bottom w:val="nil"/>
              <w:right w:val="nil"/>
            </w:tcBorders>
            <w:tcMar>
              <w:top w:w="15" w:type="dxa"/>
              <w:left w:w="15" w:type="dxa"/>
              <w:bottom w:w="15" w:type="dxa"/>
              <w:right w:w="180" w:type="dxa"/>
            </w:tcMar>
            <w:vAlign w:val="center"/>
            <w:hideMark/>
          </w:tcPr>
          <w:p w14:paraId="73744D3E"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(0.007)</w:t>
            </w:r>
          </w:p>
        </w:tc>
        <w:tc>
          <w:tcPr>
            <w:tcW w:w="0" w:type="auto"/>
            <w:tcBorders>
              <w:top w:val="nil"/>
              <w:left w:val="nil"/>
              <w:bottom w:val="nil"/>
              <w:right w:val="nil"/>
            </w:tcBorders>
            <w:tcMar>
              <w:top w:w="15" w:type="dxa"/>
              <w:left w:w="15" w:type="dxa"/>
              <w:bottom w:w="15" w:type="dxa"/>
              <w:right w:w="180" w:type="dxa"/>
            </w:tcMar>
            <w:vAlign w:val="center"/>
            <w:hideMark/>
          </w:tcPr>
          <w:p w14:paraId="4FC434E4"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(0.011)</w:t>
            </w:r>
          </w:p>
        </w:tc>
      </w:tr>
      <w:tr w:rsidR="00323525" w:rsidRPr="00683992" w14:paraId="367E3D6E"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C41056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Number of inhabitants (log)</w:t>
            </w:r>
          </w:p>
        </w:tc>
        <w:tc>
          <w:tcPr>
            <w:tcW w:w="0" w:type="auto"/>
            <w:tcBorders>
              <w:top w:val="nil"/>
              <w:left w:val="nil"/>
              <w:bottom w:val="nil"/>
              <w:right w:val="nil"/>
            </w:tcBorders>
            <w:tcMar>
              <w:top w:w="15" w:type="dxa"/>
              <w:left w:w="15" w:type="dxa"/>
              <w:bottom w:w="15" w:type="dxa"/>
              <w:right w:w="180" w:type="dxa"/>
            </w:tcMar>
            <w:vAlign w:val="center"/>
            <w:hideMark/>
          </w:tcPr>
          <w:p w14:paraId="257A3FF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-0.178</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5DF52CB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0.458</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21C0581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-0.268</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6B0069BB"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0.579</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9E5230C"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0.364</w:t>
            </w:r>
            <w:r w:rsidRPr="00683992">
              <w:rPr>
                <w:rFonts w:ascii="Times New Roman" w:eastAsia="Times New Roman" w:hAnsi="Times New Roman" w:cs="Times New Roman"/>
                <w:sz w:val="24"/>
                <w:szCs w:val="27"/>
                <w:vertAlign w:val="superscript"/>
                <w:lang w:val="en-GB" w:eastAsia="en-GB"/>
              </w:rPr>
              <w:t>***</w:t>
            </w:r>
          </w:p>
        </w:tc>
      </w:tr>
      <w:tr w:rsidR="00323525" w:rsidRPr="00683992" w14:paraId="439A3F32"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407760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4D47FF46"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(0.066)</w:t>
            </w:r>
          </w:p>
        </w:tc>
        <w:tc>
          <w:tcPr>
            <w:tcW w:w="0" w:type="auto"/>
            <w:tcBorders>
              <w:top w:val="nil"/>
              <w:left w:val="nil"/>
              <w:bottom w:val="nil"/>
              <w:right w:val="nil"/>
            </w:tcBorders>
            <w:tcMar>
              <w:top w:w="15" w:type="dxa"/>
              <w:left w:w="15" w:type="dxa"/>
              <w:bottom w:w="15" w:type="dxa"/>
              <w:right w:w="180" w:type="dxa"/>
            </w:tcMar>
            <w:vAlign w:val="center"/>
            <w:hideMark/>
          </w:tcPr>
          <w:p w14:paraId="5E190F9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(0.040)</w:t>
            </w:r>
          </w:p>
        </w:tc>
        <w:tc>
          <w:tcPr>
            <w:tcW w:w="0" w:type="auto"/>
            <w:tcBorders>
              <w:top w:val="nil"/>
              <w:left w:val="nil"/>
              <w:bottom w:val="nil"/>
              <w:right w:val="nil"/>
            </w:tcBorders>
            <w:tcMar>
              <w:top w:w="15" w:type="dxa"/>
              <w:left w:w="15" w:type="dxa"/>
              <w:bottom w:w="15" w:type="dxa"/>
              <w:right w:w="180" w:type="dxa"/>
            </w:tcMar>
            <w:vAlign w:val="center"/>
            <w:hideMark/>
          </w:tcPr>
          <w:p w14:paraId="027935E2"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(0.049)</w:t>
            </w:r>
          </w:p>
        </w:tc>
        <w:tc>
          <w:tcPr>
            <w:tcW w:w="0" w:type="auto"/>
            <w:tcBorders>
              <w:top w:val="nil"/>
              <w:left w:val="nil"/>
              <w:bottom w:val="nil"/>
              <w:right w:val="nil"/>
            </w:tcBorders>
            <w:tcMar>
              <w:top w:w="15" w:type="dxa"/>
              <w:left w:w="15" w:type="dxa"/>
              <w:bottom w:w="15" w:type="dxa"/>
              <w:right w:w="180" w:type="dxa"/>
            </w:tcMar>
            <w:vAlign w:val="center"/>
            <w:hideMark/>
          </w:tcPr>
          <w:p w14:paraId="7F14E0E3"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(0.038)</w:t>
            </w:r>
          </w:p>
        </w:tc>
        <w:tc>
          <w:tcPr>
            <w:tcW w:w="0" w:type="auto"/>
            <w:tcBorders>
              <w:top w:val="nil"/>
              <w:left w:val="nil"/>
              <w:bottom w:val="nil"/>
              <w:right w:val="nil"/>
            </w:tcBorders>
            <w:tcMar>
              <w:top w:w="15" w:type="dxa"/>
              <w:left w:w="15" w:type="dxa"/>
              <w:bottom w:w="15" w:type="dxa"/>
              <w:right w:w="180" w:type="dxa"/>
            </w:tcMar>
            <w:vAlign w:val="center"/>
            <w:hideMark/>
          </w:tcPr>
          <w:p w14:paraId="5F0450BD"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(0.062)</w:t>
            </w:r>
          </w:p>
        </w:tc>
      </w:tr>
      <w:tr w:rsidR="00323525" w:rsidRPr="00683992" w14:paraId="3ABD5F07"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F774785"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ČSSD change</w:t>
            </w:r>
          </w:p>
        </w:tc>
        <w:tc>
          <w:tcPr>
            <w:tcW w:w="0" w:type="auto"/>
            <w:tcBorders>
              <w:top w:val="nil"/>
              <w:left w:val="nil"/>
              <w:bottom w:val="nil"/>
              <w:right w:val="nil"/>
            </w:tcBorders>
            <w:tcMar>
              <w:top w:w="15" w:type="dxa"/>
              <w:left w:w="15" w:type="dxa"/>
              <w:bottom w:w="15" w:type="dxa"/>
              <w:right w:w="180" w:type="dxa"/>
            </w:tcMar>
            <w:vAlign w:val="center"/>
            <w:hideMark/>
          </w:tcPr>
          <w:p w14:paraId="6DFF716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7BAFB165"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1E357C7C"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04F56037"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5478D62D"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-0.763</w:t>
            </w:r>
            <w:r w:rsidRPr="00683992">
              <w:rPr>
                <w:rFonts w:ascii="Times New Roman" w:eastAsia="Times New Roman" w:hAnsi="Times New Roman" w:cs="Times New Roman"/>
                <w:sz w:val="24"/>
                <w:szCs w:val="27"/>
                <w:vertAlign w:val="superscript"/>
                <w:lang w:val="en-GB" w:eastAsia="en-GB"/>
              </w:rPr>
              <w:t>***</w:t>
            </w:r>
          </w:p>
        </w:tc>
      </w:tr>
      <w:tr w:rsidR="00323525" w:rsidRPr="00683992" w14:paraId="7A4AC457"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DF371D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4F6377A9"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35F26277"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2EB8416E"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6DB2D666"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00D8052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(0.009)</w:t>
            </w:r>
          </w:p>
        </w:tc>
      </w:tr>
      <w:tr w:rsidR="00323525" w:rsidRPr="00683992" w14:paraId="6E63CF2E"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15B44A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KSČM change</w:t>
            </w:r>
          </w:p>
        </w:tc>
        <w:tc>
          <w:tcPr>
            <w:tcW w:w="0" w:type="auto"/>
            <w:tcBorders>
              <w:top w:val="nil"/>
              <w:left w:val="nil"/>
              <w:bottom w:val="nil"/>
              <w:right w:val="nil"/>
            </w:tcBorders>
            <w:tcMar>
              <w:top w:w="15" w:type="dxa"/>
              <w:left w:w="15" w:type="dxa"/>
              <w:bottom w:w="15" w:type="dxa"/>
              <w:right w:w="180" w:type="dxa"/>
            </w:tcMar>
            <w:vAlign w:val="center"/>
            <w:hideMark/>
          </w:tcPr>
          <w:p w14:paraId="45649FA4"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404D3789"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6D585E41"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7224DB7F"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0B0588F5"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-0.754</w:t>
            </w:r>
            <w:r w:rsidRPr="00683992">
              <w:rPr>
                <w:rFonts w:ascii="Times New Roman" w:eastAsia="Times New Roman" w:hAnsi="Times New Roman" w:cs="Times New Roman"/>
                <w:sz w:val="24"/>
                <w:szCs w:val="27"/>
                <w:vertAlign w:val="superscript"/>
                <w:lang w:val="en-GB" w:eastAsia="en-GB"/>
              </w:rPr>
              <w:t>***</w:t>
            </w:r>
          </w:p>
        </w:tc>
      </w:tr>
      <w:tr w:rsidR="00323525" w:rsidRPr="00683992" w14:paraId="50AF33B1"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610100D"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31446B69"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28D966D3"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374A71AA"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3DF74566"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522E2E33"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(0.011)</w:t>
            </w:r>
          </w:p>
        </w:tc>
      </w:tr>
      <w:tr w:rsidR="00323525" w:rsidRPr="00683992" w14:paraId="22EB66D0"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C5EECFB"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ODS change</w:t>
            </w:r>
          </w:p>
        </w:tc>
        <w:tc>
          <w:tcPr>
            <w:tcW w:w="0" w:type="auto"/>
            <w:tcBorders>
              <w:top w:val="nil"/>
              <w:left w:val="nil"/>
              <w:bottom w:val="nil"/>
              <w:right w:val="nil"/>
            </w:tcBorders>
            <w:tcMar>
              <w:top w:w="15" w:type="dxa"/>
              <w:left w:w="15" w:type="dxa"/>
              <w:bottom w:w="15" w:type="dxa"/>
              <w:right w:w="180" w:type="dxa"/>
            </w:tcMar>
            <w:vAlign w:val="center"/>
            <w:hideMark/>
          </w:tcPr>
          <w:p w14:paraId="10B657A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3E4DDF9D"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4C884F1E"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24501DDF"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3096C40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-0.562</w:t>
            </w:r>
            <w:r w:rsidRPr="00683992">
              <w:rPr>
                <w:rFonts w:ascii="Times New Roman" w:eastAsia="Times New Roman" w:hAnsi="Times New Roman" w:cs="Times New Roman"/>
                <w:sz w:val="24"/>
                <w:szCs w:val="27"/>
                <w:vertAlign w:val="superscript"/>
                <w:lang w:val="en-GB" w:eastAsia="en-GB"/>
              </w:rPr>
              <w:t>***</w:t>
            </w:r>
          </w:p>
        </w:tc>
      </w:tr>
      <w:tr w:rsidR="00323525" w:rsidRPr="00683992" w14:paraId="39D29303"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BD3EF5D"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4C92864C"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2C36DE56"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4FFC6315"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2071EE4E" w14:textId="77777777" w:rsidR="00323525" w:rsidRPr="00683992" w:rsidRDefault="00323525" w:rsidP="00185C9F">
            <w:pPr>
              <w:spacing w:line="240" w:lineRule="auto"/>
              <w:jc w:val="center"/>
              <w:rPr>
                <w:rFonts w:ascii="Times New Roman" w:eastAsia="Times New Roman" w:hAnsi="Times New Roman" w:cs="Times New Roman"/>
                <w:sz w:val="24"/>
                <w:szCs w:val="20"/>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4DCFD95D"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(0.013)</w:t>
            </w:r>
          </w:p>
        </w:tc>
      </w:tr>
      <w:tr w:rsidR="00323525" w:rsidRPr="00683992" w14:paraId="17F92DA8"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E5EA5D7"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(Constant)</w:t>
            </w:r>
          </w:p>
        </w:tc>
        <w:tc>
          <w:tcPr>
            <w:tcW w:w="0" w:type="auto"/>
            <w:tcBorders>
              <w:top w:val="nil"/>
              <w:left w:val="nil"/>
              <w:bottom w:val="nil"/>
              <w:right w:val="nil"/>
            </w:tcBorders>
            <w:tcMar>
              <w:top w:w="15" w:type="dxa"/>
              <w:left w:w="15" w:type="dxa"/>
              <w:bottom w:w="15" w:type="dxa"/>
              <w:right w:w="180" w:type="dxa"/>
            </w:tcMar>
            <w:vAlign w:val="center"/>
            <w:hideMark/>
          </w:tcPr>
          <w:p w14:paraId="700D1B72"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15.965</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41E2C54C"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2.401</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33B7C934"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-15.008</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2CAEAC8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-11.231</w:t>
            </w:r>
            <w:r w:rsidRPr="00683992">
              <w:rPr>
                <w:rFonts w:ascii="Times New Roman" w:eastAsia="Times New Roman" w:hAnsi="Times New Roman" w:cs="Times New Roman"/>
                <w:sz w:val="24"/>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441C97D2"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-0.495</w:t>
            </w:r>
          </w:p>
        </w:tc>
      </w:tr>
      <w:tr w:rsidR="00323525" w:rsidRPr="00683992" w14:paraId="208DDA85"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D593BC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73563E04"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(0.371)</w:t>
            </w:r>
          </w:p>
        </w:tc>
        <w:tc>
          <w:tcPr>
            <w:tcW w:w="0" w:type="auto"/>
            <w:tcBorders>
              <w:top w:val="nil"/>
              <w:left w:val="nil"/>
              <w:bottom w:val="nil"/>
              <w:right w:val="nil"/>
            </w:tcBorders>
            <w:tcMar>
              <w:top w:w="15" w:type="dxa"/>
              <w:left w:w="15" w:type="dxa"/>
              <w:bottom w:w="15" w:type="dxa"/>
              <w:right w:w="180" w:type="dxa"/>
            </w:tcMar>
            <w:vAlign w:val="center"/>
            <w:hideMark/>
          </w:tcPr>
          <w:p w14:paraId="4E9616A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(0.223)</w:t>
            </w:r>
          </w:p>
        </w:tc>
        <w:tc>
          <w:tcPr>
            <w:tcW w:w="0" w:type="auto"/>
            <w:tcBorders>
              <w:top w:val="nil"/>
              <w:left w:val="nil"/>
              <w:bottom w:val="nil"/>
              <w:right w:val="nil"/>
            </w:tcBorders>
            <w:tcMar>
              <w:top w:w="15" w:type="dxa"/>
              <w:left w:w="15" w:type="dxa"/>
              <w:bottom w:w="15" w:type="dxa"/>
              <w:right w:w="180" w:type="dxa"/>
            </w:tcMar>
            <w:vAlign w:val="center"/>
            <w:hideMark/>
          </w:tcPr>
          <w:p w14:paraId="6EF0514B"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(0.275)</w:t>
            </w:r>
          </w:p>
        </w:tc>
        <w:tc>
          <w:tcPr>
            <w:tcW w:w="0" w:type="auto"/>
            <w:tcBorders>
              <w:top w:val="nil"/>
              <w:left w:val="nil"/>
              <w:bottom w:val="nil"/>
              <w:right w:val="nil"/>
            </w:tcBorders>
            <w:tcMar>
              <w:top w:w="15" w:type="dxa"/>
              <w:left w:w="15" w:type="dxa"/>
              <w:bottom w:w="15" w:type="dxa"/>
              <w:right w:w="180" w:type="dxa"/>
            </w:tcMar>
            <w:vAlign w:val="center"/>
            <w:hideMark/>
          </w:tcPr>
          <w:p w14:paraId="146BACC6"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(0.214)</w:t>
            </w:r>
          </w:p>
        </w:tc>
        <w:tc>
          <w:tcPr>
            <w:tcW w:w="0" w:type="auto"/>
            <w:tcBorders>
              <w:top w:val="nil"/>
              <w:left w:val="nil"/>
              <w:bottom w:val="nil"/>
              <w:right w:val="nil"/>
            </w:tcBorders>
            <w:tcMar>
              <w:top w:w="15" w:type="dxa"/>
              <w:left w:w="15" w:type="dxa"/>
              <w:bottom w:w="15" w:type="dxa"/>
              <w:right w:w="180" w:type="dxa"/>
            </w:tcMar>
            <w:vAlign w:val="center"/>
            <w:hideMark/>
          </w:tcPr>
          <w:p w14:paraId="01CFEB98"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(0.394)</w:t>
            </w:r>
          </w:p>
        </w:tc>
      </w:tr>
      <w:tr w:rsidR="00323525" w:rsidRPr="00683992" w14:paraId="39B078CF" w14:textId="77777777" w:rsidTr="00185C9F">
        <w:trPr>
          <w:tblCellSpacing w:w="0" w:type="dxa"/>
          <w:jc w:val="center"/>
        </w:trPr>
        <w:tc>
          <w:tcPr>
            <w:tcW w:w="0" w:type="auto"/>
            <w:tcBorders>
              <w:top w:val="single" w:sz="6" w:space="0" w:color="000000"/>
            </w:tcBorders>
            <w:vAlign w:val="center"/>
            <w:hideMark/>
          </w:tcPr>
          <w:p w14:paraId="7D04F1EA"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R2</w:t>
            </w:r>
          </w:p>
        </w:tc>
        <w:tc>
          <w:tcPr>
            <w:tcW w:w="0" w:type="auto"/>
            <w:tcBorders>
              <w:top w:val="single" w:sz="6" w:space="0" w:color="000000"/>
            </w:tcBorders>
            <w:vAlign w:val="center"/>
            <w:hideMark/>
          </w:tcPr>
          <w:p w14:paraId="41C1876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0.405</w:t>
            </w:r>
          </w:p>
        </w:tc>
        <w:tc>
          <w:tcPr>
            <w:tcW w:w="0" w:type="auto"/>
            <w:tcBorders>
              <w:top w:val="single" w:sz="6" w:space="0" w:color="000000"/>
            </w:tcBorders>
            <w:vAlign w:val="center"/>
            <w:hideMark/>
          </w:tcPr>
          <w:p w14:paraId="387576AE"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0.156</w:t>
            </w:r>
          </w:p>
        </w:tc>
        <w:tc>
          <w:tcPr>
            <w:tcW w:w="0" w:type="auto"/>
            <w:tcBorders>
              <w:top w:val="single" w:sz="6" w:space="0" w:color="000000"/>
            </w:tcBorders>
            <w:vAlign w:val="center"/>
            <w:hideMark/>
          </w:tcPr>
          <w:p w14:paraId="0D56C462"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0.298</w:t>
            </w:r>
          </w:p>
        </w:tc>
        <w:tc>
          <w:tcPr>
            <w:tcW w:w="0" w:type="auto"/>
            <w:tcBorders>
              <w:top w:val="single" w:sz="6" w:space="0" w:color="000000"/>
            </w:tcBorders>
            <w:vAlign w:val="center"/>
            <w:hideMark/>
          </w:tcPr>
          <w:p w14:paraId="54B8AEE7"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0.309</w:t>
            </w:r>
          </w:p>
        </w:tc>
        <w:tc>
          <w:tcPr>
            <w:tcW w:w="0" w:type="auto"/>
            <w:tcBorders>
              <w:top w:val="single" w:sz="6" w:space="0" w:color="000000"/>
            </w:tcBorders>
            <w:vAlign w:val="center"/>
            <w:hideMark/>
          </w:tcPr>
          <w:p w14:paraId="4C1AC2D0"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0.616</w:t>
            </w:r>
          </w:p>
        </w:tc>
      </w:tr>
      <w:tr w:rsidR="00323525" w:rsidRPr="00683992" w14:paraId="71D7F89F"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2176F78"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lastRenderedPageBreak/>
              <w:t>Adj.R2</w:t>
            </w:r>
          </w:p>
        </w:tc>
        <w:tc>
          <w:tcPr>
            <w:tcW w:w="0" w:type="auto"/>
            <w:tcBorders>
              <w:top w:val="nil"/>
              <w:left w:val="nil"/>
              <w:bottom w:val="nil"/>
              <w:right w:val="nil"/>
            </w:tcBorders>
            <w:tcMar>
              <w:top w:w="15" w:type="dxa"/>
              <w:left w:w="15" w:type="dxa"/>
              <w:bottom w:w="15" w:type="dxa"/>
              <w:right w:w="180" w:type="dxa"/>
            </w:tcMar>
            <w:vAlign w:val="center"/>
            <w:hideMark/>
          </w:tcPr>
          <w:p w14:paraId="181C395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0.405</w:t>
            </w:r>
          </w:p>
        </w:tc>
        <w:tc>
          <w:tcPr>
            <w:tcW w:w="0" w:type="auto"/>
            <w:tcBorders>
              <w:top w:val="nil"/>
              <w:left w:val="nil"/>
              <w:bottom w:val="nil"/>
              <w:right w:val="nil"/>
            </w:tcBorders>
            <w:tcMar>
              <w:top w:w="15" w:type="dxa"/>
              <w:left w:w="15" w:type="dxa"/>
              <w:bottom w:w="15" w:type="dxa"/>
              <w:right w:w="180" w:type="dxa"/>
            </w:tcMar>
            <w:vAlign w:val="center"/>
            <w:hideMark/>
          </w:tcPr>
          <w:p w14:paraId="0DD19EC6"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0.155</w:t>
            </w:r>
          </w:p>
        </w:tc>
        <w:tc>
          <w:tcPr>
            <w:tcW w:w="0" w:type="auto"/>
            <w:tcBorders>
              <w:top w:val="nil"/>
              <w:left w:val="nil"/>
              <w:bottom w:val="nil"/>
              <w:right w:val="nil"/>
            </w:tcBorders>
            <w:tcMar>
              <w:top w:w="15" w:type="dxa"/>
              <w:left w:w="15" w:type="dxa"/>
              <w:bottom w:w="15" w:type="dxa"/>
              <w:right w:w="180" w:type="dxa"/>
            </w:tcMar>
            <w:vAlign w:val="center"/>
            <w:hideMark/>
          </w:tcPr>
          <w:p w14:paraId="3DC4BA51"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0.298</w:t>
            </w:r>
          </w:p>
        </w:tc>
        <w:tc>
          <w:tcPr>
            <w:tcW w:w="0" w:type="auto"/>
            <w:tcBorders>
              <w:top w:val="nil"/>
              <w:left w:val="nil"/>
              <w:bottom w:val="nil"/>
              <w:right w:val="nil"/>
            </w:tcBorders>
            <w:tcMar>
              <w:top w:w="15" w:type="dxa"/>
              <w:left w:w="15" w:type="dxa"/>
              <w:bottom w:w="15" w:type="dxa"/>
              <w:right w:w="180" w:type="dxa"/>
            </w:tcMar>
            <w:vAlign w:val="center"/>
            <w:hideMark/>
          </w:tcPr>
          <w:p w14:paraId="3F2C8B98"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0.309</w:t>
            </w:r>
          </w:p>
        </w:tc>
        <w:tc>
          <w:tcPr>
            <w:tcW w:w="0" w:type="auto"/>
            <w:tcBorders>
              <w:top w:val="nil"/>
              <w:left w:val="nil"/>
              <w:bottom w:val="nil"/>
              <w:right w:val="nil"/>
            </w:tcBorders>
            <w:tcMar>
              <w:top w:w="15" w:type="dxa"/>
              <w:left w:w="15" w:type="dxa"/>
              <w:bottom w:w="15" w:type="dxa"/>
              <w:right w:w="180" w:type="dxa"/>
            </w:tcMar>
            <w:vAlign w:val="center"/>
            <w:hideMark/>
          </w:tcPr>
          <w:p w14:paraId="2AF41BB7"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0.616</w:t>
            </w:r>
          </w:p>
        </w:tc>
      </w:tr>
      <w:tr w:rsidR="00323525" w:rsidRPr="00683992" w14:paraId="2630C891"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569CDFF"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Number of cases</w:t>
            </w:r>
          </w:p>
        </w:tc>
        <w:tc>
          <w:tcPr>
            <w:tcW w:w="0" w:type="auto"/>
            <w:tcBorders>
              <w:top w:val="nil"/>
              <w:left w:val="nil"/>
              <w:bottom w:val="nil"/>
              <w:right w:val="nil"/>
            </w:tcBorders>
            <w:tcMar>
              <w:top w:w="15" w:type="dxa"/>
              <w:left w:w="15" w:type="dxa"/>
              <w:bottom w:w="15" w:type="dxa"/>
              <w:right w:w="180" w:type="dxa"/>
            </w:tcMar>
            <w:vAlign w:val="center"/>
            <w:hideMark/>
          </w:tcPr>
          <w:p w14:paraId="47106835"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14687</w:t>
            </w:r>
          </w:p>
        </w:tc>
        <w:tc>
          <w:tcPr>
            <w:tcW w:w="0" w:type="auto"/>
            <w:tcBorders>
              <w:top w:val="nil"/>
              <w:left w:val="nil"/>
              <w:bottom w:val="nil"/>
              <w:right w:val="nil"/>
            </w:tcBorders>
            <w:tcMar>
              <w:top w:w="15" w:type="dxa"/>
              <w:left w:w="15" w:type="dxa"/>
              <w:bottom w:w="15" w:type="dxa"/>
              <w:right w:w="180" w:type="dxa"/>
            </w:tcMar>
            <w:vAlign w:val="center"/>
            <w:hideMark/>
          </w:tcPr>
          <w:p w14:paraId="5B7A986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14687</w:t>
            </w:r>
          </w:p>
        </w:tc>
        <w:tc>
          <w:tcPr>
            <w:tcW w:w="0" w:type="auto"/>
            <w:tcBorders>
              <w:top w:val="nil"/>
              <w:left w:val="nil"/>
              <w:bottom w:val="nil"/>
              <w:right w:val="nil"/>
            </w:tcBorders>
            <w:tcMar>
              <w:top w:w="15" w:type="dxa"/>
              <w:left w:w="15" w:type="dxa"/>
              <w:bottom w:w="15" w:type="dxa"/>
              <w:right w:w="180" w:type="dxa"/>
            </w:tcMar>
            <w:vAlign w:val="center"/>
            <w:hideMark/>
          </w:tcPr>
          <w:p w14:paraId="0935E836"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14687</w:t>
            </w:r>
          </w:p>
        </w:tc>
        <w:tc>
          <w:tcPr>
            <w:tcW w:w="0" w:type="auto"/>
            <w:tcBorders>
              <w:top w:val="nil"/>
              <w:left w:val="nil"/>
              <w:bottom w:val="nil"/>
              <w:right w:val="nil"/>
            </w:tcBorders>
            <w:tcMar>
              <w:top w:w="15" w:type="dxa"/>
              <w:left w:w="15" w:type="dxa"/>
              <w:bottom w:w="15" w:type="dxa"/>
              <w:right w:w="180" w:type="dxa"/>
            </w:tcMar>
            <w:vAlign w:val="center"/>
            <w:hideMark/>
          </w:tcPr>
          <w:p w14:paraId="741A20F4"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14687</w:t>
            </w:r>
          </w:p>
        </w:tc>
        <w:tc>
          <w:tcPr>
            <w:tcW w:w="0" w:type="auto"/>
            <w:tcBorders>
              <w:top w:val="nil"/>
              <w:left w:val="nil"/>
              <w:bottom w:val="nil"/>
              <w:right w:val="nil"/>
            </w:tcBorders>
            <w:tcMar>
              <w:top w:w="15" w:type="dxa"/>
              <w:left w:w="15" w:type="dxa"/>
              <w:bottom w:w="15" w:type="dxa"/>
              <w:right w:w="180" w:type="dxa"/>
            </w:tcMar>
            <w:vAlign w:val="center"/>
            <w:hideMark/>
          </w:tcPr>
          <w:p w14:paraId="296F1978"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14687</w:t>
            </w:r>
          </w:p>
        </w:tc>
      </w:tr>
      <w:tr w:rsidR="00323525" w:rsidRPr="00683992" w14:paraId="0B1E5846" w14:textId="77777777" w:rsidTr="00185C9F">
        <w:trPr>
          <w:tblCellSpacing w:w="0" w:type="dxa"/>
          <w:jc w:val="center"/>
        </w:trPr>
        <w:tc>
          <w:tcPr>
            <w:tcW w:w="0" w:type="auto"/>
            <w:tcBorders>
              <w:bottom w:val="single" w:sz="12" w:space="0" w:color="000000"/>
            </w:tcBorders>
            <w:vAlign w:val="center"/>
            <w:hideMark/>
          </w:tcPr>
          <w:p w14:paraId="388B3074"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RMSE</w:t>
            </w:r>
          </w:p>
        </w:tc>
        <w:tc>
          <w:tcPr>
            <w:tcW w:w="0" w:type="auto"/>
            <w:tcBorders>
              <w:bottom w:val="single" w:sz="12" w:space="0" w:color="000000"/>
            </w:tcBorders>
            <w:vAlign w:val="center"/>
            <w:hideMark/>
          </w:tcPr>
          <w:p w14:paraId="4ECE9A72"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130.373</w:t>
            </w:r>
          </w:p>
        </w:tc>
        <w:tc>
          <w:tcPr>
            <w:tcW w:w="0" w:type="auto"/>
            <w:tcBorders>
              <w:bottom w:val="single" w:sz="12" w:space="0" w:color="000000"/>
            </w:tcBorders>
            <w:vAlign w:val="center"/>
            <w:hideMark/>
          </w:tcPr>
          <w:p w14:paraId="6707EC1E"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78.392</w:t>
            </w:r>
          </w:p>
        </w:tc>
        <w:tc>
          <w:tcPr>
            <w:tcW w:w="0" w:type="auto"/>
            <w:tcBorders>
              <w:bottom w:val="single" w:sz="12" w:space="0" w:color="000000"/>
            </w:tcBorders>
            <w:vAlign w:val="center"/>
            <w:hideMark/>
          </w:tcPr>
          <w:p w14:paraId="35FA1989"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96.432</w:t>
            </w:r>
          </w:p>
        </w:tc>
        <w:tc>
          <w:tcPr>
            <w:tcW w:w="0" w:type="auto"/>
            <w:tcBorders>
              <w:bottom w:val="single" w:sz="12" w:space="0" w:color="000000"/>
            </w:tcBorders>
            <w:vAlign w:val="center"/>
            <w:hideMark/>
          </w:tcPr>
          <w:p w14:paraId="56B2600E"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75.118</w:t>
            </w:r>
          </w:p>
        </w:tc>
        <w:tc>
          <w:tcPr>
            <w:tcW w:w="0" w:type="auto"/>
            <w:tcBorders>
              <w:bottom w:val="single" w:sz="12" w:space="0" w:color="000000"/>
            </w:tcBorders>
            <w:vAlign w:val="center"/>
            <w:hideMark/>
          </w:tcPr>
          <w:p w14:paraId="141BD746" w14:textId="77777777" w:rsidR="00323525" w:rsidRPr="00683992" w:rsidRDefault="00323525" w:rsidP="00185C9F">
            <w:pPr>
              <w:spacing w:line="240" w:lineRule="auto"/>
              <w:jc w:val="center"/>
              <w:rPr>
                <w:rFonts w:ascii="Times New Roman" w:eastAsia="Times New Roman" w:hAnsi="Times New Roman" w:cs="Times New Roman"/>
                <w:sz w:val="24"/>
                <w:szCs w:val="27"/>
                <w:lang w:val="en-GB" w:eastAsia="en-GB"/>
              </w:rPr>
            </w:pPr>
            <w:r w:rsidRPr="00683992">
              <w:rPr>
                <w:rFonts w:ascii="Times New Roman" w:eastAsia="Times New Roman" w:hAnsi="Times New Roman" w:cs="Times New Roman"/>
                <w:sz w:val="24"/>
                <w:szCs w:val="27"/>
                <w:lang w:val="en-GB" w:eastAsia="en-GB"/>
              </w:rPr>
              <w:t>5.694</w:t>
            </w:r>
          </w:p>
        </w:tc>
      </w:tr>
      <w:tr w:rsidR="00323525" w:rsidRPr="00683992" w14:paraId="2C22ADFE" w14:textId="77777777" w:rsidTr="00185C9F">
        <w:trPr>
          <w:tblCellSpacing w:w="0" w:type="dxa"/>
          <w:jc w:val="center"/>
        </w:trPr>
        <w:tc>
          <w:tcPr>
            <w:tcW w:w="0" w:type="auto"/>
            <w:gridSpan w:val="6"/>
            <w:tcBorders>
              <w:top w:val="nil"/>
              <w:left w:val="nil"/>
              <w:bottom w:val="nil"/>
              <w:right w:val="nil"/>
            </w:tcBorders>
            <w:tcMar>
              <w:top w:w="15" w:type="dxa"/>
              <w:left w:w="15" w:type="dxa"/>
              <w:bottom w:w="15" w:type="dxa"/>
              <w:right w:w="180" w:type="dxa"/>
            </w:tcMar>
            <w:vAlign w:val="center"/>
            <w:hideMark/>
          </w:tcPr>
          <w:p w14:paraId="262D1F9E" w14:textId="77777777" w:rsidR="00323525" w:rsidRPr="00683992" w:rsidRDefault="00323525" w:rsidP="00185C9F">
            <w:pPr>
              <w:spacing w:line="240" w:lineRule="auto"/>
              <w:rPr>
                <w:rFonts w:ascii="Times New Roman" w:eastAsia="Times New Roman" w:hAnsi="Times New Roman" w:cs="Times New Roman"/>
                <w:i/>
                <w:sz w:val="20"/>
                <w:szCs w:val="20"/>
                <w:lang w:val="en-GB" w:eastAsia="en-GB"/>
              </w:rPr>
            </w:pPr>
            <w:r w:rsidRPr="00683992">
              <w:rPr>
                <w:rFonts w:ascii="Times New Roman" w:eastAsia="Times New Roman" w:hAnsi="Times New Roman" w:cs="Times New Roman"/>
                <w:i/>
                <w:sz w:val="20"/>
                <w:szCs w:val="20"/>
                <w:lang w:val="en-GB" w:eastAsia="en-GB"/>
              </w:rPr>
              <w:t xml:space="preserve">Note: Standard errors in parentheses, significance at: </w:t>
            </w:r>
            <w:r w:rsidRPr="00683992">
              <w:rPr>
                <w:rFonts w:ascii="Times New Roman" w:eastAsia="Times New Roman" w:hAnsi="Times New Roman" w:cs="Times New Roman"/>
                <w:i/>
                <w:sz w:val="20"/>
                <w:szCs w:val="20"/>
                <w:vertAlign w:val="superscript"/>
                <w:lang w:val="en-GB" w:eastAsia="en-GB"/>
              </w:rPr>
              <w:t>***</w:t>
            </w:r>
            <w:r w:rsidRPr="00683992">
              <w:rPr>
                <w:rFonts w:ascii="Times New Roman" w:eastAsia="Times New Roman" w:hAnsi="Times New Roman" w:cs="Times New Roman"/>
                <w:i/>
                <w:sz w:val="20"/>
                <w:szCs w:val="20"/>
                <w:lang w:val="en-GB" w:eastAsia="en-GB"/>
              </w:rPr>
              <w:t>p &lt; 0.001, </w:t>
            </w:r>
            <w:r w:rsidRPr="00683992">
              <w:rPr>
                <w:rFonts w:ascii="Times New Roman" w:eastAsia="Times New Roman" w:hAnsi="Times New Roman" w:cs="Times New Roman"/>
                <w:i/>
                <w:sz w:val="20"/>
                <w:szCs w:val="20"/>
                <w:vertAlign w:val="superscript"/>
                <w:lang w:val="en-GB" w:eastAsia="en-GB"/>
              </w:rPr>
              <w:t>**</w:t>
            </w:r>
            <w:r w:rsidRPr="00683992">
              <w:rPr>
                <w:rFonts w:ascii="Times New Roman" w:eastAsia="Times New Roman" w:hAnsi="Times New Roman" w:cs="Times New Roman"/>
                <w:i/>
                <w:sz w:val="20"/>
                <w:szCs w:val="20"/>
                <w:lang w:val="en-GB" w:eastAsia="en-GB"/>
              </w:rPr>
              <w:t>p &lt; 0.01, </w:t>
            </w:r>
            <w:r w:rsidRPr="00683992">
              <w:rPr>
                <w:rFonts w:ascii="Times New Roman" w:eastAsia="Times New Roman" w:hAnsi="Times New Roman" w:cs="Times New Roman"/>
                <w:i/>
                <w:sz w:val="20"/>
                <w:szCs w:val="20"/>
                <w:vertAlign w:val="superscript"/>
                <w:lang w:val="en-GB" w:eastAsia="en-GB"/>
              </w:rPr>
              <w:t>*</w:t>
            </w:r>
            <w:r w:rsidRPr="00683992">
              <w:rPr>
                <w:rFonts w:ascii="Times New Roman" w:eastAsia="Times New Roman" w:hAnsi="Times New Roman" w:cs="Times New Roman"/>
                <w:i/>
                <w:sz w:val="20"/>
                <w:szCs w:val="20"/>
                <w:lang w:val="en-GB" w:eastAsia="en-GB"/>
              </w:rPr>
              <w:t>p &lt; 0.05.</w:t>
            </w:r>
          </w:p>
        </w:tc>
      </w:tr>
    </w:tbl>
    <w:p w14:paraId="4979A896" w14:textId="77777777" w:rsidR="00323525" w:rsidRPr="00683992" w:rsidRDefault="00323525" w:rsidP="00323525">
      <w:pPr>
        <w:jc w:val="both"/>
        <w:rPr>
          <w:rFonts w:ascii="Times New Roman" w:eastAsia="Times New Roman" w:hAnsi="Times New Roman" w:cs="Times New Roman"/>
          <w:sz w:val="24"/>
          <w:szCs w:val="24"/>
          <w:lang w:val="en-GB"/>
        </w:rPr>
      </w:pPr>
    </w:p>
    <w:p w14:paraId="5B456EFD" w14:textId="77777777" w:rsidR="00323525" w:rsidRPr="00683992" w:rsidRDefault="00323525" w:rsidP="00323525">
      <w:pPr>
        <w:jc w:val="both"/>
        <w:rPr>
          <w:rFonts w:ascii="Times New Roman" w:eastAsia="Times New Roman" w:hAnsi="Times New Roman" w:cs="Times New Roman"/>
          <w:sz w:val="24"/>
          <w:szCs w:val="24"/>
          <w:lang w:val="en-GB"/>
        </w:rPr>
      </w:pPr>
      <w:r w:rsidRPr="00683992">
        <w:rPr>
          <w:rFonts w:ascii="Times New Roman" w:eastAsia="Times New Roman" w:hAnsi="Times New Roman" w:cs="Times New Roman"/>
          <w:sz w:val="24"/>
          <w:szCs w:val="24"/>
          <w:lang w:val="en-GB"/>
        </w:rPr>
        <w:t xml:space="preserve">The map </w:t>
      </w:r>
      <w:r>
        <w:rPr>
          <w:rFonts w:ascii="Times New Roman" w:eastAsia="Times New Roman" w:hAnsi="Times New Roman" w:cs="Times New Roman"/>
          <w:sz w:val="24"/>
          <w:szCs w:val="24"/>
          <w:lang w:val="en-GB"/>
        </w:rPr>
        <w:t>1</w:t>
      </w:r>
      <w:r w:rsidRPr="00683992">
        <w:rPr>
          <w:rFonts w:ascii="Times New Roman" w:eastAsia="Times New Roman" w:hAnsi="Times New Roman" w:cs="Times New Roman"/>
          <w:sz w:val="24"/>
          <w:szCs w:val="24"/>
          <w:lang w:val="en-GB"/>
        </w:rPr>
        <w:t xml:space="preserve"> shows the HAS from the GWR model based on the same predictors as in table 1. Compared to the OLS results, the GWR will eliminate much of the unexplained variance and the clusters of spatially autocorrelated residuals. As a result, GWR seems to be an analytically less useful tool in mapping electoral patterns when compared to standard OLS. Yet GWR can be utilized for an analysis of a specific contextual effect that might be attributable to the neighbourhood effect of a local candidate, or to an unmeasured specific local context that could be examined by means of a qualitative approach. Further maps of single coefficient variations in space can be requested from the authors, as well as maps of R2 from the GWR model. The limited space of the journal prevents a further explanation of the analyses that were conducted yet not presented. The preliminary results show that there are higher level contextual explanations on the regional level that can account for the unexplained variance in the models that are only based on sociodemographic variables. </w:t>
      </w:r>
      <w:proofErr w:type="gramStart"/>
      <w:r w:rsidRPr="00683992">
        <w:rPr>
          <w:rFonts w:ascii="Times New Roman" w:eastAsia="Times New Roman" w:hAnsi="Times New Roman" w:cs="Times New Roman"/>
          <w:sz w:val="24"/>
          <w:szCs w:val="24"/>
          <w:lang w:val="en-GB"/>
        </w:rPr>
        <w:t>Thus</w:t>
      </w:r>
      <w:proofErr w:type="gramEnd"/>
      <w:r w:rsidRPr="00683992">
        <w:rPr>
          <w:rFonts w:ascii="Times New Roman" w:eastAsia="Times New Roman" w:hAnsi="Times New Roman" w:cs="Times New Roman"/>
          <w:sz w:val="24"/>
          <w:szCs w:val="24"/>
          <w:lang w:val="en-GB"/>
        </w:rPr>
        <w:t xml:space="preserve"> there is potential for future research.</w:t>
      </w:r>
    </w:p>
    <w:p w14:paraId="11BFBA5A" w14:textId="77777777" w:rsidR="00323525" w:rsidRPr="00683992" w:rsidRDefault="00323525" w:rsidP="00323525">
      <w:pPr>
        <w:jc w:val="both"/>
        <w:rPr>
          <w:rFonts w:ascii="Times New Roman" w:eastAsia="Times New Roman" w:hAnsi="Times New Roman" w:cs="Times New Roman"/>
          <w:b/>
          <w:sz w:val="24"/>
          <w:szCs w:val="24"/>
          <w:lang w:val="en-GB"/>
        </w:rPr>
      </w:pPr>
      <w:r w:rsidRPr="00683992">
        <w:rPr>
          <w:rFonts w:ascii="Times New Roman" w:eastAsia="Times New Roman" w:hAnsi="Times New Roman" w:cs="Times New Roman"/>
          <w:sz w:val="24"/>
          <w:szCs w:val="24"/>
          <w:lang w:val="en-GB"/>
        </w:rPr>
        <w:tab/>
        <w:t xml:space="preserve">All analyses can be obtained from </w:t>
      </w:r>
      <w:proofErr w:type="spellStart"/>
      <w:proofErr w:type="gramStart"/>
      <w:r w:rsidRPr="00683992">
        <w:rPr>
          <w:rFonts w:ascii="Times New Roman" w:eastAsia="Times New Roman" w:hAnsi="Times New Roman" w:cs="Times New Roman"/>
          <w:sz w:val="24"/>
          <w:szCs w:val="24"/>
          <w:lang w:val="en-GB"/>
        </w:rPr>
        <w:t>Dataverse</w:t>
      </w:r>
      <w:proofErr w:type="spellEnd"/>
      <w:r w:rsidRPr="0068399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as</w:t>
      </w:r>
      <w:proofErr w:type="gramEnd"/>
      <w:r>
        <w:rPr>
          <w:rFonts w:ascii="Times New Roman" w:eastAsia="Times New Roman" w:hAnsi="Times New Roman" w:cs="Times New Roman"/>
          <w:sz w:val="24"/>
          <w:szCs w:val="24"/>
          <w:lang w:val="en-GB"/>
        </w:rPr>
        <w:t xml:space="preserve"> </w:t>
      </w:r>
      <w:proofErr w:type="spellStart"/>
      <w:r w:rsidRPr="00466F83">
        <w:rPr>
          <w:rFonts w:ascii="Times New Roman" w:eastAsia="Times New Roman" w:hAnsi="Times New Roman" w:cs="Times New Roman"/>
          <w:sz w:val="24"/>
          <w:szCs w:val="24"/>
          <w:lang w:val="en-GB"/>
        </w:rPr>
        <w:t>Lysek</w:t>
      </w:r>
      <w:proofErr w:type="spellEnd"/>
      <w:r w:rsidRPr="00466F83">
        <w:rPr>
          <w:rFonts w:ascii="Times New Roman" w:eastAsia="Times New Roman" w:hAnsi="Times New Roman" w:cs="Times New Roman"/>
          <w:sz w:val="24"/>
          <w:szCs w:val="24"/>
          <w:lang w:val="en-GB"/>
        </w:rPr>
        <w:t xml:space="preserve">, Jakub, 2020, "Replication Data for: Who are the voters and where are they? Using spatial statistics to analyse voting patterns in the parliamentary elections of the Czech Republic", https://doi.org/10.7910/DVN/FD0RYS, Harvard </w:t>
      </w:r>
      <w:proofErr w:type="spellStart"/>
      <w:r w:rsidRPr="00466F83">
        <w:rPr>
          <w:rFonts w:ascii="Times New Roman" w:eastAsia="Times New Roman" w:hAnsi="Times New Roman" w:cs="Times New Roman"/>
          <w:sz w:val="24"/>
          <w:szCs w:val="24"/>
          <w:lang w:val="en-GB"/>
        </w:rPr>
        <w:t>Dataverse</w:t>
      </w:r>
      <w:proofErr w:type="spellEnd"/>
      <w:r w:rsidRPr="00466F83">
        <w:rPr>
          <w:rFonts w:ascii="Times New Roman" w:eastAsia="Times New Roman" w:hAnsi="Times New Roman" w:cs="Times New Roman"/>
          <w:sz w:val="24"/>
          <w:szCs w:val="24"/>
          <w:lang w:val="en-GB"/>
        </w:rPr>
        <w:t>.</w:t>
      </w:r>
    </w:p>
    <w:p w14:paraId="035CCB64" w14:textId="77777777" w:rsidR="00323525" w:rsidRPr="00683992" w:rsidRDefault="00323525" w:rsidP="00323525">
      <w:pPr>
        <w:rPr>
          <w:rFonts w:ascii="Times New Roman" w:eastAsia="Times New Roman" w:hAnsi="Times New Roman" w:cs="Times New Roman"/>
          <w:b/>
          <w:sz w:val="24"/>
          <w:szCs w:val="24"/>
          <w:lang w:val="en-GB"/>
        </w:rPr>
      </w:pPr>
    </w:p>
    <w:p w14:paraId="19F373C0" w14:textId="77777777" w:rsidR="00323525" w:rsidRPr="00683992" w:rsidRDefault="00323525" w:rsidP="00323525">
      <w:pPr>
        <w:rPr>
          <w:rFonts w:ascii="Times New Roman" w:eastAsia="Times New Roman" w:hAnsi="Times New Roman" w:cs="Times New Roman"/>
          <w:b/>
          <w:sz w:val="24"/>
          <w:szCs w:val="24"/>
          <w:lang w:val="en-GB"/>
        </w:rPr>
      </w:pPr>
      <w:r w:rsidRPr="00683992">
        <w:rPr>
          <w:rFonts w:ascii="Times New Roman" w:eastAsia="Times New Roman" w:hAnsi="Times New Roman" w:cs="Times New Roman"/>
          <w:b/>
          <w:sz w:val="24"/>
          <w:szCs w:val="24"/>
          <w:lang w:val="en-GB"/>
        </w:rPr>
        <w:t xml:space="preserve">Map </w:t>
      </w:r>
      <w:r>
        <w:rPr>
          <w:rFonts w:ascii="Times New Roman" w:eastAsia="Times New Roman" w:hAnsi="Times New Roman" w:cs="Times New Roman"/>
          <w:b/>
          <w:sz w:val="24"/>
          <w:szCs w:val="24"/>
          <w:lang w:val="en-GB"/>
        </w:rPr>
        <w:t>1</w:t>
      </w:r>
      <w:r w:rsidRPr="00683992">
        <w:rPr>
          <w:rFonts w:ascii="Times New Roman" w:eastAsia="Times New Roman" w:hAnsi="Times New Roman" w:cs="Times New Roman"/>
          <w:b/>
          <w:sz w:val="24"/>
          <w:szCs w:val="24"/>
          <w:lang w:val="en-GB"/>
        </w:rPr>
        <w:t xml:space="preserve">: Comparing GWR and OLS results – ANO2011 percentage vote share difference 2017-2013 </w:t>
      </w:r>
    </w:p>
    <w:p w14:paraId="2BAC5DF9" w14:textId="77777777" w:rsidR="00323525" w:rsidRPr="00683992" w:rsidRDefault="00323525" w:rsidP="00323525">
      <w:pPr>
        <w:rPr>
          <w:rFonts w:ascii="Times New Roman" w:eastAsia="Times New Roman" w:hAnsi="Times New Roman" w:cs="Times New Roman"/>
          <w:b/>
          <w:sz w:val="24"/>
          <w:szCs w:val="24"/>
          <w:lang w:val="en-GB"/>
        </w:rPr>
      </w:pPr>
      <w:r>
        <w:rPr>
          <w:rFonts w:ascii="Times New Roman" w:eastAsia="Times New Roman" w:hAnsi="Times New Roman" w:cs="Times New Roman"/>
          <w:b/>
          <w:noProof/>
          <w:sz w:val="24"/>
          <w:szCs w:val="24"/>
          <w:lang w:val="en-GB"/>
        </w:rPr>
        <w:lastRenderedPageBreak/>
        <w:drawing>
          <wp:inline distT="0" distB="0" distL="0" distR="0" wp14:anchorId="2BA40A61" wp14:editId="4F2EF74A">
            <wp:extent cx="5943600" cy="4204970"/>
            <wp:effectExtent l="0" t="0" r="0" b="5080"/>
            <wp:docPr id="4" name="Obrázek 4"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ostatna_A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p>
    <w:p w14:paraId="0E9DEF67" w14:textId="77777777" w:rsidR="00323525" w:rsidRPr="00683992" w:rsidRDefault="00323525" w:rsidP="00323525">
      <w:pPr>
        <w:rPr>
          <w:rFonts w:ascii="Times New Roman" w:eastAsia="Times New Roman" w:hAnsi="Times New Roman" w:cs="Times New Roman"/>
          <w:b/>
          <w:sz w:val="24"/>
          <w:szCs w:val="24"/>
          <w:lang w:val="en-GB"/>
        </w:rPr>
      </w:pPr>
    </w:p>
    <w:p w14:paraId="5BF60301" w14:textId="77777777" w:rsidR="00323525" w:rsidRPr="00683992" w:rsidRDefault="00323525" w:rsidP="00323525">
      <w:pPr>
        <w:jc w:val="both"/>
        <w:rPr>
          <w:rFonts w:ascii="Times New Roman" w:eastAsia="Times New Roman" w:hAnsi="Times New Roman" w:cs="Times New Roman"/>
          <w:noProof/>
          <w:sz w:val="24"/>
          <w:szCs w:val="24"/>
          <w:lang w:val="en-GB" w:eastAsia="en-GB"/>
        </w:rPr>
      </w:pPr>
      <w:r w:rsidRPr="00683992">
        <w:rPr>
          <w:rFonts w:ascii="Times New Roman" w:eastAsia="Times New Roman" w:hAnsi="Times New Roman" w:cs="Times New Roman"/>
          <w:sz w:val="24"/>
          <w:szCs w:val="24"/>
          <w:lang w:val="en-GB"/>
        </w:rPr>
        <w:t xml:space="preserve">The dynamic of change in the left-wing electorate can be </w:t>
      </w:r>
      <w:r w:rsidRPr="00683992">
        <w:rPr>
          <w:rFonts w:ascii="Times New Roman" w:eastAsia="Times New Roman" w:hAnsi="Times New Roman" w:cs="Times New Roman"/>
          <w:noProof/>
          <w:sz w:val="24"/>
          <w:szCs w:val="24"/>
          <w:lang w:val="en-GB" w:eastAsia="en-GB"/>
        </w:rPr>
        <w:t xml:space="preserve">demonstrated in the series of regression models (Table 2 and 3) where the dependent variable is the simple percentage of votes for a party in a given election. Generally, the associations with sociodemographic variables decreases. This is also mirrored in the decreasing explained variance. This can be interpreted as meaning that the traditional left-wing parties lose their voter base in cases where societies are polarised. </w:t>
      </w:r>
    </w:p>
    <w:p w14:paraId="07DE2D3C" w14:textId="77777777" w:rsidR="00323525" w:rsidRPr="00683992" w:rsidRDefault="00323525" w:rsidP="00323525">
      <w:pPr>
        <w:jc w:val="both"/>
        <w:rPr>
          <w:rFonts w:ascii="Times New Roman" w:eastAsia="Times New Roman" w:hAnsi="Times New Roman" w:cs="Times New Roman"/>
          <w:noProof/>
          <w:sz w:val="24"/>
          <w:szCs w:val="24"/>
          <w:lang w:val="en-GB" w:eastAsia="en-GB"/>
        </w:rPr>
      </w:pPr>
    </w:p>
    <w:p w14:paraId="717A118A" w14:textId="77777777" w:rsidR="00323525" w:rsidRPr="00683992" w:rsidRDefault="00323525" w:rsidP="00323525">
      <w:pPr>
        <w:jc w:val="both"/>
        <w:rPr>
          <w:rFonts w:ascii="Times New Roman" w:eastAsia="Times New Roman" w:hAnsi="Times New Roman" w:cs="Times New Roman"/>
          <w:b/>
          <w:noProof/>
          <w:sz w:val="24"/>
          <w:szCs w:val="24"/>
          <w:lang w:val="en-GB" w:eastAsia="en-GB"/>
        </w:rPr>
      </w:pPr>
      <w:r w:rsidRPr="00683992">
        <w:rPr>
          <w:rFonts w:ascii="Times New Roman" w:eastAsia="Times New Roman" w:hAnsi="Times New Roman" w:cs="Times New Roman"/>
          <w:b/>
          <w:noProof/>
          <w:sz w:val="24"/>
          <w:szCs w:val="24"/>
          <w:lang w:val="en-GB" w:eastAsia="en-GB"/>
        </w:rPr>
        <w:t>Table 2: Regression model explaining ČSSD support</w:t>
      </w:r>
    </w:p>
    <w:p w14:paraId="72FFC48E" w14:textId="77777777" w:rsidR="00323525" w:rsidRPr="00683992" w:rsidRDefault="00323525" w:rsidP="00323525">
      <w:pPr>
        <w:jc w:val="both"/>
        <w:rPr>
          <w:rFonts w:ascii="Times New Roman" w:eastAsia="Times New Roman" w:hAnsi="Times New Roman" w:cs="Times New Roman"/>
          <w:noProof/>
          <w:sz w:val="18"/>
          <w:szCs w:val="24"/>
          <w:lang w:val="en-GB" w:eastAsia="en-GB"/>
        </w:rPr>
      </w:pPr>
      <w:r w:rsidRPr="00683992" w:rsidDel="00CF3FD3">
        <w:rPr>
          <w:rFonts w:ascii="Times New Roman" w:eastAsia="Times New Roman" w:hAnsi="Times New Roman" w:cs="Times New Roman"/>
          <w:noProof/>
          <w:sz w:val="18"/>
          <w:szCs w:val="24"/>
          <w:lang w:val="en-GB" w:eastAsia="en-GB"/>
        </w:rPr>
        <w:t xml:space="preserve"> </w:t>
      </w:r>
    </w:p>
    <w:p w14:paraId="59246B4E" w14:textId="77777777" w:rsidR="00323525" w:rsidRPr="00683992" w:rsidRDefault="00323525" w:rsidP="00323525">
      <w:pPr>
        <w:jc w:val="both"/>
        <w:rPr>
          <w:rFonts w:ascii="Times New Roman" w:eastAsia="Times New Roman" w:hAnsi="Times New Roman" w:cs="Times New Roman"/>
          <w:noProof/>
          <w:sz w:val="18"/>
          <w:szCs w:val="24"/>
          <w:lang w:val="en-GB" w:eastAsia="en-GB"/>
        </w:rPr>
      </w:pPr>
    </w:p>
    <w:p w14:paraId="65356294" w14:textId="77777777" w:rsidR="00323525" w:rsidRPr="00683992" w:rsidRDefault="00323525" w:rsidP="00323525">
      <w:pPr>
        <w:jc w:val="both"/>
        <w:rPr>
          <w:rFonts w:ascii="Times New Roman" w:eastAsia="Times New Roman" w:hAnsi="Times New Roman" w:cs="Times New Roman"/>
          <w:noProof/>
          <w:sz w:val="18"/>
          <w:szCs w:val="24"/>
          <w:lang w:val="en-GB" w:eastAsia="en-GB"/>
        </w:rP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632"/>
        <w:gridCol w:w="1086"/>
        <w:gridCol w:w="1107"/>
        <w:gridCol w:w="1107"/>
        <w:gridCol w:w="1107"/>
        <w:gridCol w:w="1107"/>
        <w:gridCol w:w="1107"/>
        <w:gridCol w:w="1107"/>
      </w:tblGrid>
      <w:tr w:rsidR="00323525" w:rsidRPr="00683992" w14:paraId="6E5EBE37" w14:textId="77777777" w:rsidTr="00185C9F">
        <w:trPr>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4C13C066" w14:textId="77777777" w:rsidR="00323525" w:rsidRPr="00683992" w:rsidRDefault="00323525" w:rsidP="00185C9F">
            <w:pPr>
              <w:spacing w:before="72" w:line="240" w:lineRule="auto"/>
              <w:jc w:val="center"/>
              <w:textAlignment w:val="baseline"/>
              <w:rPr>
                <w:rFonts w:ascii="Times New Roman" w:eastAsia="Times New Roman" w:hAnsi="Times New Roman" w:cs="Times New Roman"/>
                <w:sz w:val="20"/>
                <w:szCs w:val="27"/>
                <w:lang w:val="en-GB" w:eastAsia="en-GB"/>
              </w:rPr>
            </w:pP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2CC8F3D4" w14:textId="77777777" w:rsidR="00323525" w:rsidRPr="00683992" w:rsidRDefault="00323525" w:rsidP="00185C9F">
            <w:pPr>
              <w:spacing w:line="240" w:lineRule="auto"/>
              <w:rPr>
                <w:rFonts w:ascii="Times New Roman" w:eastAsia="Times New Roman" w:hAnsi="Times New Roman" w:cs="Times New Roman"/>
                <w:b/>
                <w:bCs/>
                <w:sz w:val="20"/>
                <w:szCs w:val="27"/>
                <w:lang w:val="en-GB" w:eastAsia="en-GB"/>
              </w:rPr>
            </w:pPr>
            <w:r w:rsidRPr="00683992">
              <w:rPr>
                <w:rFonts w:ascii="Times New Roman" w:eastAsia="Times New Roman" w:hAnsi="Times New Roman" w:cs="Times New Roman"/>
                <w:b/>
                <w:bCs/>
                <w:sz w:val="20"/>
                <w:szCs w:val="27"/>
                <w:lang w:val="en-GB" w:eastAsia="en-GB"/>
              </w:rPr>
              <w:t>ČSSD 2017</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343EDFA3" w14:textId="77777777" w:rsidR="00323525" w:rsidRPr="00683992" w:rsidRDefault="00323525" w:rsidP="00185C9F">
            <w:pPr>
              <w:spacing w:line="240" w:lineRule="auto"/>
              <w:rPr>
                <w:rFonts w:ascii="Times New Roman" w:eastAsia="Times New Roman" w:hAnsi="Times New Roman" w:cs="Times New Roman"/>
                <w:b/>
                <w:bCs/>
                <w:sz w:val="20"/>
                <w:szCs w:val="27"/>
                <w:lang w:val="en-GB" w:eastAsia="en-GB"/>
              </w:rPr>
            </w:pPr>
            <w:r w:rsidRPr="00683992">
              <w:rPr>
                <w:rFonts w:ascii="Times New Roman" w:eastAsia="Times New Roman" w:hAnsi="Times New Roman" w:cs="Times New Roman"/>
                <w:b/>
                <w:bCs/>
                <w:sz w:val="20"/>
                <w:szCs w:val="27"/>
                <w:lang w:val="en-GB" w:eastAsia="en-GB"/>
              </w:rPr>
              <w:t>ČSSD 2013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6B163EF6" w14:textId="77777777" w:rsidR="00323525" w:rsidRPr="00683992" w:rsidRDefault="00323525" w:rsidP="00185C9F">
            <w:pPr>
              <w:spacing w:line="240" w:lineRule="auto"/>
              <w:rPr>
                <w:rFonts w:ascii="Times New Roman" w:eastAsia="Times New Roman" w:hAnsi="Times New Roman" w:cs="Times New Roman"/>
                <w:b/>
                <w:bCs/>
                <w:sz w:val="20"/>
                <w:szCs w:val="27"/>
                <w:lang w:val="en-GB" w:eastAsia="en-GB"/>
              </w:rPr>
            </w:pPr>
            <w:r w:rsidRPr="00683992">
              <w:rPr>
                <w:rFonts w:ascii="Times New Roman" w:eastAsia="Times New Roman" w:hAnsi="Times New Roman" w:cs="Times New Roman"/>
                <w:b/>
                <w:bCs/>
                <w:sz w:val="20"/>
                <w:szCs w:val="27"/>
                <w:lang w:val="en-GB" w:eastAsia="en-GB"/>
              </w:rPr>
              <w:t>ČSSD 2010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4F7A5FE6" w14:textId="77777777" w:rsidR="00323525" w:rsidRPr="00683992" w:rsidRDefault="00323525" w:rsidP="00185C9F">
            <w:pPr>
              <w:spacing w:line="240" w:lineRule="auto"/>
              <w:rPr>
                <w:rFonts w:ascii="Times New Roman" w:eastAsia="Times New Roman" w:hAnsi="Times New Roman" w:cs="Times New Roman"/>
                <w:b/>
                <w:bCs/>
                <w:sz w:val="20"/>
                <w:szCs w:val="27"/>
                <w:lang w:val="en-GB" w:eastAsia="en-GB"/>
              </w:rPr>
            </w:pPr>
            <w:r w:rsidRPr="00683992">
              <w:rPr>
                <w:rFonts w:ascii="Times New Roman" w:eastAsia="Times New Roman" w:hAnsi="Times New Roman" w:cs="Times New Roman"/>
                <w:b/>
                <w:bCs/>
                <w:sz w:val="20"/>
                <w:szCs w:val="27"/>
                <w:lang w:val="en-GB" w:eastAsia="en-GB"/>
              </w:rPr>
              <w:t>ČSSD 2006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24BDD033" w14:textId="77777777" w:rsidR="00323525" w:rsidRPr="00683992" w:rsidRDefault="00323525" w:rsidP="00185C9F">
            <w:pPr>
              <w:spacing w:line="240" w:lineRule="auto"/>
              <w:rPr>
                <w:rFonts w:ascii="Times New Roman" w:eastAsia="Times New Roman" w:hAnsi="Times New Roman" w:cs="Times New Roman"/>
                <w:b/>
                <w:bCs/>
                <w:sz w:val="20"/>
                <w:szCs w:val="27"/>
                <w:lang w:val="en-GB" w:eastAsia="en-GB"/>
              </w:rPr>
            </w:pPr>
            <w:r w:rsidRPr="00683992">
              <w:rPr>
                <w:rFonts w:ascii="Times New Roman" w:eastAsia="Times New Roman" w:hAnsi="Times New Roman" w:cs="Times New Roman"/>
                <w:b/>
                <w:bCs/>
                <w:sz w:val="20"/>
                <w:szCs w:val="27"/>
                <w:lang w:val="en-GB" w:eastAsia="en-GB"/>
              </w:rPr>
              <w:t>ČSSD 2002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20E8FF9C" w14:textId="77777777" w:rsidR="00323525" w:rsidRPr="00683992" w:rsidRDefault="00323525" w:rsidP="00185C9F">
            <w:pPr>
              <w:spacing w:line="240" w:lineRule="auto"/>
              <w:rPr>
                <w:rFonts w:ascii="Times New Roman" w:eastAsia="Times New Roman" w:hAnsi="Times New Roman" w:cs="Times New Roman"/>
                <w:b/>
                <w:bCs/>
                <w:sz w:val="20"/>
                <w:szCs w:val="27"/>
                <w:lang w:val="en-GB" w:eastAsia="en-GB"/>
              </w:rPr>
            </w:pPr>
            <w:r w:rsidRPr="00683992">
              <w:rPr>
                <w:rFonts w:ascii="Times New Roman" w:eastAsia="Times New Roman" w:hAnsi="Times New Roman" w:cs="Times New Roman"/>
                <w:b/>
                <w:bCs/>
                <w:sz w:val="20"/>
                <w:szCs w:val="27"/>
                <w:lang w:val="en-GB" w:eastAsia="en-GB"/>
              </w:rPr>
              <w:t>ČSSD 1998</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25A2B74D" w14:textId="77777777" w:rsidR="00323525" w:rsidRPr="00683992" w:rsidRDefault="00323525" w:rsidP="00185C9F">
            <w:pPr>
              <w:spacing w:line="240" w:lineRule="auto"/>
              <w:rPr>
                <w:rFonts w:ascii="Times New Roman" w:eastAsia="Times New Roman" w:hAnsi="Times New Roman" w:cs="Times New Roman"/>
                <w:b/>
                <w:bCs/>
                <w:sz w:val="20"/>
                <w:szCs w:val="27"/>
                <w:lang w:val="en-GB" w:eastAsia="en-GB"/>
              </w:rPr>
            </w:pPr>
            <w:r w:rsidRPr="00683992">
              <w:rPr>
                <w:rFonts w:ascii="Times New Roman" w:eastAsia="Times New Roman" w:hAnsi="Times New Roman" w:cs="Times New Roman"/>
                <w:b/>
                <w:bCs/>
                <w:sz w:val="20"/>
                <w:szCs w:val="27"/>
                <w:lang w:val="en-GB" w:eastAsia="en-GB"/>
              </w:rPr>
              <w:t>ČSSD 1996</w:t>
            </w:r>
          </w:p>
        </w:tc>
      </w:tr>
      <w:tr w:rsidR="00323525" w:rsidRPr="00683992" w14:paraId="4152CA10"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3B43B7E"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College degree (%)</w:t>
            </w:r>
          </w:p>
        </w:tc>
        <w:tc>
          <w:tcPr>
            <w:tcW w:w="0" w:type="auto"/>
            <w:tcBorders>
              <w:top w:val="nil"/>
              <w:left w:val="nil"/>
              <w:bottom w:val="nil"/>
              <w:right w:val="nil"/>
            </w:tcBorders>
            <w:tcMar>
              <w:top w:w="15" w:type="dxa"/>
              <w:left w:w="15" w:type="dxa"/>
              <w:bottom w:w="15" w:type="dxa"/>
              <w:right w:w="180" w:type="dxa"/>
            </w:tcMar>
            <w:vAlign w:val="center"/>
            <w:hideMark/>
          </w:tcPr>
          <w:p w14:paraId="745B1FD2"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0.003</w:t>
            </w:r>
          </w:p>
        </w:tc>
        <w:tc>
          <w:tcPr>
            <w:tcW w:w="0" w:type="auto"/>
            <w:tcBorders>
              <w:top w:val="nil"/>
              <w:left w:val="nil"/>
              <w:bottom w:val="nil"/>
              <w:right w:val="nil"/>
            </w:tcBorders>
            <w:tcMar>
              <w:top w:w="15" w:type="dxa"/>
              <w:left w:w="15" w:type="dxa"/>
              <w:bottom w:w="15" w:type="dxa"/>
              <w:right w:w="180" w:type="dxa"/>
            </w:tcMar>
            <w:vAlign w:val="center"/>
            <w:hideMark/>
          </w:tcPr>
          <w:p w14:paraId="66E0AD54"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-0.070</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54665B0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-0.157</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75BF5B35"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-0.125</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491AF285"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0.170</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29D6B24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-0.164</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2C8339F2"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-0.060</w:t>
            </w:r>
            <w:r w:rsidRPr="00683992">
              <w:rPr>
                <w:rFonts w:ascii="Times New Roman" w:eastAsia="Times New Roman" w:hAnsi="Times New Roman" w:cs="Times New Roman"/>
                <w:sz w:val="20"/>
                <w:szCs w:val="27"/>
                <w:vertAlign w:val="superscript"/>
                <w:lang w:val="en-GB" w:eastAsia="en-GB"/>
              </w:rPr>
              <w:t>***</w:t>
            </w:r>
          </w:p>
        </w:tc>
      </w:tr>
      <w:tr w:rsidR="00323525" w:rsidRPr="00683992" w14:paraId="19242DC5"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01E96CA"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508B881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(0.005)</w:t>
            </w:r>
          </w:p>
        </w:tc>
        <w:tc>
          <w:tcPr>
            <w:tcW w:w="0" w:type="auto"/>
            <w:tcBorders>
              <w:top w:val="nil"/>
              <w:left w:val="nil"/>
              <w:bottom w:val="nil"/>
              <w:right w:val="nil"/>
            </w:tcBorders>
            <w:tcMar>
              <w:top w:w="15" w:type="dxa"/>
              <w:left w:w="15" w:type="dxa"/>
              <w:bottom w:w="15" w:type="dxa"/>
              <w:right w:w="180" w:type="dxa"/>
            </w:tcMar>
            <w:vAlign w:val="center"/>
            <w:hideMark/>
          </w:tcPr>
          <w:p w14:paraId="13F0C9DA"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(0.009)</w:t>
            </w:r>
          </w:p>
        </w:tc>
        <w:tc>
          <w:tcPr>
            <w:tcW w:w="0" w:type="auto"/>
            <w:tcBorders>
              <w:top w:val="nil"/>
              <w:left w:val="nil"/>
              <w:bottom w:val="nil"/>
              <w:right w:val="nil"/>
            </w:tcBorders>
            <w:tcMar>
              <w:top w:w="15" w:type="dxa"/>
              <w:left w:w="15" w:type="dxa"/>
              <w:bottom w:w="15" w:type="dxa"/>
              <w:right w:w="180" w:type="dxa"/>
            </w:tcMar>
            <w:vAlign w:val="center"/>
            <w:hideMark/>
          </w:tcPr>
          <w:p w14:paraId="177C6E7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(0.009)</w:t>
            </w:r>
          </w:p>
        </w:tc>
        <w:tc>
          <w:tcPr>
            <w:tcW w:w="0" w:type="auto"/>
            <w:tcBorders>
              <w:top w:val="nil"/>
              <w:left w:val="nil"/>
              <w:bottom w:val="nil"/>
              <w:right w:val="nil"/>
            </w:tcBorders>
            <w:tcMar>
              <w:top w:w="15" w:type="dxa"/>
              <w:left w:w="15" w:type="dxa"/>
              <w:bottom w:w="15" w:type="dxa"/>
              <w:right w:w="180" w:type="dxa"/>
            </w:tcMar>
            <w:vAlign w:val="center"/>
            <w:hideMark/>
          </w:tcPr>
          <w:p w14:paraId="1BA67C8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(0.011)</w:t>
            </w:r>
          </w:p>
        </w:tc>
        <w:tc>
          <w:tcPr>
            <w:tcW w:w="0" w:type="auto"/>
            <w:tcBorders>
              <w:top w:val="nil"/>
              <w:left w:val="nil"/>
              <w:bottom w:val="nil"/>
              <w:right w:val="nil"/>
            </w:tcBorders>
            <w:tcMar>
              <w:top w:w="15" w:type="dxa"/>
              <w:left w:w="15" w:type="dxa"/>
              <w:bottom w:w="15" w:type="dxa"/>
              <w:right w:w="180" w:type="dxa"/>
            </w:tcMar>
            <w:vAlign w:val="center"/>
            <w:hideMark/>
          </w:tcPr>
          <w:p w14:paraId="5D045B2D"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(0.011)</w:t>
            </w:r>
          </w:p>
        </w:tc>
        <w:tc>
          <w:tcPr>
            <w:tcW w:w="0" w:type="auto"/>
            <w:tcBorders>
              <w:top w:val="nil"/>
              <w:left w:val="nil"/>
              <w:bottom w:val="nil"/>
              <w:right w:val="nil"/>
            </w:tcBorders>
            <w:tcMar>
              <w:top w:w="15" w:type="dxa"/>
              <w:left w:w="15" w:type="dxa"/>
              <w:bottom w:w="15" w:type="dxa"/>
              <w:right w:w="180" w:type="dxa"/>
            </w:tcMar>
            <w:vAlign w:val="center"/>
            <w:hideMark/>
          </w:tcPr>
          <w:p w14:paraId="0B2AAB2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(0.011)</w:t>
            </w:r>
          </w:p>
        </w:tc>
        <w:tc>
          <w:tcPr>
            <w:tcW w:w="0" w:type="auto"/>
            <w:tcBorders>
              <w:top w:val="nil"/>
              <w:left w:val="nil"/>
              <w:bottom w:val="nil"/>
              <w:right w:val="nil"/>
            </w:tcBorders>
            <w:tcMar>
              <w:top w:w="15" w:type="dxa"/>
              <w:left w:w="15" w:type="dxa"/>
              <w:bottom w:w="15" w:type="dxa"/>
              <w:right w:w="180" w:type="dxa"/>
            </w:tcMar>
            <w:vAlign w:val="center"/>
            <w:hideMark/>
          </w:tcPr>
          <w:p w14:paraId="7EF50740"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(0.011)</w:t>
            </w:r>
          </w:p>
        </w:tc>
      </w:tr>
      <w:tr w:rsidR="00323525" w:rsidRPr="00683992" w14:paraId="66964E91"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BFC9A70"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Self-employed (%)</w:t>
            </w:r>
          </w:p>
        </w:tc>
        <w:tc>
          <w:tcPr>
            <w:tcW w:w="0" w:type="auto"/>
            <w:tcBorders>
              <w:top w:val="nil"/>
              <w:left w:val="nil"/>
              <w:bottom w:val="nil"/>
              <w:right w:val="nil"/>
            </w:tcBorders>
            <w:tcMar>
              <w:top w:w="15" w:type="dxa"/>
              <w:left w:w="15" w:type="dxa"/>
              <w:bottom w:w="15" w:type="dxa"/>
              <w:right w:w="180" w:type="dxa"/>
            </w:tcMar>
            <w:vAlign w:val="center"/>
            <w:hideMark/>
          </w:tcPr>
          <w:p w14:paraId="44BD732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-0.414</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32F8AA44"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-1.317</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8A8C48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-1.421</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4D883001"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-1.636</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7CA682B5"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-0.965</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1AF14C9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-1.184</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361534C6"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-1.205</w:t>
            </w:r>
            <w:r w:rsidRPr="00683992">
              <w:rPr>
                <w:rFonts w:ascii="Times New Roman" w:eastAsia="Times New Roman" w:hAnsi="Times New Roman" w:cs="Times New Roman"/>
                <w:sz w:val="20"/>
                <w:szCs w:val="27"/>
                <w:vertAlign w:val="superscript"/>
                <w:lang w:val="en-GB" w:eastAsia="en-GB"/>
              </w:rPr>
              <w:t>***</w:t>
            </w:r>
          </w:p>
        </w:tc>
      </w:tr>
      <w:tr w:rsidR="00323525" w:rsidRPr="00683992" w14:paraId="77E9014A"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F510B2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5326E33D"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(0.014)</w:t>
            </w:r>
          </w:p>
        </w:tc>
        <w:tc>
          <w:tcPr>
            <w:tcW w:w="0" w:type="auto"/>
            <w:tcBorders>
              <w:top w:val="nil"/>
              <w:left w:val="nil"/>
              <w:bottom w:val="nil"/>
              <w:right w:val="nil"/>
            </w:tcBorders>
            <w:tcMar>
              <w:top w:w="15" w:type="dxa"/>
              <w:left w:w="15" w:type="dxa"/>
              <w:bottom w:w="15" w:type="dxa"/>
              <w:right w:w="180" w:type="dxa"/>
            </w:tcMar>
            <w:vAlign w:val="center"/>
            <w:hideMark/>
          </w:tcPr>
          <w:p w14:paraId="15E87AD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(0.026)</w:t>
            </w:r>
          </w:p>
        </w:tc>
        <w:tc>
          <w:tcPr>
            <w:tcW w:w="0" w:type="auto"/>
            <w:tcBorders>
              <w:top w:val="nil"/>
              <w:left w:val="nil"/>
              <w:bottom w:val="nil"/>
              <w:right w:val="nil"/>
            </w:tcBorders>
            <w:tcMar>
              <w:top w:w="15" w:type="dxa"/>
              <w:left w:w="15" w:type="dxa"/>
              <w:bottom w:w="15" w:type="dxa"/>
              <w:right w:w="180" w:type="dxa"/>
            </w:tcMar>
            <w:vAlign w:val="center"/>
            <w:hideMark/>
          </w:tcPr>
          <w:p w14:paraId="12BD8896"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(0.026)</w:t>
            </w:r>
          </w:p>
        </w:tc>
        <w:tc>
          <w:tcPr>
            <w:tcW w:w="0" w:type="auto"/>
            <w:tcBorders>
              <w:top w:val="nil"/>
              <w:left w:val="nil"/>
              <w:bottom w:val="nil"/>
              <w:right w:val="nil"/>
            </w:tcBorders>
            <w:tcMar>
              <w:top w:w="15" w:type="dxa"/>
              <w:left w:w="15" w:type="dxa"/>
              <w:bottom w:w="15" w:type="dxa"/>
              <w:right w:w="180" w:type="dxa"/>
            </w:tcMar>
            <w:vAlign w:val="center"/>
            <w:hideMark/>
          </w:tcPr>
          <w:p w14:paraId="0C2DAD5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(0.031)</w:t>
            </w:r>
          </w:p>
        </w:tc>
        <w:tc>
          <w:tcPr>
            <w:tcW w:w="0" w:type="auto"/>
            <w:tcBorders>
              <w:top w:val="nil"/>
              <w:left w:val="nil"/>
              <w:bottom w:val="nil"/>
              <w:right w:val="nil"/>
            </w:tcBorders>
            <w:tcMar>
              <w:top w:w="15" w:type="dxa"/>
              <w:left w:w="15" w:type="dxa"/>
              <w:bottom w:w="15" w:type="dxa"/>
              <w:right w:w="180" w:type="dxa"/>
            </w:tcMar>
            <w:vAlign w:val="center"/>
            <w:hideMark/>
          </w:tcPr>
          <w:p w14:paraId="4F5FF46A"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(0.030)</w:t>
            </w:r>
          </w:p>
        </w:tc>
        <w:tc>
          <w:tcPr>
            <w:tcW w:w="0" w:type="auto"/>
            <w:tcBorders>
              <w:top w:val="nil"/>
              <w:left w:val="nil"/>
              <w:bottom w:val="nil"/>
              <w:right w:val="nil"/>
            </w:tcBorders>
            <w:tcMar>
              <w:top w:w="15" w:type="dxa"/>
              <w:left w:w="15" w:type="dxa"/>
              <w:bottom w:w="15" w:type="dxa"/>
              <w:right w:w="180" w:type="dxa"/>
            </w:tcMar>
            <w:vAlign w:val="center"/>
            <w:hideMark/>
          </w:tcPr>
          <w:p w14:paraId="2F30727B"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(0.031)</w:t>
            </w:r>
          </w:p>
        </w:tc>
        <w:tc>
          <w:tcPr>
            <w:tcW w:w="0" w:type="auto"/>
            <w:tcBorders>
              <w:top w:val="nil"/>
              <w:left w:val="nil"/>
              <w:bottom w:val="nil"/>
              <w:right w:val="nil"/>
            </w:tcBorders>
            <w:tcMar>
              <w:top w:w="15" w:type="dxa"/>
              <w:left w:w="15" w:type="dxa"/>
              <w:bottom w:w="15" w:type="dxa"/>
              <w:right w:w="180" w:type="dxa"/>
            </w:tcMar>
            <w:vAlign w:val="center"/>
            <w:hideMark/>
          </w:tcPr>
          <w:p w14:paraId="70A4A8B4"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(0.031)</w:t>
            </w:r>
          </w:p>
        </w:tc>
      </w:tr>
      <w:tr w:rsidR="00323525" w:rsidRPr="00683992" w14:paraId="14284288"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0E3767C"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Unemployed (%)</w:t>
            </w:r>
          </w:p>
        </w:tc>
        <w:tc>
          <w:tcPr>
            <w:tcW w:w="0" w:type="auto"/>
            <w:tcBorders>
              <w:top w:val="nil"/>
              <w:left w:val="nil"/>
              <w:bottom w:val="nil"/>
              <w:right w:val="nil"/>
            </w:tcBorders>
            <w:tcMar>
              <w:top w:w="15" w:type="dxa"/>
              <w:left w:w="15" w:type="dxa"/>
              <w:bottom w:w="15" w:type="dxa"/>
              <w:right w:w="180" w:type="dxa"/>
            </w:tcMar>
            <w:vAlign w:val="center"/>
            <w:hideMark/>
          </w:tcPr>
          <w:p w14:paraId="71453D9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0.035</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8590C86"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0.269</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5B42208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0.532</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12E7EA6A"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0.387</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66189D8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0.168</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596026A6"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0.482</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58B789A4"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0.583</w:t>
            </w:r>
            <w:r w:rsidRPr="00683992">
              <w:rPr>
                <w:rFonts w:ascii="Times New Roman" w:eastAsia="Times New Roman" w:hAnsi="Times New Roman" w:cs="Times New Roman"/>
                <w:sz w:val="20"/>
                <w:szCs w:val="27"/>
                <w:vertAlign w:val="superscript"/>
                <w:lang w:val="en-GB" w:eastAsia="en-GB"/>
              </w:rPr>
              <w:t>***</w:t>
            </w:r>
          </w:p>
        </w:tc>
      </w:tr>
      <w:tr w:rsidR="00323525" w:rsidRPr="00683992" w14:paraId="5C61E3DF"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78D08BC"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28951061"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(0.011)</w:t>
            </w:r>
          </w:p>
        </w:tc>
        <w:tc>
          <w:tcPr>
            <w:tcW w:w="0" w:type="auto"/>
            <w:tcBorders>
              <w:top w:val="nil"/>
              <w:left w:val="nil"/>
              <w:bottom w:val="nil"/>
              <w:right w:val="nil"/>
            </w:tcBorders>
            <w:tcMar>
              <w:top w:w="15" w:type="dxa"/>
              <w:left w:w="15" w:type="dxa"/>
              <w:bottom w:w="15" w:type="dxa"/>
              <w:right w:w="180" w:type="dxa"/>
            </w:tcMar>
            <w:vAlign w:val="center"/>
            <w:hideMark/>
          </w:tcPr>
          <w:p w14:paraId="79A22B48"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(0.020)</w:t>
            </w:r>
          </w:p>
        </w:tc>
        <w:tc>
          <w:tcPr>
            <w:tcW w:w="0" w:type="auto"/>
            <w:tcBorders>
              <w:top w:val="nil"/>
              <w:left w:val="nil"/>
              <w:bottom w:val="nil"/>
              <w:right w:val="nil"/>
            </w:tcBorders>
            <w:tcMar>
              <w:top w:w="15" w:type="dxa"/>
              <w:left w:w="15" w:type="dxa"/>
              <w:bottom w:w="15" w:type="dxa"/>
              <w:right w:w="180" w:type="dxa"/>
            </w:tcMar>
            <w:vAlign w:val="center"/>
            <w:hideMark/>
          </w:tcPr>
          <w:p w14:paraId="5D636563"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(0.021)</w:t>
            </w:r>
          </w:p>
        </w:tc>
        <w:tc>
          <w:tcPr>
            <w:tcW w:w="0" w:type="auto"/>
            <w:tcBorders>
              <w:top w:val="nil"/>
              <w:left w:val="nil"/>
              <w:bottom w:val="nil"/>
              <w:right w:val="nil"/>
            </w:tcBorders>
            <w:tcMar>
              <w:top w:w="15" w:type="dxa"/>
              <w:left w:w="15" w:type="dxa"/>
              <w:bottom w:w="15" w:type="dxa"/>
              <w:right w:w="180" w:type="dxa"/>
            </w:tcMar>
            <w:vAlign w:val="center"/>
            <w:hideMark/>
          </w:tcPr>
          <w:p w14:paraId="4935671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(0.024)</w:t>
            </w:r>
          </w:p>
        </w:tc>
        <w:tc>
          <w:tcPr>
            <w:tcW w:w="0" w:type="auto"/>
            <w:tcBorders>
              <w:top w:val="nil"/>
              <w:left w:val="nil"/>
              <w:bottom w:val="nil"/>
              <w:right w:val="nil"/>
            </w:tcBorders>
            <w:tcMar>
              <w:top w:w="15" w:type="dxa"/>
              <w:left w:w="15" w:type="dxa"/>
              <w:bottom w:w="15" w:type="dxa"/>
              <w:right w:w="180" w:type="dxa"/>
            </w:tcMar>
            <w:vAlign w:val="center"/>
            <w:hideMark/>
          </w:tcPr>
          <w:p w14:paraId="20C105A6"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(0.023)</w:t>
            </w:r>
          </w:p>
        </w:tc>
        <w:tc>
          <w:tcPr>
            <w:tcW w:w="0" w:type="auto"/>
            <w:tcBorders>
              <w:top w:val="nil"/>
              <w:left w:val="nil"/>
              <w:bottom w:val="nil"/>
              <w:right w:val="nil"/>
            </w:tcBorders>
            <w:tcMar>
              <w:top w:w="15" w:type="dxa"/>
              <w:left w:w="15" w:type="dxa"/>
              <w:bottom w:w="15" w:type="dxa"/>
              <w:right w:w="180" w:type="dxa"/>
            </w:tcMar>
            <w:vAlign w:val="center"/>
            <w:hideMark/>
          </w:tcPr>
          <w:p w14:paraId="2802636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(0.025)</w:t>
            </w:r>
          </w:p>
        </w:tc>
        <w:tc>
          <w:tcPr>
            <w:tcW w:w="0" w:type="auto"/>
            <w:tcBorders>
              <w:top w:val="nil"/>
              <w:left w:val="nil"/>
              <w:bottom w:val="nil"/>
              <w:right w:val="nil"/>
            </w:tcBorders>
            <w:tcMar>
              <w:top w:w="15" w:type="dxa"/>
              <w:left w:w="15" w:type="dxa"/>
              <w:bottom w:w="15" w:type="dxa"/>
              <w:right w:w="180" w:type="dxa"/>
            </w:tcMar>
            <w:vAlign w:val="center"/>
            <w:hideMark/>
          </w:tcPr>
          <w:p w14:paraId="7EAD60A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(0.024)</w:t>
            </w:r>
          </w:p>
        </w:tc>
      </w:tr>
      <w:tr w:rsidR="00323525" w:rsidRPr="00683992" w14:paraId="22DD4A37"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26FCFE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65+ years (%)</w:t>
            </w:r>
          </w:p>
        </w:tc>
        <w:tc>
          <w:tcPr>
            <w:tcW w:w="0" w:type="auto"/>
            <w:tcBorders>
              <w:top w:val="nil"/>
              <w:left w:val="nil"/>
              <w:bottom w:val="nil"/>
              <w:right w:val="nil"/>
            </w:tcBorders>
            <w:tcMar>
              <w:top w:w="15" w:type="dxa"/>
              <w:left w:w="15" w:type="dxa"/>
              <w:bottom w:w="15" w:type="dxa"/>
              <w:right w:w="180" w:type="dxa"/>
            </w:tcMar>
            <w:vAlign w:val="center"/>
            <w:hideMark/>
          </w:tcPr>
          <w:p w14:paraId="0688C936"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0.074</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489BD7BC"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0.214</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1DB02D34"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0.257</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AC2D892"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0.123</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6FFB00C0"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0.070</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B58A9E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-0.004</w:t>
            </w:r>
          </w:p>
        </w:tc>
        <w:tc>
          <w:tcPr>
            <w:tcW w:w="0" w:type="auto"/>
            <w:tcBorders>
              <w:top w:val="nil"/>
              <w:left w:val="nil"/>
              <w:bottom w:val="nil"/>
              <w:right w:val="nil"/>
            </w:tcBorders>
            <w:tcMar>
              <w:top w:w="15" w:type="dxa"/>
              <w:left w:w="15" w:type="dxa"/>
              <w:bottom w:w="15" w:type="dxa"/>
              <w:right w:w="180" w:type="dxa"/>
            </w:tcMar>
            <w:vAlign w:val="center"/>
            <w:hideMark/>
          </w:tcPr>
          <w:p w14:paraId="637BE3C1"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-0.001</w:t>
            </w:r>
          </w:p>
        </w:tc>
      </w:tr>
      <w:tr w:rsidR="00323525" w:rsidRPr="00683992" w14:paraId="04CA57F8"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E74F76D"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0844C31A"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(0.004)</w:t>
            </w:r>
          </w:p>
        </w:tc>
        <w:tc>
          <w:tcPr>
            <w:tcW w:w="0" w:type="auto"/>
            <w:tcBorders>
              <w:top w:val="nil"/>
              <w:left w:val="nil"/>
              <w:bottom w:val="nil"/>
              <w:right w:val="nil"/>
            </w:tcBorders>
            <w:tcMar>
              <w:top w:w="15" w:type="dxa"/>
              <w:left w:w="15" w:type="dxa"/>
              <w:bottom w:w="15" w:type="dxa"/>
              <w:right w:w="180" w:type="dxa"/>
            </w:tcMar>
            <w:vAlign w:val="center"/>
            <w:hideMark/>
          </w:tcPr>
          <w:p w14:paraId="50FD8041"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(0.007)</w:t>
            </w:r>
          </w:p>
        </w:tc>
        <w:tc>
          <w:tcPr>
            <w:tcW w:w="0" w:type="auto"/>
            <w:tcBorders>
              <w:top w:val="nil"/>
              <w:left w:val="nil"/>
              <w:bottom w:val="nil"/>
              <w:right w:val="nil"/>
            </w:tcBorders>
            <w:tcMar>
              <w:top w:w="15" w:type="dxa"/>
              <w:left w:w="15" w:type="dxa"/>
              <w:bottom w:w="15" w:type="dxa"/>
              <w:right w:w="180" w:type="dxa"/>
            </w:tcMar>
            <w:vAlign w:val="center"/>
            <w:hideMark/>
          </w:tcPr>
          <w:p w14:paraId="282E263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(0.008)</w:t>
            </w:r>
          </w:p>
        </w:tc>
        <w:tc>
          <w:tcPr>
            <w:tcW w:w="0" w:type="auto"/>
            <w:tcBorders>
              <w:top w:val="nil"/>
              <w:left w:val="nil"/>
              <w:bottom w:val="nil"/>
              <w:right w:val="nil"/>
            </w:tcBorders>
            <w:tcMar>
              <w:top w:w="15" w:type="dxa"/>
              <w:left w:w="15" w:type="dxa"/>
              <w:bottom w:w="15" w:type="dxa"/>
              <w:right w:w="180" w:type="dxa"/>
            </w:tcMar>
            <w:vAlign w:val="center"/>
            <w:hideMark/>
          </w:tcPr>
          <w:p w14:paraId="0D7CD55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(0.009)</w:t>
            </w:r>
          </w:p>
        </w:tc>
        <w:tc>
          <w:tcPr>
            <w:tcW w:w="0" w:type="auto"/>
            <w:tcBorders>
              <w:top w:val="nil"/>
              <w:left w:val="nil"/>
              <w:bottom w:val="nil"/>
              <w:right w:val="nil"/>
            </w:tcBorders>
            <w:tcMar>
              <w:top w:w="15" w:type="dxa"/>
              <w:left w:w="15" w:type="dxa"/>
              <w:bottom w:w="15" w:type="dxa"/>
              <w:right w:w="180" w:type="dxa"/>
            </w:tcMar>
            <w:vAlign w:val="center"/>
            <w:hideMark/>
          </w:tcPr>
          <w:p w14:paraId="0911176B"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(0.009)</w:t>
            </w:r>
          </w:p>
        </w:tc>
        <w:tc>
          <w:tcPr>
            <w:tcW w:w="0" w:type="auto"/>
            <w:tcBorders>
              <w:top w:val="nil"/>
              <w:left w:val="nil"/>
              <w:bottom w:val="nil"/>
              <w:right w:val="nil"/>
            </w:tcBorders>
            <w:tcMar>
              <w:top w:w="15" w:type="dxa"/>
              <w:left w:w="15" w:type="dxa"/>
              <w:bottom w:w="15" w:type="dxa"/>
              <w:right w:w="180" w:type="dxa"/>
            </w:tcMar>
            <w:vAlign w:val="center"/>
            <w:hideMark/>
          </w:tcPr>
          <w:p w14:paraId="6FBC08C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(0.009)</w:t>
            </w:r>
          </w:p>
        </w:tc>
        <w:tc>
          <w:tcPr>
            <w:tcW w:w="0" w:type="auto"/>
            <w:tcBorders>
              <w:top w:val="nil"/>
              <w:left w:val="nil"/>
              <w:bottom w:val="nil"/>
              <w:right w:val="nil"/>
            </w:tcBorders>
            <w:tcMar>
              <w:top w:w="15" w:type="dxa"/>
              <w:left w:w="15" w:type="dxa"/>
              <w:bottom w:w="15" w:type="dxa"/>
              <w:right w:w="180" w:type="dxa"/>
            </w:tcMar>
            <w:vAlign w:val="center"/>
            <w:hideMark/>
          </w:tcPr>
          <w:p w14:paraId="1BAADC18"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(0.009)</w:t>
            </w:r>
          </w:p>
        </w:tc>
      </w:tr>
      <w:tr w:rsidR="00323525" w:rsidRPr="00683992" w14:paraId="2BEA1EAA"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19D7100"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Catholics (%)</w:t>
            </w:r>
          </w:p>
        </w:tc>
        <w:tc>
          <w:tcPr>
            <w:tcW w:w="0" w:type="auto"/>
            <w:tcBorders>
              <w:top w:val="nil"/>
              <w:left w:val="nil"/>
              <w:bottom w:val="nil"/>
              <w:right w:val="nil"/>
            </w:tcBorders>
            <w:tcMar>
              <w:top w:w="15" w:type="dxa"/>
              <w:left w:w="15" w:type="dxa"/>
              <w:bottom w:w="15" w:type="dxa"/>
              <w:right w:w="180" w:type="dxa"/>
            </w:tcMar>
            <w:vAlign w:val="center"/>
            <w:hideMark/>
          </w:tcPr>
          <w:p w14:paraId="7004F7C5"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0.033</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9A23A8E"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0.013</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2FAD01F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0.010</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1B3183A1"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0.031</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5593669E"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-0.047</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12D49EE8"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-0.093</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1E0E62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-0.092</w:t>
            </w:r>
            <w:r w:rsidRPr="00683992">
              <w:rPr>
                <w:rFonts w:ascii="Times New Roman" w:eastAsia="Times New Roman" w:hAnsi="Times New Roman" w:cs="Times New Roman"/>
                <w:sz w:val="20"/>
                <w:szCs w:val="27"/>
                <w:vertAlign w:val="superscript"/>
                <w:lang w:val="en-GB" w:eastAsia="en-GB"/>
              </w:rPr>
              <w:t>***</w:t>
            </w:r>
          </w:p>
        </w:tc>
      </w:tr>
      <w:tr w:rsidR="00323525" w:rsidRPr="00683992" w14:paraId="17D0B57D"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FA737F3"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5D1A4E1A"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(0.002)</w:t>
            </w:r>
          </w:p>
        </w:tc>
        <w:tc>
          <w:tcPr>
            <w:tcW w:w="0" w:type="auto"/>
            <w:tcBorders>
              <w:top w:val="nil"/>
              <w:left w:val="nil"/>
              <w:bottom w:val="nil"/>
              <w:right w:val="nil"/>
            </w:tcBorders>
            <w:tcMar>
              <w:top w:w="15" w:type="dxa"/>
              <w:left w:w="15" w:type="dxa"/>
              <w:bottom w:w="15" w:type="dxa"/>
              <w:right w:w="180" w:type="dxa"/>
            </w:tcMar>
            <w:vAlign w:val="center"/>
            <w:hideMark/>
          </w:tcPr>
          <w:p w14:paraId="553319B4"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(0.005)</w:t>
            </w:r>
          </w:p>
        </w:tc>
        <w:tc>
          <w:tcPr>
            <w:tcW w:w="0" w:type="auto"/>
            <w:tcBorders>
              <w:top w:val="nil"/>
              <w:left w:val="nil"/>
              <w:bottom w:val="nil"/>
              <w:right w:val="nil"/>
            </w:tcBorders>
            <w:tcMar>
              <w:top w:w="15" w:type="dxa"/>
              <w:left w:w="15" w:type="dxa"/>
              <w:bottom w:w="15" w:type="dxa"/>
              <w:right w:w="180" w:type="dxa"/>
            </w:tcMar>
            <w:vAlign w:val="center"/>
            <w:hideMark/>
          </w:tcPr>
          <w:p w14:paraId="246DFB90"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(0.005)</w:t>
            </w:r>
          </w:p>
        </w:tc>
        <w:tc>
          <w:tcPr>
            <w:tcW w:w="0" w:type="auto"/>
            <w:tcBorders>
              <w:top w:val="nil"/>
              <w:left w:val="nil"/>
              <w:bottom w:val="nil"/>
              <w:right w:val="nil"/>
            </w:tcBorders>
            <w:tcMar>
              <w:top w:w="15" w:type="dxa"/>
              <w:left w:w="15" w:type="dxa"/>
              <w:bottom w:w="15" w:type="dxa"/>
              <w:right w:w="180" w:type="dxa"/>
            </w:tcMar>
            <w:vAlign w:val="center"/>
            <w:hideMark/>
          </w:tcPr>
          <w:p w14:paraId="2A588FBE"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(0.006)</w:t>
            </w:r>
          </w:p>
        </w:tc>
        <w:tc>
          <w:tcPr>
            <w:tcW w:w="0" w:type="auto"/>
            <w:tcBorders>
              <w:top w:val="nil"/>
              <w:left w:val="nil"/>
              <w:bottom w:val="nil"/>
              <w:right w:val="nil"/>
            </w:tcBorders>
            <w:tcMar>
              <w:top w:w="15" w:type="dxa"/>
              <w:left w:w="15" w:type="dxa"/>
              <w:bottom w:w="15" w:type="dxa"/>
              <w:right w:w="180" w:type="dxa"/>
            </w:tcMar>
            <w:vAlign w:val="center"/>
            <w:hideMark/>
          </w:tcPr>
          <w:p w14:paraId="228F29FE"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(0.005)</w:t>
            </w:r>
          </w:p>
        </w:tc>
        <w:tc>
          <w:tcPr>
            <w:tcW w:w="0" w:type="auto"/>
            <w:tcBorders>
              <w:top w:val="nil"/>
              <w:left w:val="nil"/>
              <w:bottom w:val="nil"/>
              <w:right w:val="nil"/>
            </w:tcBorders>
            <w:tcMar>
              <w:top w:w="15" w:type="dxa"/>
              <w:left w:w="15" w:type="dxa"/>
              <w:bottom w:w="15" w:type="dxa"/>
              <w:right w:w="180" w:type="dxa"/>
            </w:tcMar>
            <w:vAlign w:val="center"/>
            <w:hideMark/>
          </w:tcPr>
          <w:p w14:paraId="694AB110"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(0.006)</w:t>
            </w:r>
          </w:p>
        </w:tc>
        <w:tc>
          <w:tcPr>
            <w:tcW w:w="0" w:type="auto"/>
            <w:tcBorders>
              <w:top w:val="nil"/>
              <w:left w:val="nil"/>
              <w:bottom w:val="nil"/>
              <w:right w:val="nil"/>
            </w:tcBorders>
            <w:tcMar>
              <w:top w:w="15" w:type="dxa"/>
              <w:left w:w="15" w:type="dxa"/>
              <w:bottom w:w="15" w:type="dxa"/>
              <w:right w:w="180" w:type="dxa"/>
            </w:tcMar>
            <w:vAlign w:val="center"/>
            <w:hideMark/>
          </w:tcPr>
          <w:p w14:paraId="7177B110"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(0.006)</w:t>
            </w:r>
          </w:p>
        </w:tc>
      </w:tr>
      <w:tr w:rsidR="00323525" w:rsidRPr="00683992" w14:paraId="6DBBEA79"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CCF4DDC"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sz w:val="20"/>
                <w:szCs w:val="27"/>
              </w:rPr>
              <w:t>(Constant)</w:t>
            </w:r>
          </w:p>
        </w:tc>
        <w:tc>
          <w:tcPr>
            <w:tcW w:w="0" w:type="auto"/>
            <w:tcBorders>
              <w:top w:val="nil"/>
              <w:left w:val="nil"/>
              <w:bottom w:val="nil"/>
              <w:right w:val="nil"/>
            </w:tcBorders>
            <w:tcMar>
              <w:top w:w="15" w:type="dxa"/>
              <w:left w:w="15" w:type="dxa"/>
              <w:bottom w:w="15" w:type="dxa"/>
              <w:right w:w="180" w:type="dxa"/>
            </w:tcMar>
            <w:vAlign w:val="center"/>
            <w:hideMark/>
          </w:tcPr>
          <w:p w14:paraId="77EAB56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7.595</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23E3160"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23.008</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26F8D438"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23.878</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32F21F7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38.663</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DAF09A1"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32.543</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0F112BB3"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40.261</w:t>
            </w:r>
            <w:r w:rsidRPr="00683992">
              <w:rPr>
                <w:rFonts w:ascii="Times New Roman" w:eastAsia="Times New Roman" w:hAnsi="Times New Roman" w:cs="Times New Roman"/>
                <w:sz w:val="20"/>
                <w:szCs w:val="27"/>
                <w:vertAlign w:val="superscript"/>
                <w:lang w:val="en-GB" w:eastAsia="en-GB"/>
              </w:rPr>
              <w:t>***</w:t>
            </w:r>
          </w:p>
        </w:tc>
        <w:tc>
          <w:tcPr>
            <w:tcW w:w="0" w:type="auto"/>
            <w:tcBorders>
              <w:top w:val="nil"/>
              <w:left w:val="nil"/>
              <w:bottom w:val="nil"/>
              <w:right w:val="nil"/>
            </w:tcBorders>
            <w:tcMar>
              <w:top w:w="15" w:type="dxa"/>
              <w:left w:w="15" w:type="dxa"/>
              <w:bottom w:w="15" w:type="dxa"/>
              <w:right w:w="180" w:type="dxa"/>
            </w:tcMar>
            <w:vAlign w:val="center"/>
            <w:hideMark/>
          </w:tcPr>
          <w:p w14:paraId="20C62D13"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32.711</w:t>
            </w:r>
            <w:r w:rsidRPr="00683992">
              <w:rPr>
                <w:rFonts w:ascii="Times New Roman" w:eastAsia="Times New Roman" w:hAnsi="Times New Roman" w:cs="Times New Roman"/>
                <w:sz w:val="20"/>
                <w:szCs w:val="27"/>
                <w:vertAlign w:val="superscript"/>
                <w:lang w:val="en-GB" w:eastAsia="en-GB"/>
              </w:rPr>
              <w:t>***</w:t>
            </w:r>
          </w:p>
        </w:tc>
      </w:tr>
      <w:tr w:rsidR="00323525" w:rsidRPr="00683992" w14:paraId="6C7B9736"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D1F031D"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p>
        </w:tc>
        <w:tc>
          <w:tcPr>
            <w:tcW w:w="0" w:type="auto"/>
            <w:tcBorders>
              <w:top w:val="nil"/>
              <w:left w:val="nil"/>
              <w:bottom w:val="nil"/>
              <w:right w:val="nil"/>
            </w:tcBorders>
            <w:tcMar>
              <w:top w:w="15" w:type="dxa"/>
              <w:left w:w="15" w:type="dxa"/>
              <w:bottom w:w="15" w:type="dxa"/>
              <w:right w:w="180" w:type="dxa"/>
            </w:tcMar>
            <w:vAlign w:val="center"/>
            <w:hideMark/>
          </w:tcPr>
          <w:p w14:paraId="09C763C1"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(0.161)</w:t>
            </w:r>
          </w:p>
        </w:tc>
        <w:tc>
          <w:tcPr>
            <w:tcW w:w="0" w:type="auto"/>
            <w:tcBorders>
              <w:top w:val="nil"/>
              <w:left w:val="nil"/>
              <w:bottom w:val="nil"/>
              <w:right w:val="nil"/>
            </w:tcBorders>
            <w:tcMar>
              <w:top w:w="15" w:type="dxa"/>
              <w:left w:w="15" w:type="dxa"/>
              <w:bottom w:w="15" w:type="dxa"/>
              <w:right w:w="180" w:type="dxa"/>
            </w:tcMar>
            <w:vAlign w:val="center"/>
            <w:hideMark/>
          </w:tcPr>
          <w:p w14:paraId="414A8C06"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(0.306)</w:t>
            </w:r>
          </w:p>
        </w:tc>
        <w:tc>
          <w:tcPr>
            <w:tcW w:w="0" w:type="auto"/>
            <w:tcBorders>
              <w:top w:val="nil"/>
              <w:left w:val="nil"/>
              <w:bottom w:val="nil"/>
              <w:right w:val="nil"/>
            </w:tcBorders>
            <w:tcMar>
              <w:top w:w="15" w:type="dxa"/>
              <w:left w:w="15" w:type="dxa"/>
              <w:bottom w:w="15" w:type="dxa"/>
              <w:right w:w="180" w:type="dxa"/>
            </w:tcMar>
            <w:vAlign w:val="center"/>
            <w:hideMark/>
          </w:tcPr>
          <w:p w14:paraId="63EAA2C3"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(0.315)</w:t>
            </w:r>
          </w:p>
        </w:tc>
        <w:tc>
          <w:tcPr>
            <w:tcW w:w="0" w:type="auto"/>
            <w:tcBorders>
              <w:top w:val="nil"/>
              <w:left w:val="nil"/>
              <w:bottom w:val="nil"/>
              <w:right w:val="nil"/>
            </w:tcBorders>
            <w:tcMar>
              <w:top w:w="15" w:type="dxa"/>
              <w:left w:w="15" w:type="dxa"/>
              <w:bottom w:w="15" w:type="dxa"/>
              <w:right w:w="180" w:type="dxa"/>
            </w:tcMar>
            <w:vAlign w:val="center"/>
            <w:hideMark/>
          </w:tcPr>
          <w:p w14:paraId="3B72F1D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(0.366)</w:t>
            </w:r>
          </w:p>
        </w:tc>
        <w:tc>
          <w:tcPr>
            <w:tcW w:w="0" w:type="auto"/>
            <w:tcBorders>
              <w:top w:val="nil"/>
              <w:left w:val="nil"/>
              <w:bottom w:val="nil"/>
              <w:right w:val="nil"/>
            </w:tcBorders>
            <w:tcMar>
              <w:top w:w="15" w:type="dxa"/>
              <w:left w:w="15" w:type="dxa"/>
              <w:bottom w:w="15" w:type="dxa"/>
              <w:right w:w="180" w:type="dxa"/>
            </w:tcMar>
            <w:vAlign w:val="center"/>
            <w:hideMark/>
          </w:tcPr>
          <w:p w14:paraId="43B4F7F6"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(0.352)</w:t>
            </w:r>
          </w:p>
        </w:tc>
        <w:tc>
          <w:tcPr>
            <w:tcW w:w="0" w:type="auto"/>
            <w:tcBorders>
              <w:top w:val="nil"/>
              <w:left w:val="nil"/>
              <w:bottom w:val="nil"/>
              <w:right w:val="nil"/>
            </w:tcBorders>
            <w:tcMar>
              <w:top w:w="15" w:type="dxa"/>
              <w:left w:w="15" w:type="dxa"/>
              <w:bottom w:w="15" w:type="dxa"/>
              <w:right w:w="180" w:type="dxa"/>
            </w:tcMar>
            <w:vAlign w:val="center"/>
            <w:hideMark/>
          </w:tcPr>
          <w:p w14:paraId="109961F3"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(0.370)</w:t>
            </w:r>
          </w:p>
        </w:tc>
        <w:tc>
          <w:tcPr>
            <w:tcW w:w="0" w:type="auto"/>
            <w:tcBorders>
              <w:top w:val="nil"/>
              <w:left w:val="nil"/>
              <w:bottom w:val="nil"/>
              <w:right w:val="nil"/>
            </w:tcBorders>
            <w:tcMar>
              <w:top w:w="15" w:type="dxa"/>
              <w:left w:w="15" w:type="dxa"/>
              <w:bottom w:w="15" w:type="dxa"/>
              <w:right w:w="180" w:type="dxa"/>
            </w:tcMar>
            <w:vAlign w:val="center"/>
            <w:hideMark/>
          </w:tcPr>
          <w:p w14:paraId="674F68FD"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(0.367)</w:t>
            </w:r>
          </w:p>
        </w:tc>
      </w:tr>
      <w:tr w:rsidR="00323525" w:rsidRPr="00683992" w14:paraId="4C187316" w14:textId="77777777" w:rsidTr="00185C9F">
        <w:trPr>
          <w:tblCellSpacing w:w="0" w:type="dxa"/>
          <w:jc w:val="center"/>
        </w:trPr>
        <w:tc>
          <w:tcPr>
            <w:tcW w:w="0" w:type="auto"/>
            <w:tcBorders>
              <w:top w:val="single" w:sz="6" w:space="0" w:color="000000"/>
            </w:tcBorders>
            <w:vAlign w:val="center"/>
            <w:hideMark/>
          </w:tcPr>
          <w:p w14:paraId="5C64E2A2"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R2</w:t>
            </w:r>
          </w:p>
        </w:tc>
        <w:tc>
          <w:tcPr>
            <w:tcW w:w="0" w:type="auto"/>
            <w:tcBorders>
              <w:top w:val="single" w:sz="6" w:space="0" w:color="000000"/>
            </w:tcBorders>
            <w:vAlign w:val="center"/>
            <w:hideMark/>
          </w:tcPr>
          <w:p w14:paraId="25574FF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0.132</w:t>
            </w:r>
          </w:p>
        </w:tc>
        <w:tc>
          <w:tcPr>
            <w:tcW w:w="0" w:type="auto"/>
            <w:tcBorders>
              <w:top w:val="single" w:sz="6" w:space="0" w:color="000000"/>
            </w:tcBorders>
            <w:vAlign w:val="center"/>
            <w:hideMark/>
          </w:tcPr>
          <w:p w14:paraId="21A3C53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0.293</w:t>
            </w:r>
          </w:p>
        </w:tc>
        <w:tc>
          <w:tcPr>
            <w:tcW w:w="0" w:type="auto"/>
            <w:tcBorders>
              <w:top w:val="single" w:sz="6" w:space="0" w:color="000000"/>
            </w:tcBorders>
            <w:vAlign w:val="center"/>
            <w:hideMark/>
          </w:tcPr>
          <w:p w14:paraId="22D2C7CC"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0.368</w:t>
            </w:r>
          </w:p>
        </w:tc>
        <w:tc>
          <w:tcPr>
            <w:tcW w:w="0" w:type="auto"/>
            <w:tcBorders>
              <w:top w:val="single" w:sz="6" w:space="0" w:color="000000"/>
            </w:tcBorders>
            <w:vAlign w:val="center"/>
            <w:hideMark/>
          </w:tcPr>
          <w:p w14:paraId="0B47A2A5"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0.276</w:t>
            </w:r>
          </w:p>
        </w:tc>
        <w:tc>
          <w:tcPr>
            <w:tcW w:w="0" w:type="auto"/>
            <w:tcBorders>
              <w:top w:val="single" w:sz="6" w:space="0" w:color="000000"/>
            </w:tcBorders>
            <w:vAlign w:val="center"/>
            <w:hideMark/>
          </w:tcPr>
          <w:p w14:paraId="56375CF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0.101</w:t>
            </w:r>
          </w:p>
        </w:tc>
        <w:tc>
          <w:tcPr>
            <w:tcW w:w="0" w:type="auto"/>
            <w:tcBorders>
              <w:top w:val="single" w:sz="6" w:space="0" w:color="000000"/>
            </w:tcBorders>
            <w:vAlign w:val="center"/>
            <w:hideMark/>
          </w:tcPr>
          <w:p w14:paraId="24F7804D"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0.213</w:t>
            </w:r>
          </w:p>
        </w:tc>
        <w:tc>
          <w:tcPr>
            <w:tcW w:w="0" w:type="auto"/>
            <w:tcBorders>
              <w:top w:val="single" w:sz="6" w:space="0" w:color="000000"/>
            </w:tcBorders>
            <w:vAlign w:val="center"/>
            <w:hideMark/>
          </w:tcPr>
          <w:p w14:paraId="4601BF66"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0.205</w:t>
            </w:r>
          </w:p>
        </w:tc>
      </w:tr>
      <w:tr w:rsidR="00323525" w:rsidRPr="00683992" w14:paraId="1D59DEF7"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103F453"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Adj.R2</w:t>
            </w:r>
          </w:p>
        </w:tc>
        <w:tc>
          <w:tcPr>
            <w:tcW w:w="0" w:type="auto"/>
            <w:tcBorders>
              <w:top w:val="nil"/>
              <w:left w:val="nil"/>
              <w:bottom w:val="nil"/>
              <w:right w:val="nil"/>
            </w:tcBorders>
            <w:tcMar>
              <w:top w:w="15" w:type="dxa"/>
              <w:left w:w="15" w:type="dxa"/>
              <w:bottom w:w="15" w:type="dxa"/>
              <w:right w:w="180" w:type="dxa"/>
            </w:tcMar>
            <w:vAlign w:val="center"/>
            <w:hideMark/>
          </w:tcPr>
          <w:p w14:paraId="6FC0EC1E"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0.132</w:t>
            </w:r>
          </w:p>
        </w:tc>
        <w:tc>
          <w:tcPr>
            <w:tcW w:w="0" w:type="auto"/>
            <w:tcBorders>
              <w:top w:val="nil"/>
              <w:left w:val="nil"/>
              <w:bottom w:val="nil"/>
              <w:right w:val="nil"/>
            </w:tcBorders>
            <w:tcMar>
              <w:top w:w="15" w:type="dxa"/>
              <w:left w:w="15" w:type="dxa"/>
              <w:bottom w:w="15" w:type="dxa"/>
              <w:right w:w="180" w:type="dxa"/>
            </w:tcMar>
            <w:vAlign w:val="center"/>
            <w:hideMark/>
          </w:tcPr>
          <w:p w14:paraId="572F1E2D"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0.293</w:t>
            </w:r>
          </w:p>
        </w:tc>
        <w:tc>
          <w:tcPr>
            <w:tcW w:w="0" w:type="auto"/>
            <w:tcBorders>
              <w:top w:val="nil"/>
              <w:left w:val="nil"/>
              <w:bottom w:val="nil"/>
              <w:right w:val="nil"/>
            </w:tcBorders>
            <w:tcMar>
              <w:top w:w="15" w:type="dxa"/>
              <w:left w:w="15" w:type="dxa"/>
              <w:bottom w:w="15" w:type="dxa"/>
              <w:right w:w="180" w:type="dxa"/>
            </w:tcMar>
            <w:vAlign w:val="center"/>
            <w:hideMark/>
          </w:tcPr>
          <w:p w14:paraId="45A5981D"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0.368</w:t>
            </w:r>
          </w:p>
        </w:tc>
        <w:tc>
          <w:tcPr>
            <w:tcW w:w="0" w:type="auto"/>
            <w:tcBorders>
              <w:top w:val="nil"/>
              <w:left w:val="nil"/>
              <w:bottom w:val="nil"/>
              <w:right w:val="nil"/>
            </w:tcBorders>
            <w:tcMar>
              <w:top w:w="15" w:type="dxa"/>
              <w:left w:w="15" w:type="dxa"/>
              <w:bottom w:w="15" w:type="dxa"/>
              <w:right w:w="180" w:type="dxa"/>
            </w:tcMar>
            <w:vAlign w:val="center"/>
            <w:hideMark/>
          </w:tcPr>
          <w:p w14:paraId="7CC95C5C"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0.276</w:t>
            </w:r>
          </w:p>
        </w:tc>
        <w:tc>
          <w:tcPr>
            <w:tcW w:w="0" w:type="auto"/>
            <w:tcBorders>
              <w:top w:val="nil"/>
              <w:left w:val="nil"/>
              <w:bottom w:val="nil"/>
              <w:right w:val="nil"/>
            </w:tcBorders>
            <w:tcMar>
              <w:top w:w="15" w:type="dxa"/>
              <w:left w:w="15" w:type="dxa"/>
              <w:bottom w:w="15" w:type="dxa"/>
              <w:right w:w="180" w:type="dxa"/>
            </w:tcMar>
            <w:vAlign w:val="center"/>
            <w:hideMark/>
          </w:tcPr>
          <w:p w14:paraId="53E92EBB"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0.101</w:t>
            </w:r>
          </w:p>
        </w:tc>
        <w:tc>
          <w:tcPr>
            <w:tcW w:w="0" w:type="auto"/>
            <w:tcBorders>
              <w:top w:val="nil"/>
              <w:left w:val="nil"/>
              <w:bottom w:val="nil"/>
              <w:right w:val="nil"/>
            </w:tcBorders>
            <w:tcMar>
              <w:top w:w="15" w:type="dxa"/>
              <w:left w:w="15" w:type="dxa"/>
              <w:bottom w:w="15" w:type="dxa"/>
              <w:right w:w="180" w:type="dxa"/>
            </w:tcMar>
            <w:vAlign w:val="center"/>
            <w:hideMark/>
          </w:tcPr>
          <w:p w14:paraId="33B298C5"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0.213</w:t>
            </w:r>
          </w:p>
        </w:tc>
        <w:tc>
          <w:tcPr>
            <w:tcW w:w="0" w:type="auto"/>
            <w:tcBorders>
              <w:top w:val="nil"/>
              <w:left w:val="nil"/>
              <w:bottom w:val="nil"/>
              <w:right w:val="nil"/>
            </w:tcBorders>
            <w:tcMar>
              <w:top w:w="15" w:type="dxa"/>
              <w:left w:w="15" w:type="dxa"/>
              <w:bottom w:w="15" w:type="dxa"/>
              <w:right w:w="180" w:type="dxa"/>
            </w:tcMar>
            <w:vAlign w:val="center"/>
            <w:hideMark/>
          </w:tcPr>
          <w:p w14:paraId="659B996D"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0.205</w:t>
            </w:r>
          </w:p>
        </w:tc>
      </w:tr>
      <w:tr w:rsidR="00323525" w:rsidRPr="00683992" w14:paraId="1A5C3F67" w14:textId="77777777" w:rsidTr="00185C9F">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BCB6095"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Number of cases</w:t>
            </w:r>
          </w:p>
        </w:tc>
        <w:tc>
          <w:tcPr>
            <w:tcW w:w="0" w:type="auto"/>
            <w:tcBorders>
              <w:top w:val="nil"/>
              <w:left w:val="nil"/>
              <w:bottom w:val="nil"/>
              <w:right w:val="nil"/>
            </w:tcBorders>
            <w:tcMar>
              <w:top w:w="15" w:type="dxa"/>
              <w:left w:w="15" w:type="dxa"/>
              <w:bottom w:w="15" w:type="dxa"/>
              <w:right w:w="180" w:type="dxa"/>
            </w:tcMar>
            <w:vAlign w:val="center"/>
            <w:hideMark/>
          </w:tcPr>
          <w:p w14:paraId="6444E61B"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13637</w:t>
            </w:r>
          </w:p>
        </w:tc>
        <w:tc>
          <w:tcPr>
            <w:tcW w:w="0" w:type="auto"/>
            <w:tcBorders>
              <w:top w:val="nil"/>
              <w:left w:val="nil"/>
              <w:bottom w:val="nil"/>
              <w:right w:val="nil"/>
            </w:tcBorders>
            <w:tcMar>
              <w:top w:w="15" w:type="dxa"/>
              <w:left w:w="15" w:type="dxa"/>
              <w:bottom w:w="15" w:type="dxa"/>
              <w:right w:w="180" w:type="dxa"/>
            </w:tcMar>
            <w:vAlign w:val="center"/>
            <w:hideMark/>
          </w:tcPr>
          <w:p w14:paraId="423C7991"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13606</w:t>
            </w:r>
          </w:p>
        </w:tc>
        <w:tc>
          <w:tcPr>
            <w:tcW w:w="0" w:type="auto"/>
            <w:tcBorders>
              <w:top w:val="nil"/>
              <w:left w:val="nil"/>
              <w:bottom w:val="nil"/>
              <w:right w:val="nil"/>
            </w:tcBorders>
            <w:tcMar>
              <w:top w:w="15" w:type="dxa"/>
              <w:left w:w="15" w:type="dxa"/>
              <w:bottom w:w="15" w:type="dxa"/>
              <w:right w:w="180" w:type="dxa"/>
            </w:tcMar>
            <w:vAlign w:val="center"/>
            <w:hideMark/>
          </w:tcPr>
          <w:p w14:paraId="25108EC3"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13586</w:t>
            </w:r>
          </w:p>
        </w:tc>
        <w:tc>
          <w:tcPr>
            <w:tcW w:w="0" w:type="auto"/>
            <w:tcBorders>
              <w:top w:val="nil"/>
              <w:left w:val="nil"/>
              <w:bottom w:val="nil"/>
              <w:right w:val="nil"/>
            </w:tcBorders>
            <w:tcMar>
              <w:top w:w="15" w:type="dxa"/>
              <w:left w:w="15" w:type="dxa"/>
              <w:bottom w:w="15" w:type="dxa"/>
              <w:right w:w="180" w:type="dxa"/>
            </w:tcMar>
            <w:vAlign w:val="center"/>
            <w:hideMark/>
          </w:tcPr>
          <w:p w14:paraId="07419593"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13552</w:t>
            </w:r>
          </w:p>
        </w:tc>
        <w:tc>
          <w:tcPr>
            <w:tcW w:w="0" w:type="auto"/>
            <w:tcBorders>
              <w:top w:val="nil"/>
              <w:left w:val="nil"/>
              <w:bottom w:val="nil"/>
              <w:right w:val="nil"/>
            </w:tcBorders>
            <w:tcMar>
              <w:top w:w="15" w:type="dxa"/>
              <w:left w:w="15" w:type="dxa"/>
              <w:bottom w:w="15" w:type="dxa"/>
              <w:right w:w="180" w:type="dxa"/>
            </w:tcMar>
            <w:vAlign w:val="center"/>
            <w:hideMark/>
          </w:tcPr>
          <w:p w14:paraId="7A13EDDC"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13528</w:t>
            </w:r>
          </w:p>
        </w:tc>
        <w:tc>
          <w:tcPr>
            <w:tcW w:w="0" w:type="auto"/>
            <w:tcBorders>
              <w:top w:val="nil"/>
              <w:left w:val="nil"/>
              <w:bottom w:val="nil"/>
              <w:right w:val="nil"/>
            </w:tcBorders>
            <w:tcMar>
              <w:top w:w="15" w:type="dxa"/>
              <w:left w:w="15" w:type="dxa"/>
              <w:bottom w:w="15" w:type="dxa"/>
              <w:right w:w="180" w:type="dxa"/>
            </w:tcMar>
            <w:vAlign w:val="center"/>
            <w:hideMark/>
          </w:tcPr>
          <w:p w14:paraId="6998F95F"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13495</w:t>
            </w:r>
          </w:p>
        </w:tc>
        <w:tc>
          <w:tcPr>
            <w:tcW w:w="0" w:type="auto"/>
            <w:tcBorders>
              <w:top w:val="nil"/>
              <w:left w:val="nil"/>
              <w:bottom w:val="nil"/>
              <w:right w:val="nil"/>
            </w:tcBorders>
            <w:tcMar>
              <w:top w:w="15" w:type="dxa"/>
              <w:left w:w="15" w:type="dxa"/>
              <w:bottom w:w="15" w:type="dxa"/>
              <w:right w:w="180" w:type="dxa"/>
            </w:tcMar>
            <w:vAlign w:val="center"/>
            <w:hideMark/>
          </w:tcPr>
          <w:p w14:paraId="2CA39372"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13487</w:t>
            </w:r>
          </w:p>
        </w:tc>
      </w:tr>
      <w:tr w:rsidR="00323525" w:rsidRPr="00683992" w14:paraId="3CC41A36" w14:textId="77777777" w:rsidTr="00185C9F">
        <w:trPr>
          <w:tblCellSpacing w:w="0" w:type="dxa"/>
          <w:jc w:val="center"/>
        </w:trPr>
        <w:tc>
          <w:tcPr>
            <w:tcW w:w="0" w:type="auto"/>
            <w:tcBorders>
              <w:bottom w:val="single" w:sz="12" w:space="0" w:color="000000"/>
            </w:tcBorders>
            <w:vAlign w:val="center"/>
            <w:hideMark/>
          </w:tcPr>
          <w:p w14:paraId="5FF914BA"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RMSE</w:t>
            </w:r>
          </w:p>
        </w:tc>
        <w:tc>
          <w:tcPr>
            <w:tcW w:w="0" w:type="auto"/>
            <w:tcBorders>
              <w:bottom w:val="single" w:sz="12" w:space="0" w:color="000000"/>
            </w:tcBorders>
            <w:vAlign w:val="center"/>
            <w:hideMark/>
          </w:tcPr>
          <w:p w14:paraId="719D1A41"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61.817</w:t>
            </w:r>
          </w:p>
        </w:tc>
        <w:tc>
          <w:tcPr>
            <w:tcW w:w="0" w:type="auto"/>
            <w:tcBorders>
              <w:bottom w:val="single" w:sz="12" w:space="0" w:color="000000"/>
            </w:tcBorders>
            <w:vAlign w:val="center"/>
            <w:hideMark/>
          </w:tcPr>
          <w:p w14:paraId="33052507"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116.902</w:t>
            </w:r>
          </w:p>
        </w:tc>
        <w:tc>
          <w:tcPr>
            <w:tcW w:w="0" w:type="auto"/>
            <w:tcBorders>
              <w:bottom w:val="single" w:sz="12" w:space="0" w:color="000000"/>
            </w:tcBorders>
            <w:vAlign w:val="center"/>
            <w:hideMark/>
          </w:tcPr>
          <w:p w14:paraId="676A494B"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120.220</w:t>
            </w:r>
          </w:p>
        </w:tc>
        <w:tc>
          <w:tcPr>
            <w:tcW w:w="0" w:type="auto"/>
            <w:tcBorders>
              <w:bottom w:val="single" w:sz="12" w:space="0" w:color="000000"/>
            </w:tcBorders>
            <w:vAlign w:val="center"/>
            <w:hideMark/>
          </w:tcPr>
          <w:p w14:paraId="738AB495"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139.545</w:t>
            </w:r>
          </w:p>
        </w:tc>
        <w:tc>
          <w:tcPr>
            <w:tcW w:w="0" w:type="auto"/>
            <w:tcBorders>
              <w:bottom w:val="single" w:sz="12" w:space="0" w:color="000000"/>
            </w:tcBorders>
            <w:vAlign w:val="center"/>
            <w:hideMark/>
          </w:tcPr>
          <w:p w14:paraId="2B3EBF60"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133.883</w:t>
            </w:r>
          </w:p>
        </w:tc>
        <w:tc>
          <w:tcPr>
            <w:tcW w:w="0" w:type="auto"/>
            <w:tcBorders>
              <w:bottom w:val="single" w:sz="12" w:space="0" w:color="000000"/>
            </w:tcBorders>
            <w:vAlign w:val="center"/>
            <w:hideMark/>
          </w:tcPr>
          <w:p w14:paraId="21409A79"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140.273</w:t>
            </w:r>
          </w:p>
        </w:tc>
        <w:tc>
          <w:tcPr>
            <w:tcW w:w="0" w:type="auto"/>
            <w:tcBorders>
              <w:bottom w:val="single" w:sz="12" w:space="0" w:color="000000"/>
            </w:tcBorders>
            <w:vAlign w:val="center"/>
            <w:hideMark/>
          </w:tcPr>
          <w:p w14:paraId="4672CA34"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szCs w:val="27"/>
                <w:lang w:val="en-GB" w:eastAsia="en-GB"/>
              </w:rPr>
              <w:t>139.304</w:t>
            </w:r>
          </w:p>
        </w:tc>
      </w:tr>
      <w:tr w:rsidR="00323525" w:rsidRPr="00683992" w14:paraId="70BE7045" w14:textId="77777777" w:rsidTr="00185C9F">
        <w:trPr>
          <w:tblCellSpacing w:w="0" w:type="dxa"/>
          <w:jc w:val="center"/>
        </w:trPr>
        <w:tc>
          <w:tcPr>
            <w:tcW w:w="0" w:type="auto"/>
            <w:gridSpan w:val="8"/>
            <w:tcBorders>
              <w:top w:val="nil"/>
              <w:left w:val="nil"/>
              <w:bottom w:val="nil"/>
              <w:right w:val="nil"/>
            </w:tcBorders>
            <w:tcMar>
              <w:top w:w="15" w:type="dxa"/>
              <w:left w:w="15" w:type="dxa"/>
              <w:bottom w:w="15" w:type="dxa"/>
              <w:right w:w="180" w:type="dxa"/>
            </w:tcMar>
            <w:vAlign w:val="center"/>
            <w:hideMark/>
          </w:tcPr>
          <w:p w14:paraId="4A2E63FB" w14:textId="77777777" w:rsidR="00323525" w:rsidRPr="00683992" w:rsidRDefault="00323525" w:rsidP="00185C9F">
            <w:pPr>
              <w:spacing w:line="240" w:lineRule="auto"/>
              <w:rPr>
                <w:rFonts w:ascii="Times New Roman" w:eastAsia="Times New Roman" w:hAnsi="Times New Roman" w:cs="Times New Roman"/>
                <w:sz w:val="20"/>
                <w:szCs w:val="27"/>
                <w:lang w:val="en-GB" w:eastAsia="en-GB"/>
              </w:rPr>
            </w:pPr>
            <w:r w:rsidRPr="00683992">
              <w:rPr>
                <w:rFonts w:ascii="Times New Roman" w:eastAsia="Times New Roman" w:hAnsi="Times New Roman" w:cs="Times New Roman"/>
                <w:sz w:val="20"/>
                <w:vertAlign w:val="superscript"/>
                <w:lang w:val="en-GB" w:eastAsia="en-GB"/>
              </w:rPr>
              <w:t>***</w:t>
            </w:r>
            <w:r w:rsidRPr="00683992">
              <w:rPr>
                <w:rFonts w:ascii="Times New Roman" w:eastAsia="Times New Roman" w:hAnsi="Times New Roman" w:cs="Times New Roman"/>
                <w:sz w:val="20"/>
                <w:lang w:val="en-GB" w:eastAsia="en-GB"/>
              </w:rPr>
              <w:t>p &lt; 0.001, </w:t>
            </w:r>
            <w:r w:rsidRPr="00683992">
              <w:rPr>
                <w:rFonts w:ascii="Times New Roman" w:eastAsia="Times New Roman" w:hAnsi="Times New Roman" w:cs="Times New Roman"/>
                <w:sz w:val="20"/>
                <w:vertAlign w:val="superscript"/>
                <w:lang w:val="en-GB" w:eastAsia="en-GB"/>
              </w:rPr>
              <w:t>**</w:t>
            </w:r>
            <w:r w:rsidRPr="00683992">
              <w:rPr>
                <w:rFonts w:ascii="Times New Roman" w:eastAsia="Times New Roman" w:hAnsi="Times New Roman" w:cs="Times New Roman"/>
                <w:sz w:val="20"/>
                <w:lang w:val="en-GB" w:eastAsia="en-GB"/>
              </w:rPr>
              <w:t>p &lt; 0.01, </w:t>
            </w:r>
            <w:r w:rsidRPr="00683992">
              <w:rPr>
                <w:rFonts w:ascii="Times New Roman" w:eastAsia="Times New Roman" w:hAnsi="Times New Roman" w:cs="Times New Roman"/>
                <w:sz w:val="20"/>
                <w:vertAlign w:val="superscript"/>
                <w:lang w:val="en-GB" w:eastAsia="en-GB"/>
              </w:rPr>
              <w:t>*</w:t>
            </w:r>
            <w:r w:rsidRPr="00683992">
              <w:rPr>
                <w:rFonts w:ascii="Times New Roman" w:eastAsia="Times New Roman" w:hAnsi="Times New Roman" w:cs="Times New Roman"/>
                <w:sz w:val="20"/>
                <w:lang w:val="en-GB" w:eastAsia="en-GB"/>
              </w:rPr>
              <w:t>p &lt; 0.05</w:t>
            </w:r>
          </w:p>
        </w:tc>
      </w:tr>
    </w:tbl>
    <w:p w14:paraId="54E5E9F9" w14:textId="77777777" w:rsidR="00323525" w:rsidRPr="00683992" w:rsidRDefault="00323525" w:rsidP="00323525">
      <w:pPr>
        <w:jc w:val="both"/>
        <w:rPr>
          <w:rFonts w:ascii="Times New Roman" w:eastAsia="Times New Roman" w:hAnsi="Times New Roman" w:cs="Times New Roman"/>
          <w:noProof/>
          <w:sz w:val="18"/>
          <w:szCs w:val="24"/>
          <w:lang w:val="en-GB" w:eastAsia="en-GB"/>
        </w:rPr>
      </w:pPr>
    </w:p>
    <w:p w14:paraId="134DC64F" w14:textId="77777777" w:rsidR="00323525" w:rsidRPr="00683992" w:rsidRDefault="00323525" w:rsidP="00323525">
      <w:pPr>
        <w:jc w:val="both"/>
        <w:rPr>
          <w:rFonts w:ascii="Times New Roman" w:eastAsia="Times New Roman" w:hAnsi="Times New Roman" w:cs="Times New Roman"/>
          <w:noProof/>
          <w:sz w:val="18"/>
          <w:szCs w:val="24"/>
          <w:lang w:val="en-GB" w:eastAsia="en-GB"/>
        </w:rPr>
      </w:pPr>
    </w:p>
    <w:p w14:paraId="29BD77CD" w14:textId="77777777" w:rsidR="00323525" w:rsidRPr="00683992" w:rsidRDefault="00323525" w:rsidP="00323525">
      <w:pPr>
        <w:jc w:val="both"/>
        <w:rPr>
          <w:rFonts w:ascii="Times New Roman" w:eastAsia="Times New Roman" w:hAnsi="Times New Roman" w:cs="Times New Roman"/>
          <w:b/>
          <w:noProof/>
          <w:sz w:val="24"/>
          <w:szCs w:val="24"/>
          <w:lang w:val="en-GB" w:eastAsia="en-GB"/>
        </w:rPr>
      </w:pPr>
      <w:r w:rsidRPr="00683992">
        <w:rPr>
          <w:rFonts w:ascii="Times New Roman" w:eastAsia="Times New Roman" w:hAnsi="Times New Roman" w:cs="Times New Roman"/>
          <w:b/>
          <w:noProof/>
          <w:sz w:val="24"/>
          <w:szCs w:val="24"/>
          <w:lang w:val="en-GB" w:eastAsia="en-GB"/>
        </w:rPr>
        <w:t>Table 3: Regression model explaining KSČM support</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701"/>
        <w:gridCol w:w="963"/>
        <w:gridCol w:w="1116"/>
        <w:gridCol w:w="1116"/>
        <w:gridCol w:w="1116"/>
        <w:gridCol w:w="1116"/>
        <w:gridCol w:w="1116"/>
        <w:gridCol w:w="1116"/>
      </w:tblGrid>
      <w:tr w:rsidR="00323525" w:rsidRPr="00683992" w14:paraId="2C60BC46" w14:textId="77777777" w:rsidTr="00185C9F">
        <w:trPr>
          <w:tblCellSpacing w:w="0" w:type="dxa"/>
          <w:jc w:val="center"/>
        </w:trPr>
        <w:tc>
          <w:tcPr>
            <w:tcW w:w="1701" w:type="dxa"/>
            <w:tcBorders>
              <w:top w:val="single" w:sz="12" w:space="0" w:color="000000"/>
              <w:bottom w:val="single" w:sz="6" w:space="0" w:color="000000"/>
            </w:tcBorders>
            <w:tcMar>
              <w:top w:w="15" w:type="dxa"/>
              <w:left w:w="15" w:type="dxa"/>
              <w:bottom w:w="15" w:type="dxa"/>
              <w:right w:w="180" w:type="dxa"/>
            </w:tcMar>
            <w:vAlign w:val="center"/>
            <w:hideMark/>
          </w:tcPr>
          <w:p w14:paraId="64A9C8AA" w14:textId="77777777" w:rsidR="00323525" w:rsidRPr="00683992" w:rsidRDefault="00323525" w:rsidP="00185C9F">
            <w:pPr>
              <w:spacing w:before="72"/>
              <w:jc w:val="center"/>
              <w:textAlignment w:val="baseline"/>
              <w:rPr>
                <w:sz w:val="20"/>
                <w:szCs w:val="27"/>
              </w:rPr>
            </w:pPr>
          </w:p>
        </w:tc>
        <w:tc>
          <w:tcPr>
            <w:tcW w:w="963" w:type="dxa"/>
            <w:tcBorders>
              <w:top w:val="single" w:sz="12" w:space="0" w:color="000000"/>
              <w:bottom w:val="single" w:sz="6" w:space="0" w:color="000000"/>
            </w:tcBorders>
            <w:tcMar>
              <w:top w:w="15" w:type="dxa"/>
              <w:left w:w="15" w:type="dxa"/>
              <w:bottom w:w="15" w:type="dxa"/>
              <w:right w:w="180" w:type="dxa"/>
            </w:tcMar>
            <w:vAlign w:val="center"/>
            <w:hideMark/>
          </w:tcPr>
          <w:p w14:paraId="60840FC0" w14:textId="77777777" w:rsidR="00323525" w:rsidRPr="00683992" w:rsidRDefault="00323525" w:rsidP="00185C9F">
            <w:pPr>
              <w:jc w:val="center"/>
              <w:rPr>
                <w:b/>
                <w:bCs/>
                <w:sz w:val="20"/>
                <w:szCs w:val="27"/>
              </w:rPr>
            </w:pPr>
            <w:r w:rsidRPr="00683992">
              <w:rPr>
                <w:b/>
                <w:bCs/>
                <w:sz w:val="20"/>
                <w:szCs w:val="27"/>
              </w:rPr>
              <w:t>KSČM 2017</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455D2B77" w14:textId="77777777" w:rsidR="00323525" w:rsidRPr="00683992" w:rsidRDefault="00323525" w:rsidP="00185C9F">
            <w:pPr>
              <w:jc w:val="center"/>
              <w:rPr>
                <w:b/>
                <w:bCs/>
                <w:sz w:val="20"/>
                <w:szCs w:val="27"/>
              </w:rPr>
            </w:pPr>
            <w:r w:rsidRPr="00683992">
              <w:rPr>
                <w:b/>
                <w:bCs/>
                <w:sz w:val="20"/>
                <w:szCs w:val="27"/>
              </w:rPr>
              <w:t>KSČM 2013</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22595198" w14:textId="77777777" w:rsidR="00323525" w:rsidRPr="00683992" w:rsidRDefault="00323525" w:rsidP="00185C9F">
            <w:pPr>
              <w:jc w:val="center"/>
              <w:rPr>
                <w:b/>
                <w:bCs/>
                <w:sz w:val="20"/>
                <w:szCs w:val="27"/>
              </w:rPr>
            </w:pPr>
            <w:r w:rsidRPr="00683992">
              <w:rPr>
                <w:b/>
                <w:bCs/>
                <w:sz w:val="20"/>
                <w:szCs w:val="27"/>
              </w:rPr>
              <w:t>KSČM 2010</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579BF422" w14:textId="77777777" w:rsidR="00323525" w:rsidRPr="00683992" w:rsidRDefault="00323525" w:rsidP="00185C9F">
            <w:pPr>
              <w:jc w:val="center"/>
              <w:rPr>
                <w:b/>
                <w:bCs/>
                <w:sz w:val="20"/>
                <w:szCs w:val="27"/>
              </w:rPr>
            </w:pPr>
            <w:r w:rsidRPr="00683992">
              <w:rPr>
                <w:b/>
                <w:bCs/>
                <w:sz w:val="20"/>
                <w:szCs w:val="27"/>
              </w:rPr>
              <w:t>KSČM 2006</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14F193DF" w14:textId="77777777" w:rsidR="00323525" w:rsidRPr="00683992" w:rsidRDefault="00323525" w:rsidP="00185C9F">
            <w:pPr>
              <w:jc w:val="center"/>
              <w:rPr>
                <w:b/>
                <w:bCs/>
                <w:sz w:val="20"/>
                <w:szCs w:val="27"/>
              </w:rPr>
            </w:pPr>
            <w:r w:rsidRPr="00683992">
              <w:rPr>
                <w:b/>
                <w:bCs/>
                <w:sz w:val="20"/>
                <w:szCs w:val="27"/>
              </w:rPr>
              <w:t>KSČM 2002</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12C28B7C" w14:textId="77777777" w:rsidR="00323525" w:rsidRPr="00683992" w:rsidRDefault="00323525" w:rsidP="00185C9F">
            <w:pPr>
              <w:jc w:val="center"/>
              <w:rPr>
                <w:b/>
                <w:bCs/>
                <w:sz w:val="20"/>
                <w:szCs w:val="27"/>
              </w:rPr>
            </w:pPr>
            <w:r w:rsidRPr="00683992">
              <w:rPr>
                <w:b/>
                <w:bCs/>
                <w:sz w:val="20"/>
                <w:szCs w:val="27"/>
              </w:rPr>
              <w:t>KSČM 1998</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4C6DD3BC" w14:textId="77777777" w:rsidR="00323525" w:rsidRPr="00683992" w:rsidRDefault="00323525" w:rsidP="00185C9F">
            <w:pPr>
              <w:jc w:val="center"/>
              <w:rPr>
                <w:b/>
                <w:bCs/>
                <w:sz w:val="20"/>
                <w:szCs w:val="27"/>
              </w:rPr>
            </w:pPr>
            <w:r w:rsidRPr="00683992">
              <w:rPr>
                <w:b/>
                <w:bCs/>
                <w:sz w:val="20"/>
                <w:szCs w:val="27"/>
              </w:rPr>
              <w:t>KSČM 1996</w:t>
            </w:r>
          </w:p>
        </w:tc>
      </w:tr>
      <w:tr w:rsidR="00323525" w:rsidRPr="00683992" w14:paraId="38B52505"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16238F44" w14:textId="77777777" w:rsidR="00323525" w:rsidRPr="00683992" w:rsidRDefault="00323525" w:rsidP="00185C9F">
            <w:pPr>
              <w:jc w:val="center"/>
              <w:rPr>
                <w:sz w:val="20"/>
                <w:szCs w:val="20"/>
              </w:rPr>
            </w:pPr>
            <w:r w:rsidRPr="00683992">
              <w:rPr>
                <w:rFonts w:ascii="Times New Roman" w:eastAsia="Times New Roman" w:hAnsi="Times New Roman" w:cs="Times New Roman"/>
                <w:sz w:val="20"/>
                <w:szCs w:val="20"/>
                <w:lang w:val="en-GB" w:eastAsia="en-GB"/>
              </w:rPr>
              <w:t>College degree (%)</w:t>
            </w:r>
          </w:p>
        </w:tc>
        <w:tc>
          <w:tcPr>
            <w:tcW w:w="963" w:type="dxa"/>
            <w:tcBorders>
              <w:top w:val="nil"/>
              <w:left w:val="nil"/>
              <w:bottom w:val="nil"/>
              <w:right w:val="nil"/>
            </w:tcBorders>
            <w:tcMar>
              <w:top w:w="15" w:type="dxa"/>
              <w:left w:w="15" w:type="dxa"/>
              <w:bottom w:w="15" w:type="dxa"/>
              <w:right w:w="180" w:type="dxa"/>
            </w:tcMar>
            <w:vAlign w:val="center"/>
            <w:hideMark/>
          </w:tcPr>
          <w:p w14:paraId="6D3BE244" w14:textId="77777777" w:rsidR="00323525" w:rsidRPr="00683992" w:rsidRDefault="00323525" w:rsidP="00185C9F">
            <w:pPr>
              <w:jc w:val="center"/>
              <w:rPr>
                <w:sz w:val="20"/>
                <w:szCs w:val="20"/>
              </w:rPr>
            </w:pPr>
            <w:r w:rsidRPr="00683992">
              <w:rPr>
                <w:sz w:val="20"/>
                <w:szCs w:val="20"/>
              </w:rPr>
              <w:t>-0.047</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D643E3E" w14:textId="77777777" w:rsidR="00323525" w:rsidRPr="00683992" w:rsidRDefault="00323525" w:rsidP="00185C9F">
            <w:pPr>
              <w:jc w:val="center"/>
              <w:rPr>
                <w:sz w:val="20"/>
                <w:szCs w:val="20"/>
              </w:rPr>
            </w:pPr>
            <w:r w:rsidRPr="00683992">
              <w:rPr>
                <w:sz w:val="20"/>
                <w:szCs w:val="20"/>
              </w:rPr>
              <w:t>-0.063</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79B4ADF5" w14:textId="77777777" w:rsidR="00323525" w:rsidRPr="00683992" w:rsidRDefault="00323525" w:rsidP="00185C9F">
            <w:pPr>
              <w:jc w:val="center"/>
              <w:rPr>
                <w:sz w:val="20"/>
                <w:szCs w:val="20"/>
              </w:rPr>
            </w:pPr>
            <w:r w:rsidRPr="00683992">
              <w:rPr>
                <w:sz w:val="20"/>
                <w:szCs w:val="20"/>
              </w:rPr>
              <w:t>-0.059</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3827D40" w14:textId="77777777" w:rsidR="00323525" w:rsidRPr="00683992" w:rsidRDefault="00323525" w:rsidP="00185C9F">
            <w:pPr>
              <w:jc w:val="center"/>
              <w:rPr>
                <w:sz w:val="20"/>
                <w:szCs w:val="20"/>
              </w:rPr>
            </w:pPr>
            <w:r w:rsidRPr="00683992">
              <w:rPr>
                <w:sz w:val="20"/>
                <w:szCs w:val="20"/>
              </w:rPr>
              <w:t>-0.057</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600BD3CB" w14:textId="77777777" w:rsidR="00323525" w:rsidRPr="00683992" w:rsidRDefault="00323525" w:rsidP="00185C9F">
            <w:pPr>
              <w:jc w:val="center"/>
              <w:rPr>
                <w:sz w:val="20"/>
                <w:szCs w:val="20"/>
              </w:rPr>
            </w:pPr>
            <w:r w:rsidRPr="00683992">
              <w:rPr>
                <w:sz w:val="20"/>
                <w:szCs w:val="20"/>
              </w:rPr>
              <w:t>-0.054</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40C900E4" w14:textId="77777777" w:rsidR="00323525" w:rsidRPr="00683992" w:rsidRDefault="00323525" w:rsidP="00185C9F">
            <w:pPr>
              <w:jc w:val="center"/>
              <w:rPr>
                <w:sz w:val="20"/>
                <w:szCs w:val="20"/>
              </w:rPr>
            </w:pPr>
            <w:r w:rsidRPr="00683992">
              <w:rPr>
                <w:sz w:val="20"/>
                <w:szCs w:val="20"/>
              </w:rPr>
              <w:t>-0.038</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7A34051D" w14:textId="77777777" w:rsidR="00323525" w:rsidRPr="00683992" w:rsidRDefault="00323525" w:rsidP="00185C9F">
            <w:pPr>
              <w:jc w:val="center"/>
              <w:rPr>
                <w:sz w:val="20"/>
                <w:szCs w:val="20"/>
              </w:rPr>
            </w:pPr>
            <w:r w:rsidRPr="00683992">
              <w:rPr>
                <w:sz w:val="20"/>
                <w:szCs w:val="20"/>
              </w:rPr>
              <w:t>-0.029</w:t>
            </w:r>
            <w:r w:rsidRPr="00683992">
              <w:rPr>
                <w:sz w:val="20"/>
                <w:szCs w:val="20"/>
                <w:vertAlign w:val="superscript"/>
              </w:rPr>
              <w:t>***</w:t>
            </w:r>
          </w:p>
        </w:tc>
      </w:tr>
      <w:tr w:rsidR="00323525" w:rsidRPr="00683992" w14:paraId="3BB6561B"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1859F17B" w14:textId="77777777" w:rsidR="00323525" w:rsidRPr="00683992" w:rsidRDefault="00323525" w:rsidP="00185C9F">
            <w:pPr>
              <w:jc w:val="center"/>
              <w:rPr>
                <w:sz w:val="20"/>
                <w:szCs w:val="20"/>
              </w:rPr>
            </w:pPr>
          </w:p>
        </w:tc>
        <w:tc>
          <w:tcPr>
            <w:tcW w:w="963" w:type="dxa"/>
            <w:tcBorders>
              <w:top w:val="nil"/>
              <w:left w:val="nil"/>
              <w:bottom w:val="nil"/>
              <w:right w:val="nil"/>
            </w:tcBorders>
            <w:tcMar>
              <w:top w:w="15" w:type="dxa"/>
              <w:left w:w="15" w:type="dxa"/>
              <w:bottom w:w="15" w:type="dxa"/>
              <w:right w:w="180" w:type="dxa"/>
            </w:tcMar>
            <w:vAlign w:val="center"/>
            <w:hideMark/>
          </w:tcPr>
          <w:p w14:paraId="4D91CC28"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6D51F784"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7C916CC0"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7205EDDE"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6883620B"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13553EB4"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485338C9" w14:textId="77777777" w:rsidR="00323525" w:rsidRPr="00683992" w:rsidRDefault="00323525" w:rsidP="00185C9F">
            <w:pPr>
              <w:jc w:val="center"/>
              <w:rPr>
                <w:sz w:val="20"/>
                <w:szCs w:val="20"/>
              </w:rPr>
            </w:pPr>
            <w:r w:rsidRPr="00683992">
              <w:rPr>
                <w:sz w:val="20"/>
                <w:szCs w:val="20"/>
              </w:rPr>
              <w:t>(0.001)</w:t>
            </w:r>
          </w:p>
        </w:tc>
      </w:tr>
      <w:tr w:rsidR="00323525" w:rsidRPr="00683992" w14:paraId="7EB4595F"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5D12108A" w14:textId="77777777" w:rsidR="00323525" w:rsidRPr="00683992" w:rsidRDefault="00323525" w:rsidP="00185C9F">
            <w:pPr>
              <w:jc w:val="center"/>
              <w:rPr>
                <w:sz w:val="20"/>
                <w:szCs w:val="20"/>
              </w:rPr>
            </w:pPr>
            <w:r w:rsidRPr="00683992">
              <w:rPr>
                <w:rFonts w:ascii="Times New Roman" w:eastAsia="Times New Roman" w:hAnsi="Times New Roman" w:cs="Times New Roman"/>
                <w:sz w:val="20"/>
                <w:szCs w:val="20"/>
                <w:lang w:val="en-GB" w:eastAsia="en-GB"/>
              </w:rPr>
              <w:t>Self-employed (%)</w:t>
            </w:r>
          </w:p>
        </w:tc>
        <w:tc>
          <w:tcPr>
            <w:tcW w:w="963" w:type="dxa"/>
            <w:tcBorders>
              <w:top w:val="nil"/>
              <w:left w:val="nil"/>
              <w:bottom w:val="nil"/>
              <w:right w:val="nil"/>
            </w:tcBorders>
            <w:tcMar>
              <w:top w:w="15" w:type="dxa"/>
              <w:left w:w="15" w:type="dxa"/>
              <w:bottom w:w="15" w:type="dxa"/>
              <w:right w:w="180" w:type="dxa"/>
            </w:tcMar>
            <w:vAlign w:val="center"/>
            <w:hideMark/>
          </w:tcPr>
          <w:p w14:paraId="191169F5" w14:textId="77777777" w:rsidR="00323525" w:rsidRPr="00683992" w:rsidRDefault="00323525" w:rsidP="00185C9F">
            <w:pPr>
              <w:jc w:val="center"/>
              <w:rPr>
                <w:sz w:val="20"/>
                <w:szCs w:val="20"/>
              </w:rPr>
            </w:pPr>
            <w:r w:rsidRPr="00683992">
              <w:rPr>
                <w:sz w:val="20"/>
                <w:szCs w:val="20"/>
              </w:rPr>
              <w:t>-0.083</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4C1A9E17" w14:textId="77777777" w:rsidR="00323525" w:rsidRPr="00683992" w:rsidRDefault="00323525" w:rsidP="00185C9F">
            <w:pPr>
              <w:jc w:val="center"/>
              <w:rPr>
                <w:sz w:val="20"/>
                <w:szCs w:val="20"/>
              </w:rPr>
            </w:pPr>
            <w:r w:rsidRPr="00683992">
              <w:rPr>
                <w:sz w:val="20"/>
                <w:szCs w:val="20"/>
              </w:rPr>
              <w:t>-0.102</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342FBA23" w14:textId="77777777" w:rsidR="00323525" w:rsidRPr="00683992" w:rsidRDefault="00323525" w:rsidP="00185C9F">
            <w:pPr>
              <w:jc w:val="center"/>
              <w:rPr>
                <w:sz w:val="20"/>
                <w:szCs w:val="20"/>
              </w:rPr>
            </w:pPr>
            <w:r w:rsidRPr="00683992">
              <w:rPr>
                <w:sz w:val="20"/>
                <w:szCs w:val="20"/>
              </w:rPr>
              <w:t>-0.070</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604AC21" w14:textId="77777777" w:rsidR="00323525" w:rsidRPr="00683992" w:rsidRDefault="00323525" w:rsidP="00185C9F">
            <w:pPr>
              <w:jc w:val="center"/>
              <w:rPr>
                <w:sz w:val="20"/>
                <w:szCs w:val="20"/>
              </w:rPr>
            </w:pPr>
            <w:r w:rsidRPr="00683992">
              <w:rPr>
                <w:sz w:val="20"/>
                <w:szCs w:val="20"/>
              </w:rPr>
              <w:t>-0.061</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C4C388B" w14:textId="77777777" w:rsidR="00323525" w:rsidRPr="00683992" w:rsidRDefault="00323525" w:rsidP="00185C9F">
            <w:pPr>
              <w:jc w:val="center"/>
              <w:rPr>
                <w:sz w:val="20"/>
                <w:szCs w:val="20"/>
              </w:rPr>
            </w:pPr>
            <w:r w:rsidRPr="00683992">
              <w:rPr>
                <w:sz w:val="20"/>
                <w:szCs w:val="20"/>
              </w:rPr>
              <w:t>-0.075</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3321FC12" w14:textId="77777777" w:rsidR="00323525" w:rsidRPr="00683992" w:rsidRDefault="00323525" w:rsidP="00185C9F">
            <w:pPr>
              <w:jc w:val="center"/>
              <w:rPr>
                <w:sz w:val="20"/>
                <w:szCs w:val="20"/>
              </w:rPr>
            </w:pPr>
            <w:r w:rsidRPr="00683992">
              <w:rPr>
                <w:sz w:val="20"/>
                <w:szCs w:val="20"/>
              </w:rPr>
              <w:t>-0.043</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39D014A2" w14:textId="77777777" w:rsidR="00323525" w:rsidRPr="00683992" w:rsidRDefault="00323525" w:rsidP="00185C9F">
            <w:pPr>
              <w:jc w:val="center"/>
              <w:rPr>
                <w:sz w:val="20"/>
                <w:szCs w:val="20"/>
              </w:rPr>
            </w:pPr>
            <w:r w:rsidRPr="00683992">
              <w:rPr>
                <w:sz w:val="20"/>
                <w:szCs w:val="20"/>
              </w:rPr>
              <w:t>-0.026</w:t>
            </w:r>
            <w:r w:rsidRPr="00683992">
              <w:rPr>
                <w:sz w:val="20"/>
                <w:szCs w:val="20"/>
                <w:vertAlign w:val="superscript"/>
              </w:rPr>
              <w:t>***</w:t>
            </w:r>
          </w:p>
        </w:tc>
      </w:tr>
      <w:tr w:rsidR="00323525" w:rsidRPr="00683992" w14:paraId="0DC1A83E"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67D59F80" w14:textId="77777777" w:rsidR="00323525" w:rsidRPr="00683992" w:rsidRDefault="00323525" w:rsidP="00185C9F">
            <w:pPr>
              <w:jc w:val="center"/>
              <w:rPr>
                <w:sz w:val="20"/>
                <w:szCs w:val="20"/>
              </w:rPr>
            </w:pPr>
          </w:p>
        </w:tc>
        <w:tc>
          <w:tcPr>
            <w:tcW w:w="963" w:type="dxa"/>
            <w:tcBorders>
              <w:top w:val="nil"/>
              <w:left w:val="nil"/>
              <w:bottom w:val="nil"/>
              <w:right w:val="nil"/>
            </w:tcBorders>
            <w:tcMar>
              <w:top w:w="15" w:type="dxa"/>
              <w:left w:w="15" w:type="dxa"/>
              <w:bottom w:w="15" w:type="dxa"/>
              <w:right w:w="180" w:type="dxa"/>
            </w:tcMar>
            <w:vAlign w:val="center"/>
            <w:hideMark/>
          </w:tcPr>
          <w:p w14:paraId="0954D36F"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16400C50"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32251B60"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54980232"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66992D93" w14:textId="77777777" w:rsidR="00323525" w:rsidRPr="00683992" w:rsidRDefault="00323525" w:rsidP="00185C9F">
            <w:pPr>
              <w:jc w:val="center"/>
              <w:rPr>
                <w:sz w:val="20"/>
                <w:szCs w:val="20"/>
              </w:rPr>
            </w:pPr>
            <w:r w:rsidRPr="00683992">
              <w:rPr>
                <w:sz w:val="20"/>
                <w:szCs w:val="20"/>
              </w:rPr>
              <w:t>(0.004)</w:t>
            </w:r>
          </w:p>
        </w:tc>
        <w:tc>
          <w:tcPr>
            <w:tcW w:w="0" w:type="auto"/>
            <w:tcBorders>
              <w:top w:val="nil"/>
              <w:left w:val="nil"/>
              <w:bottom w:val="nil"/>
              <w:right w:val="nil"/>
            </w:tcBorders>
            <w:tcMar>
              <w:top w:w="15" w:type="dxa"/>
              <w:left w:w="15" w:type="dxa"/>
              <w:bottom w:w="15" w:type="dxa"/>
              <w:right w:w="180" w:type="dxa"/>
            </w:tcMar>
            <w:vAlign w:val="center"/>
            <w:hideMark/>
          </w:tcPr>
          <w:p w14:paraId="1D765272" w14:textId="77777777" w:rsidR="00323525" w:rsidRPr="00683992" w:rsidRDefault="00323525" w:rsidP="00185C9F">
            <w:pPr>
              <w:jc w:val="center"/>
              <w:rPr>
                <w:sz w:val="20"/>
                <w:szCs w:val="20"/>
              </w:rPr>
            </w:pPr>
            <w:r w:rsidRPr="00683992">
              <w:rPr>
                <w:sz w:val="20"/>
                <w:szCs w:val="20"/>
              </w:rPr>
              <w:t>(0.004)</w:t>
            </w:r>
          </w:p>
        </w:tc>
        <w:tc>
          <w:tcPr>
            <w:tcW w:w="0" w:type="auto"/>
            <w:tcBorders>
              <w:top w:val="nil"/>
              <w:left w:val="nil"/>
              <w:bottom w:val="nil"/>
              <w:right w:val="nil"/>
            </w:tcBorders>
            <w:tcMar>
              <w:top w:w="15" w:type="dxa"/>
              <w:left w:w="15" w:type="dxa"/>
              <w:bottom w:w="15" w:type="dxa"/>
              <w:right w:w="180" w:type="dxa"/>
            </w:tcMar>
            <w:vAlign w:val="center"/>
            <w:hideMark/>
          </w:tcPr>
          <w:p w14:paraId="5F45A46C" w14:textId="77777777" w:rsidR="00323525" w:rsidRPr="00683992" w:rsidRDefault="00323525" w:rsidP="00185C9F">
            <w:pPr>
              <w:jc w:val="center"/>
              <w:rPr>
                <w:sz w:val="20"/>
                <w:szCs w:val="20"/>
              </w:rPr>
            </w:pPr>
            <w:r w:rsidRPr="00683992">
              <w:rPr>
                <w:sz w:val="20"/>
                <w:szCs w:val="20"/>
              </w:rPr>
              <w:t>(0.004)</w:t>
            </w:r>
          </w:p>
        </w:tc>
      </w:tr>
      <w:tr w:rsidR="00323525" w:rsidRPr="00683992" w14:paraId="065CCA2A"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5960004E" w14:textId="77777777" w:rsidR="00323525" w:rsidRPr="00683992" w:rsidRDefault="00323525" w:rsidP="00185C9F">
            <w:pPr>
              <w:jc w:val="center"/>
              <w:rPr>
                <w:sz w:val="20"/>
                <w:szCs w:val="20"/>
              </w:rPr>
            </w:pPr>
            <w:r w:rsidRPr="00683992">
              <w:rPr>
                <w:rFonts w:ascii="Times New Roman" w:eastAsia="Times New Roman" w:hAnsi="Times New Roman" w:cs="Times New Roman"/>
                <w:sz w:val="20"/>
                <w:szCs w:val="20"/>
                <w:lang w:val="en-GB" w:eastAsia="en-GB"/>
              </w:rPr>
              <w:t>Unemployed (%)</w:t>
            </w:r>
          </w:p>
        </w:tc>
        <w:tc>
          <w:tcPr>
            <w:tcW w:w="963" w:type="dxa"/>
            <w:tcBorders>
              <w:top w:val="nil"/>
              <w:left w:val="nil"/>
              <w:bottom w:val="nil"/>
              <w:right w:val="nil"/>
            </w:tcBorders>
            <w:tcMar>
              <w:top w:w="15" w:type="dxa"/>
              <w:left w:w="15" w:type="dxa"/>
              <w:bottom w:w="15" w:type="dxa"/>
              <w:right w:w="180" w:type="dxa"/>
            </w:tcMar>
            <w:vAlign w:val="center"/>
            <w:hideMark/>
          </w:tcPr>
          <w:p w14:paraId="52F88980" w14:textId="77777777" w:rsidR="00323525" w:rsidRPr="00683992" w:rsidRDefault="00323525" w:rsidP="00185C9F">
            <w:pPr>
              <w:jc w:val="center"/>
              <w:rPr>
                <w:sz w:val="20"/>
                <w:szCs w:val="20"/>
              </w:rPr>
            </w:pPr>
            <w:r w:rsidRPr="00683992">
              <w:rPr>
                <w:sz w:val="20"/>
                <w:szCs w:val="20"/>
              </w:rPr>
              <w:t>0.042</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3BFD32F" w14:textId="77777777" w:rsidR="00323525" w:rsidRPr="00683992" w:rsidRDefault="00323525" w:rsidP="00185C9F">
            <w:pPr>
              <w:jc w:val="center"/>
              <w:rPr>
                <w:sz w:val="20"/>
                <w:szCs w:val="20"/>
              </w:rPr>
            </w:pPr>
            <w:r w:rsidRPr="00683992">
              <w:rPr>
                <w:sz w:val="20"/>
                <w:szCs w:val="20"/>
              </w:rPr>
              <w:t>0.057</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11158A31" w14:textId="77777777" w:rsidR="00323525" w:rsidRPr="00683992" w:rsidRDefault="00323525" w:rsidP="00185C9F">
            <w:pPr>
              <w:jc w:val="center"/>
              <w:rPr>
                <w:sz w:val="20"/>
                <w:szCs w:val="20"/>
              </w:rPr>
            </w:pPr>
            <w:r w:rsidRPr="00683992">
              <w:rPr>
                <w:sz w:val="20"/>
                <w:szCs w:val="20"/>
              </w:rPr>
              <w:t>0.034</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026344A9" w14:textId="77777777" w:rsidR="00323525" w:rsidRPr="00683992" w:rsidRDefault="00323525" w:rsidP="00185C9F">
            <w:pPr>
              <w:jc w:val="center"/>
              <w:rPr>
                <w:sz w:val="20"/>
                <w:szCs w:val="20"/>
              </w:rPr>
            </w:pPr>
            <w:r w:rsidRPr="00683992">
              <w:rPr>
                <w:sz w:val="20"/>
                <w:szCs w:val="20"/>
              </w:rPr>
              <w:t>0.041</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354DA61E" w14:textId="77777777" w:rsidR="00323525" w:rsidRPr="00683992" w:rsidRDefault="00323525" w:rsidP="00185C9F">
            <w:pPr>
              <w:jc w:val="center"/>
              <w:rPr>
                <w:sz w:val="20"/>
                <w:szCs w:val="20"/>
              </w:rPr>
            </w:pPr>
            <w:r w:rsidRPr="00683992">
              <w:rPr>
                <w:sz w:val="20"/>
                <w:szCs w:val="20"/>
              </w:rPr>
              <w:t>0.064</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7EEA9281" w14:textId="77777777" w:rsidR="00323525" w:rsidRPr="00683992" w:rsidRDefault="00323525" w:rsidP="00185C9F">
            <w:pPr>
              <w:jc w:val="center"/>
              <w:rPr>
                <w:sz w:val="20"/>
                <w:szCs w:val="20"/>
              </w:rPr>
            </w:pPr>
            <w:r w:rsidRPr="00683992">
              <w:rPr>
                <w:sz w:val="20"/>
                <w:szCs w:val="20"/>
              </w:rPr>
              <w:t>0.033</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08036C42" w14:textId="77777777" w:rsidR="00323525" w:rsidRPr="00683992" w:rsidRDefault="00323525" w:rsidP="00185C9F">
            <w:pPr>
              <w:jc w:val="center"/>
              <w:rPr>
                <w:sz w:val="20"/>
                <w:szCs w:val="20"/>
              </w:rPr>
            </w:pPr>
            <w:r w:rsidRPr="00683992">
              <w:rPr>
                <w:sz w:val="20"/>
                <w:szCs w:val="20"/>
              </w:rPr>
              <w:t>0.022</w:t>
            </w:r>
            <w:r w:rsidRPr="00683992">
              <w:rPr>
                <w:sz w:val="20"/>
                <w:szCs w:val="20"/>
                <w:vertAlign w:val="superscript"/>
              </w:rPr>
              <w:t>***</w:t>
            </w:r>
          </w:p>
        </w:tc>
      </w:tr>
      <w:tr w:rsidR="00323525" w:rsidRPr="00683992" w14:paraId="101C09D9"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30C46ADA" w14:textId="77777777" w:rsidR="00323525" w:rsidRPr="00683992" w:rsidRDefault="00323525" w:rsidP="00185C9F">
            <w:pPr>
              <w:jc w:val="center"/>
              <w:rPr>
                <w:sz w:val="20"/>
                <w:szCs w:val="20"/>
              </w:rPr>
            </w:pPr>
          </w:p>
        </w:tc>
        <w:tc>
          <w:tcPr>
            <w:tcW w:w="963" w:type="dxa"/>
            <w:tcBorders>
              <w:top w:val="nil"/>
              <w:left w:val="nil"/>
              <w:bottom w:val="nil"/>
              <w:right w:val="nil"/>
            </w:tcBorders>
            <w:tcMar>
              <w:top w:w="15" w:type="dxa"/>
              <w:left w:w="15" w:type="dxa"/>
              <w:bottom w:w="15" w:type="dxa"/>
              <w:right w:w="180" w:type="dxa"/>
            </w:tcMar>
            <w:vAlign w:val="center"/>
            <w:hideMark/>
          </w:tcPr>
          <w:p w14:paraId="7A43EC82"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1AD523BA"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7DC84AA4"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07E47F00"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63E8DB92"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773C4F32" w14:textId="77777777" w:rsidR="00323525" w:rsidRPr="00683992" w:rsidRDefault="00323525" w:rsidP="00185C9F">
            <w:pPr>
              <w:jc w:val="center"/>
              <w:rPr>
                <w:sz w:val="20"/>
                <w:szCs w:val="20"/>
              </w:rPr>
            </w:pPr>
            <w:r w:rsidRPr="00683992">
              <w:rPr>
                <w:sz w:val="20"/>
                <w:szCs w:val="20"/>
              </w:rPr>
              <w:t>(0.003)</w:t>
            </w:r>
          </w:p>
        </w:tc>
        <w:tc>
          <w:tcPr>
            <w:tcW w:w="0" w:type="auto"/>
            <w:tcBorders>
              <w:top w:val="nil"/>
              <w:left w:val="nil"/>
              <w:bottom w:val="nil"/>
              <w:right w:val="nil"/>
            </w:tcBorders>
            <w:tcMar>
              <w:top w:w="15" w:type="dxa"/>
              <w:left w:w="15" w:type="dxa"/>
              <w:bottom w:w="15" w:type="dxa"/>
              <w:right w:w="180" w:type="dxa"/>
            </w:tcMar>
            <w:vAlign w:val="center"/>
            <w:hideMark/>
          </w:tcPr>
          <w:p w14:paraId="5FB7253A" w14:textId="77777777" w:rsidR="00323525" w:rsidRPr="00683992" w:rsidRDefault="00323525" w:rsidP="00185C9F">
            <w:pPr>
              <w:jc w:val="center"/>
              <w:rPr>
                <w:sz w:val="20"/>
                <w:szCs w:val="20"/>
              </w:rPr>
            </w:pPr>
            <w:r w:rsidRPr="00683992">
              <w:rPr>
                <w:sz w:val="20"/>
                <w:szCs w:val="20"/>
              </w:rPr>
              <w:t>(0.003)</w:t>
            </w:r>
          </w:p>
        </w:tc>
      </w:tr>
      <w:tr w:rsidR="00323525" w:rsidRPr="00683992" w14:paraId="6073F51C"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1EB29344" w14:textId="77777777" w:rsidR="00323525" w:rsidRPr="00683992" w:rsidRDefault="00323525" w:rsidP="00185C9F">
            <w:pPr>
              <w:jc w:val="center"/>
              <w:rPr>
                <w:sz w:val="20"/>
                <w:szCs w:val="20"/>
              </w:rPr>
            </w:pPr>
            <w:r w:rsidRPr="00683992">
              <w:rPr>
                <w:rFonts w:ascii="Times New Roman" w:eastAsia="Times New Roman" w:hAnsi="Times New Roman" w:cs="Times New Roman"/>
                <w:sz w:val="20"/>
                <w:szCs w:val="20"/>
                <w:lang w:val="en-GB" w:eastAsia="en-GB"/>
              </w:rPr>
              <w:t>65+ years (%)</w:t>
            </w:r>
          </w:p>
        </w:tc>
        <w:tc>
          <w:tcPr>
            <w:tcW w:w="963" w:type="dxa"/>
            <w:tcBorders>
              <w:top w:val="nil"/>
              <w:left w:val="nil"/>
              <w:bottom w:val="nil"/>
              <w:right w:val="nil"/>
            </w:tcBorders>
            <w:tcMar>
              <w:top w:w="15" w:type="dxa"/>
              <w:left w:w="15" w:type="dxa"/>
              <w:bottom w:w="15" w:type="dxa"/>
              <w:right w:w="180" w:type="dxa"/>
            </w:tcMar>
            <w:vAlign w:val="center"/>
            <w:hideMark/>
          </w:tcPr>
          <w:p w14:paraId="43C84B7B" w14:textId="77777777" w:rsidR="00323525" w:rsidRPr="00683992" w:rsidRDefault="00323525" w:rsidP="00185C9F">
            <w:pPr>
              <w:jc w:val="center"/>
              <w:rPr>
                <w:sz w:val="20"/>
                <w:szCs w:val="20"/>
              </w:rPr>
            </w:pPr>
            <w:r w:rsidRPr="00683992">
              <w:rPr>
                <w:sz w:val="20"/>
                <w:szCs w:val="20"/>
              </w:rPr>
              <w:t>0.025</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760474DD" w14:textId="77777777" w:rsidR="00323525" w:rsidRPr="00683992" w:rsidRDefault="00323525" w:rsidP="00185C9F">
            <w:pPr>
              <w:jc w:val="center"/>
              <w:rPr>
                <w:sz w:val="20"/>
                <w:szCs w:val="20"/>
              </w:rPr>
            </w:pPr>
            <w:r w:rsidRPr="00683992">
              <w:rPr>
                <w:sz w:val="20"/>
                <w:szCs w:val="20"/>
              </w:rPr>
              <w:t>0.018</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404318E" w14:textId="77777777" w:rsidR="00323525" w:rsidRPr="00683992" w:rsidRDefault="00323525" w:rsidP="00185C9F">
            <w:pPr>
              <w:jc w:val="center"/>
              <w:rPr>
                <w:sz w:val="20"/>
                <w:szCs w:val="20"/>
              </w:rPr>
            </w:pPr>
            <w:r w:rsidRPr="00683992">
              <w:rPr>
                <w:sz w:val="20"/>
                <w:szCs w:val="20"/>
              </w:rPr>
              <w:t>0.023</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4FEDE462" w14:textId="77777777" w:rsidR="00323525" w:rsidRPr="00683992" w:rsidRDefault="00323525" w:rsidP="00185C9F">
            <w:pPr>
              <w:jc w:val="center"/>
              <w:rPr>
                <w:sz w:val="20"/>
                <w:szCs w:val="20"/>
              </w:rPr>
            </w:pPr>
            <w:r w:rsidRPr="00683992">
              <w:rPr>
                <w:sz w:val="20"/>
                <w:szCs w:val="20"/>
              </w:rPr>
              <w:t>0.022</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745F6E99" w14:textId="77777777" w:rsidR="00323525" w:rsidRPr="00683992" w:rsidRDefault="00323525" w:rsidP="00185C9F">
            <w:pPr>
              <w:jc w:val="center"/>
              <w:rPr>
                <w:sz w:val="20"/>
                <w:szCs w:val="20"/>
              </w:rPr>
            </w:pPr>
            <w:r w:rsidRPr="00683992">
              <w:rPr>
                <w:sz w:val="20"/>
                <w:szCs w:val="20"/>
              </w:rPr>
              <w:t>0.017</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0C22CC1C" w14:textId="77777777" w:rsidR="00323525" w:rsidRPr="00683992" w:rsidRDefault="00323525" w:rsidP="00185C9F">
            <w:pPr>
              <w:jc w:val="center"/>
              <w:rPr>
                <w:sz w:val="20"/>
                <w:szCs w:val="20"/>
              </w:rPr>
            </w:pPr>
            <w:r w:rsidRPr="00683992">
              <w:rPr>
                <w:sz w:val="20"/>
                <w:szCs w:val="20"/>
              </w:rPr>
              <w:t>0.019</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DFD10A2" w14:textId="77777777" w:rsidR="00323525" w:rsidRPr="00683992" w:rsidRDefault="00323525" w:rsidP="00185C9F">
            <w:pPr>
              <w:jc w:val="center"/>
              <w:rPr>
                <w:sz w:val="20"/>
                <w:szCs w:val="20"/>
              </w:rPr>
            </w:pPr>
            <w:r w:rsidRPr="00683992">
              <w:rPr>
                <w:sz w:val="20"/>
                <w:szCs w:val="20"/>
              </w:rPr>
              <w:t>0.023</w:t>
            </w:r>
            <w:r w:rsidRPr="00683992">
              <w:rPr>
                <w:sz w:val="20"/>
                <w:szCs w:val="20"/>
                <w:vertAlign w:val="superscript"/>
              </w:rPr>
              <w:t>***</w:t>
            </w:r>
          </w:p>
        </w:tc>
      </w:tr>
      <w:tr w:rsidR="00323525" w:rsidRPr="00683992" w14:paraId="26A71327"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5B8F2057" w14:textId="77777777" w:rsidR="00323525" w:rsidRPr="00683992" w:rsidRDefault="00323525" w:rsidP="00185C9F">
            <w:pPr>
              <w:jc w:val="center"/>
              <w:rPr>
                <w:sz w:val="20"/>
                <w:szCs w:val="20"/>
              </w:rPr>
            </w:pPr>
          </w:p>
        </w:tc>
        <w:tc>
          <w:tcPr>
            <w:tcW w:w="963" w:type="dxa"/>
            <w:tcBorders>
              <w:top w:val="nil"/>
              <w:left w:val="nil"/>
              <w:bottom w:val="nil"/>
              <w:right w:val="nil"/>
            </w:tcBorders>
            <w:tcMar>
              <w:top w:w="15" w:type="dxa"/>
              <w:left w:w="15" w:type="dxa"/>
              <w:bottom w:w="15" w:type="dxa"/>
              <w:right w:w="180" w:type="dxa"/>
            </w:tcMar>
            <w:vAlign w:val="center"/>
            <w:hideMark/>
          </w:tcPr>
          <w:p w14:paraId="1CD89C66"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3CF4B305"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1284A8FA"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0653305A"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4072A2A5"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08D66564"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23FC71D1" w14:textId="77777777" w:rsidR="00323525" w:rsidRPr="00683992" w:rsidRDefault="00323525" w:rsidP="00185C9F">
            <w:pPr>
              <w:jc w:val="center"/>
              <w:rPr>
                <w:sz w:val="20"/>
                <w:szCs w:val="20"/>
              </w:rPr>
            </w:pPr>
            <w:r w:rsidRPr="00683992">
              <w:rPr>
                <w:sz w:val="20"/>
                <w:szCs w:val="20"/>
              </w:rPr>
              <w:t>(0.001)</w:t>
            </w:r>
          </w:p>
        </w:tc>
      </w:tr>
      <w:tr w:rsidR="00323525" w:rsidRPr="00683992" w14:paraId="28F735E1"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729689CB" w14:textId="77777777" w:rsidR="00323525" w:rsidRPr="00683992" w:rsidRDefault="00323525" w:rsidP="00185C9F">
            <w:pPr>
              <w:jc w:val="center"/>
              <w:rPr>
                <w:sz w:val="20"/>
                <w:szCs w:val="20"/>
              </w:rPr>
            </w:pPr>
            <w:r w:rsidRPr="00683992">
              <w:rPr>
                <w:rFonts w:ascii="Times New Roman" w:eastAsia="Times New Roman" w:hAnsi="Times New Roman" w:cs="Times New Roman"/>
                <w:sz w:val="20"/>
                <w:szCs w:val="20"/>
                <w:lang w:val="en-GB" w:eastAsia="en-GB"/>
              </w:rPr>
              <w:t>Catholics (%)</w:t>
            </w:r>
          </w:p>
        </w:tc>
        <w:tc>
          <w:tcPr>
            <w:tcW w:w="963" w:type="dxa"/>
            <w:tcBorders>
              <w:top w:val="nil"/>
              <w:left w:val="nil"/>
              <w:bottom w:val="nil"/>
              <w:right w:val="nil"/>
            </w:tcBorders>
            <w:tcMar>
              <w:top w:w="15" w:type="dxa"/>
              <w:left w:w="15" w:type="dxa"/>
              <w:bottom w:w="15" w:type="dxa"/>
              <w:right w:w="180" w:type="dxa"/>
            </w:tcMar>
            <w:vAlign w:val="center"/>
            <w:hideMark/>
          </w:tcPr>
          <w:p w14:paraId="14312DA8" w14:textId="77777777" w:rsidR="00323525" w:rsidRPr="00683992" w:rsidRDefault="00323525" w:rsidP="00185C9F">
            <w:pPr>
              <w:jc w:val="center"/>
              <w:rPr>
                <w:sz w:val="20"/>
                <w:szCs w:val="20"/>
              </w:rPr>
            </w:pPr>
            <w:r w:rsidRPr="00683992">
              <w:rPr>
                <w:sz w:val="20"/>
                <w:szCs w:val="20"/>
              </w:rPr>
              <w:t>-0.009</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3DB131B7" w14:textId="77777777" w:rsidR="00323525" w:rsidRPr="00683992" w:rsidRDefault="00323525" w:rsidP="00185C9F">
            <w:pPr>
              <w:jc w:val="center"/>
              <w:rPr>
                <w:sz w:val="20"/>
                <w:szCs w:val="20"/>
              </w:rPr>
            </w:pPr>
            <w:r w:rsidRPr="00683992">
              <w:rPr>
                <w:sz w:val="20"/>
                <w:szCs w:val="20"/>
              </w:rPr>
              <w:t>-0.017</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51CD0F59" w14:textId="77777777" w:rsidR="00323525" w:rsidRPr="00683992" w:rsidRDefault="00323525" w:rsidP="00185C9F">
            <w:pPr>
              <w:jc w:val="center"/>
              <w:rPr>
                <w:sz w:val="20"/>
                <w:szCs w:val="20"/>
              </w:rPr>
            </w:pPr>
            <w:r w:rsidRPr="00683992">
              <w:rPr>
                <w:sz w:val="20"/>
                <w:szCs w:val="20"/>
              </w:rPr>
              <w:t>-0.011</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42D2A951" w14:textId="77777777" w:rsidR="00323525" w:rsidRPr="00683992" w:rsidRDefault="00323525" w:rsidP="00185C9F">
            <w:pPr>
              <w:jc w:val="center"/>
              <w:rPr>
                <w:sz w:val="20"/>
                <w:szCs w:val="20"/>
              </w:rPr>
            </w:pPr>
            <w:r w:rsidRPr="00683992">
              <w:rPr>
                <w:sz w:val="20"/>
                <w:szCs w:val="20"/>
              </w:rPr>
              <w:t>-0.013</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6B6560E" w14:textId="77777777" w:rsidR="00323525" w:rsidRPr="00683992" w:rsidRDefault="00323525" w:rsidP="00185C9F">
            <w:pPr>
              <w:jc w:val="center"/>
              <w:rPr>
                <w:sz w:val="20"/>
                <w:szCs w:val="20"/>
              </w:rPr>
            </w:pPr>
            <w:r w:rsidRPr="00683992">
              <w:rPr>
                <w:sz w:val="20"/>
                <w:szCs w:val="20"/>
              </w:rPr>
              <w:t>-0.018</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3C101175" w14:textId="77777777" w:rsidR="00323525" w:rsidRPr="00683992" w:rsidRDefault="00323525" w:rsidP="00185C9F">
            <w:pPr>
              <w:jc w:val="center"/>
              <w:rPr>
                <w:sz w:val="20"/>
                <w:szCs w:val="20"/>
              </w:rPr>
            </w:pPr>
            <w:r w:rsidRPr="00683992">
              <w:rPr>
                <w:sz w:val="20"/>
                <w:szCs w:val="20"/>
              </w:rPr>
              <w:t>-0.013</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4F7A7C16" w14:textId="77777777" w:rsidR="00323525" w:rsidRPr="00683992" w:rsidRDefault="00323525" w:rsidP="00185C9F">
            <w:pPr>
              <w:jc w:val="center"/>
              <w:rPr>
                <w:sz w:val="20"/>
                <w:szCs w:val="20"/>
              </w:rPr>
            </w:pPr>
            <w:r w:rsidRPr="00683992">
              <w:rPr>
                <w:sz w:val="20"/>
                <w:szCs w:val="20"/>
              </w:rPr>
              <w:t>-0.018</w:t>
            </w:r>
            <w:r w:rsidRPr="00683992">
              <w:rPr>
                <w:sz w:val="20"/>
                <w:szCs w:val="20"/>
                <w:vertAlign w:val="superscript"/>
              </w:rPr>
              <w:t>***</w:t>
            </w:r>
          </w:p>
        </w:tc>
      </w:tr>
      <w:tr w:rsidR="00323525" w:rsidRPr="00683992" w14:paraId="19C74390"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2EDAC312" w14:textId="77777777" w:rsidR="00323525" w:rsidRPr="00683992" w:rsidRDefault="00323525" w:rsidP="00185C9F">
            <w:pPr>
              <w:jc w:val="center"/>
              <w:rPr>
                <w:sz w:val="20"/>
                <w:szCs w:val="20"/>
              </w:rPr>
            </w:pPr>
          </w:p>
        </w:tc>
        <w:tc>
          <w:tcPr>
            <w:tcW w:w="963" w:type="dxa"/>
            <w:tcBorders>
              <w:top w:val="nil"/>
              <w:left w:val="nil"/>
              <w:bottom w:val="nil"/>
              <w:right w:val="nil"/>
            </w:tcBorders>
            <w:tcMar>
              <w:top w:w="15" w:type="dxa"/>
              <w:left w:w="15" w:type="dxa"/>
              <w:bottom w:w="15" w:type="dxa"/>
              <w:right w:w="180" w:type="dxa"/>
            </w:tcMar>
            <w:vAlign w:val="center"/>
            <w:hideMark/>
          </w:tcPr>
          <w:p w14:paraId="197A4436"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029787B7"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0A3E1E86"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0C25A026"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1A7D9562"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5ED8950A" w14:textId="77777777" w:rsidR="00323525" w:rsidRPr="00683992" w:rsidRDefault="00323525" w:rsidP="00185C9F">
            <w:pPr>
              <w:jc w:val="center"/>
              <w:rPr>
                <w:sz w:val="20"/>
                <w:szCs w:val="20"/>
              </w:rPr>
            </w:pPr>
            <w:r w:rsidRPr="00683992">
              <w:rPr>
                <w:sz w:val="20"/>
                <w:szCs w:val="20"/>
              </w:rPr>
              <w:t>(0.001)</w:t>
            </w:r>
          </w:p>
        </w:tc>
        <w:tc>
          <w:tcPr>
            <w:tcW w:w="0" w:type="auto"/>
            <w:tcBorders>
              <w:top w:val="nil"/>
              <w:left w:val="nil"/>
              <w:bottom w:val="nil"/>
              <w:right w:val="nil"/>
            </w:tcBorders>
            <w:tcMar>
              <w:top w:w="15" w:type="dxa"/>
              <w:left w:w="15" w:type="dxa"/>
              <w:bottom w:w="15" w:type="dxa"/>
              <w:right w:w="180" w:type="dxa"/>
            </w:tcMar>
            <w:vAlign w:val="center"/>
            <w:hideMark/>
          </w:tcPr>
          <w:p w14:paraId="35DA7BAC" w14:textId="77777777" w:rsidR="00323525" w:rsidRPr="00683992" w:rsidRDefault="00323525" w:rsidP="00185C9F">
            <w:pPr>
              <w:jc w:val="center"/>
              <w:rPr>
                <w:sz w:val="20"/>
                <w:szCs w:val="20"/>
              </w:rPr>
            </w:pPr>
            <w:r w:rsidRPr="00683992">
              <w:rPr>
                <w:sz w:val="20"/>
                <w:szCs w:val="20"/>
              </w:rPr>
              <w:t>(0.001)</w:t>
            </w:r>
          </w:p>
        </w:tc>
      </w:tr>
      <w:tr w:rsidR="00323525" w:rsidRPr="00683992" w14:paraId="7F90D16E"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0C77A922" w14:textId="77777777" w:rsidR="00323525" w:rsidRPr="00683992" w:rsidRDefault="00323525" w:rsidP="00185C9F">
            <w:pPr>
              <w:jc w:val="center"/>
              <w:rPr>
                <w:sz w:val="20"/>
                <w:szCs w:val="20"/>
              </w:rPr>
            </w:pPr>
            <w:r w:rsidRPr="00683992">
              <w:rPr>
                <w:sz w:val="20"/>
                <w:szCs w:val="20"/>
              </w:rPr>
              <w:t>(Constant)</w:t>
            </w:r>
          </w:p>
        </w:tc>
        <w:tc>
          <w:tcPr>
            <w:tcW w:w="963" w:type="dxa"/>
            <w:tcBorders>
              <w:top w:val="nil"/>
              <w:left w:val="nil"/>
              <w:bottom w:val="nil"/>
              <w:right w:val="nil"/>
            </w:tcBorders>
            <w:tcMar>
              <w:top w:w="15" w:type="dxa"/>
              <w:left w:w="15" w:type="dxa"/>
              <w:bottom w:w="15" w:type="dxa"/>
              <w:right w:w="180" w:type="dxa"/>
            </w:tcMar>
            <w:vAlign w:val="center"/>
            <w:hideMark/>
          </w:tcPr>
          <w:p w14:paraId="65A02B35" w14:textId="77777777" w:rsidR="00323525" w:rsidRPr="00683992" w:rsidRDefault="00323525" w:rsidP="00185C9F">
            <w:pPr>
              <w:jc w:val="center"/>
              <w:rPr>
                <w:sz w:val="20"/>
                <w:szCs w:val="20"/>
              </w:rPr>
            </w:pPr>
            <w:r w:rsidRPr="00683992">
              <w:rPr>
                <w:sz w:val="20"/>
                <w:szCs w:val="20"/>
              </w:rPr>
              <w:t>0.049</w:t>
            </w:r>
          </w:p>
        </w:tc>
        <w:tc>
          <w:tcPr>
            <w:tcW w:w="0" w:type="auto"/>
            <w:tcBorders>
              <w:top w:val="nil"/>
              <w:left w:val="nil"/>
              <w:bottom w:val="nil"/>
              <w:right w:val="nil"/>
            </w:tcBorders>
            <w:tcMar>
              <w:top w:w="15" w:type="dxa"/>
              <w:left w:w="15" w:type="dxa"/>
              <w:bottom w:w="15" w:type="dxa"/>
              <w:right w:w="180" w:type="dxa"/>
            </w:tcMar>
            <w:vAlign w:val="center"/>
            <w:hideMark/>
          </w:tcPr>
          <w:p w14:paraId="4CA67063" w14:textId="77777777" w:rsidR="00323525" w:rsidRPr="00683992" w:rsidRDefault="00323525" w:rsidP="00185C9F">
            <w:pPr>
              <w:jc w:val="center"/>
              <w:rPr>
                <w:sz w:val="20"/>
                <w:szCs w:val="20"/>
              </w:rPr>
            </w:pPr>
            <w:r w:rsidRPr="00683992">
              <w:rPr>
                <w:sz w:val="20"/>
                <w:szCs w:val="20"/>
              </w:rPr>
              <w:t>0.495</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8326187" w14:textId="77777777" w:rsidR="00323525" w:rsidRPr="00683992" w:rsidRDefault="00323525" w:rsidP="00185C9F">
            <w:pPr>
              <w:jc w:val="center"/>
              <w:rPr>
                <w:sz w:val="20"/>
                <w:szCs w:val="20"/>
              </w:rPr>
            </w:pPr>
            <w:r w:rsidRPr="00683992">
              <w:rPr>
                <w:sz w:val="20"/>
                <w:szCs w:val="20"/>
              </w:rPr>
              <w:t>0.191</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2FD45089" w14:textId="77777777" w:rsidR="00323525" w:rsidRPr="00683992" w:rsidRDefault="00323525" w:rsidP="00185C9F">
            <w:pPr>
              <w:jc w:val="center"/>
              <w:rPr>
                <w:sz w:val="20"/>
                <w:szCs w:val="20"/>
              </w:rPr>
            </w:pPr>
            <w:r w:rsidRPr="00683992">
              <w:rPr>
                <w:sz w:val="20"/>
                <w:szCs w:val="20"/>
              </w:rPr>
              <w:t>0.126</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7F225F19" w14:textId="77777777" w:rsidR="00323525" w:rsidRPr="00683992" w:rsidRDefault="00323525" w:rsidP="00185C9F">
            <w:pPr>
              <w:jc w:val="center"/>
              <w:rPr>
                <w:sz w:val="20"/>
                <w:szCs w:val="20"/>
              </w:rPr>
            </w:pPr>
            <w:r w:rsidRPr="00683992">
              <w:rPr>
                <w:sz w:val="20"/>
                <w:szCs w:val="20"/>
              </w:rPr>
              <w:t>0.288</w:t>
            </w:r>
            <w:r w:rsidRPr="00683992">
              <w:rPr>
                <w:sz w:val="20"/>
                <w:szCs w:val="20"/>
                <w:vertAlign w:val="superscript"/>
              </w:rPr>
              <w:t>***</w:t>
            </w:r>
          </w:p>
        </w:tc>
        <w:tc>
          <w:tcPr>
            <w:tcW w:w="0" w:type="auto"/>
            <w:tcBorders>
              <w:top w:val="nil"/>
              <w:left w:val="nil"/>
              <w:bottom w:val="nil"/>
              <w:right w:val="nil"/>
            </w:tcBorders>
            <w:tcMar>
              <w:top w:w="15" w:type="dxa"/>
              <w:left w:w="15" w:type="dxa"/>
              <w:bottom w:w="15" w:type="dxa"/>
              <w:right w:w="180" w:type="dxa"/>
            </w:tcMar>
            <w:vAlign w:val="center"/>
            <w:hideMark/>
          </w:tcPr>
          <w:p w14:paraId="64A73F49" w14:textId="77777777" w:rsidR="00323525" w:rsidRPr="00683992" w:rsidRDefault="00323525" w:rsidP="00185C9F">
            <w:pPr>
              <w:jc w:val="center"/>
              <w:rPr>
                <w:sz w:val="20"/>
                <w:szCs w:val="20"/>
              </w:rPr>
            </w:pPr>
            <w:r w:rsidRPr="00683992">
              <w:rPr>
                <w:sz w:val="20"/>
                <w:szCs w:val="20"/>
              </w:rPr>
              <w:t>0.016</w:t>
            </w:r>
          </w:p>
        </w:tc>
        <w:tc>
          <w:tcPr>
            <w:tcW w:w="0" w:type="auto"/>
            <w:tcBorders>
              <w:top w:val="nil"/>
              <w:left w:val="nil"/>
              <w:bottom w:val="nil"/>
              <w:right w:val="nil"/>
            </w:tcBorders>
            <w:tcMar>
              <w:top w:w="15" w:type="dxa"/>
              <w:left w:w="15" w:type="dxa"/>
              <w:bottom w:w="15" w:type="dxa"/>
              <w:right w:w="180" w:type="dxa"/>
            </w:tcMar>
            <w:vAlign w:val="center"/>
            <w:hideMark/>
          </w:tcPr>
          <w:p w14:paraId="7F33C170" w14:textId="77777777" w:rsidR="00323525" w:rsidRPr="00683992" w:rsidRDefault="00323525" w:rsidP="00185C9F">
            <w:pPr>
              <w:jc w:val="center"/>
              <w:rPr>
                <w:sz w:val="20"/>
                <w:szCs w:val="20"/>
              </w:rPr>
            </w:pPr>
            <w:r w:rsidRPr="00683992">
              <w:rPr>
                <w:sz w:val="20"/>
                <w:szCs w:val="20"/>
              </w:rPr>
              <w:t>-0.114</w:t>
            </w:r>
            <w:r w:rsidRPr="00683992">
              <w:rPr>
                <w:sz w:val="20"/>
                <w:szCs w:val="20"/>
                <w:vertAlign w:val="superscript"/>
              </w:rPr>
              <w:t>*</w:t>
            </w:r>
          </w:p>
        </w:tc>
      </w:tr>
      <w:tr w:rsidR="00323525" w:rsidRPr="00683992" w14:paraId="49A31FE4"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71BF70F4" w14:textId="77777777" w:rsidR="00323525" w:rsidRPr="00683992" w:rsidRDefault="00323525" w:rsidP="00185C9F">
            <w:pPr>
              <w:jc w:val="center"/>
              <w:rPr>
                <w:sz w:val="20"/>
                <w:szCs w:val="20"/>
              </w:rPr>
            </w:pPr>
          </w:p>
        </w:tc>
        <w:tc>
          <w:tcPr>
            <w:tcW w:w="963" w:type="dxa"/>
            <w:tcBorders>
              <w:top w:val="nil"/>
              <w:left w:val="nil"/>
              <w:bottom w:val="nil"/>
              <w:right w:val="nil"/>
            </w:tcBorders>
            <w:tcMar>
              <w:top w:w="15" w:type="dxa"/>
              <w:left w:w="15" w:type="dxa"/>
              <w:bottom w:w="15" w:type="dxa"/>
              <w:right w:w="180" w:type="dxa"/>
            </w:tcMar>
            <w:vAlign w:val="center"/>
            <w:hideMark/>
          </w:tcPr>
          <w:p w14:paraId="585D348E" w14:textId="77777777" w:rsidR="00323525" w:rsidRPr="00683992" w:rsidRDefault="00323525" w:rsidP="00185C9F">
            <w:pPr>
              <w:jc w:val="center"/>
              <w:rPr>
                <w:sz w:val="20"/>
                <w:szCs w:val="20"/>
              </w:rPr>
            </w:pPr>
            <w:r w:rsidRPr="00683992">
              <w:rPr>
                <w:sz w:val="20"/>
                <w:szCs w:val="20"/>
              </w:rPr>
              <w:t>(0.041)</w:t>
            </w:r>
          </w:p>
        </w:tc>
        <w:tc>
          <w:tcPr>
            <w:tcW w:w="0" w:type="auto"/>
            <w:tcBorders>
              <w:top w:val="nil"/>
              <w:left w:val="nil"/>
              <w:bottom w:val="nil"/>
              <w:right w:val="nil"/>
            </w:tcBorders>
            <w:tcMar>
              <w:top w:w="15" w:type="dxa"/>
              <w:left w:w="15" w:type="dxa"/>
              <w:bottom w:w="15" w:type="dxa"/>
              <w:right w:w="180" w:type="dxa"/>
            </w:tcMar>
            <w:vAlign w:val="center"/>
            <w:hideMark/>
          </w:tcPr>
          <w:p w14:paraId="0AB6056E" w14:textId="77777777" w:rsidR="00323525" w:rsidRPr="00683992" w:rsidRDefault="00323525" w:rsidP="00185C9F">
            <w:pPr>
              <w:jc w:val="center"/>
              <w:rPr>
                <w:sz w:val="20"/>
                <w:szCs w:val="20"/>
              </w:rPr>
            </w:pPr>
            <w:r w:rsidRPr="00683992">
              <w:rPr>
                <w:sz w:val="20"/>
                <w:szCs w:val="20"/>
              </w:rPr>
              <w:t>(0.039)</w:t>
            </w:r>
          </w:p>
        </w:tc>
        <w:tc>
          <w:tcPr>
            <w:tcW w:w="0" w:type="auto"/>
            <w:tcBorders>
              <w:top w:val="nil"/>
              <w:left w:val="nil"/>
              <w:bottom w:val="nil"/>
              <w:right w:val="nil"/>
            </w:tcBorders>
            <w:tcMar>
              <w:top w:w="15" w:type="dxa"/>
              <w:left w:w="15" w:type="dxa"/>
              <w:bottom w:w="15" w:type="dxa"/>
              <w:right w:w="180" w:type="dxa"/>
            </w:tcMar>
            <w:vAlign w:val="center"/>
            <w:hideMark/>
          </w:tcPr>
          <w:p w14:paraId="03FAF846" w14:textId="77777777" w:rsidR="00323525" w:rsidRPr="00683992" w:rsidRDefault="00323525" w:rsidP="00185C9F">
            <w:pPr>
              <w:jc w:val="center"/>
              <w:rPr>
                <w:sz w:val="20"/>
                <w:szCs w:val="20"/>
              </w:rPr>
            </w:pPr>
            <w:r w:rsidRPr="00683992">
              <w:rPr>
                <w:sz w:val="20"/>
                <w:szCs w:val="20"/>
              </w:rPr>
              <w:t>(0.040)</w:t>
            </w:r>
          </w:p>
        </w:tc>
        <w:tc>
          <w:tcPr>
            <w:tcW w:w="0" w:type="auto"/>
            <w:tcBorders>
              <w:top w:val="nil"/>
              <w:left w:val="nil"/>
              <w:bottom w:val="nil"/>
              <w:right w:val="nil"/>
            </w:tcBorders>
            <w:tcMar>
              <w:top w:w="15" w:type="dxa"/>
              <w:left w:w="15" w:type="dxa"/>
              <w:bottom w:w="15" w:type="dxa"/>
              <w:right w:w="180" w:type="dxa"/>
            </w:tcMar>
            <w:vAlign w:val="center"/>
            <w:hideMark/>
          </w:tcPr>
          <w:p w14:paraId="4E134875" w14:textId="77777777" w:rsidR="00323525" w:rsidRPr="00683992" w:rsidRDefault="00323525" w:rsidP="00185C9F">
            <w:pPr>
              <w:jc w:val="center"/>
              <w:rPr>
                <w:sz w:val="20"/>
                <w:szCs w:val="20"/>
              </w:rPr>
            </w:pPr>
            <w:r w:rsidRPr="00683992">
              <w:rPr>
                <w:sz w:val="20"/>
                <w:szCs w:val="20"/>
              </w:rPr>
              <w:t>(0.041)</w:t>
            </w:r>
          </w:p>
        </w:tc>
        <w:tc>
          <w:tcPr>
            <w:tcW w:w="0" w:type="auto"/>
            <w:tcBorders>
              <w:top w:val="nil"/>
              <w:left w:val="nil"/>
              <w:bottom w:val="nil"/>
              <w:right w:val="nil"/>
            </w:tcBorders>
            <w:tcMar>
              <w:top w:w="15" w:type="dxa"/>
              <w:left w:w="15" w:type="dxa"/>
              <w:bottom w:w="15" w:type="dxa"/>
              <w:right w:w="180" w:type="dxa"/>
            </w:tcMar>
            <w:vAlign w:val="center"/>
            <w:hideMark/>
          </w:tcPr>
          <w:p w14:paraId="54CF7EBA" w14:textId="77777777" w:rsidR="00323525" w:rsidRPr="00683992" w:rsidRDefault="00323525" w:rsidP="00185C9F">
            <w:pPr>
              <w:jc w:val="center"/>
              <w:rPr>
                <w:sz w:val="20"/>
                <w:szCs w:val="20"/>
              </w:rPr>
            </w:pPr>
            <w:r w:rsidRPr="00683992">
              <w:rPr>
                <w:sz w:val="20"/>
                <w:szCs w:val="20"/>
              </w:rPr>
              <w:t>(0.042)</w:t>
            </w:r>
          </w:p>
        </w:tc>
        <w:tc>
          <w:tcPr>
            <w:tcW w:w="0" w:type="auto"/>
            <w:tcBorders>
              <w:top w:val="nil"/>
              <w:left w:val="nil"/>
              <w:bottom w:val="nil"/>
              <w:right w:val="nil"/>
            </w:tcBorders>
            <w:tcMar>
              <w:top w:w="15" w:type="dxa"/>
              <w:left w:w="15" w:type="dxa"/>
              <w:bottom w:w="15" w:type="dxa"/>
              <w:right w:w="180" w:type="dxa"/>
            </w:tcMar>
            <w:vAlign w:val="center"/>
            <w:hideMark/>
          </w:tcPr>
          <w:p w14:paraId="373D97B0" w14:textId="77777777" w:rsidR="00323525" w:rsidRPr="00683992" w:rsidRDefault="00323525" w:rsidP="00185C9F">
            <w:pPr>
              <w:jc w:val="center"/>
              <w:rPr>
                <w:sz w:val="20"/>
                <w:szCs w:val="20"/>
              </w:rPr>
            </w:pPr>
            <w:r w:rsidRPr="00683992">
              <w:rPr>
                <w:sz w:val="20"/>
                <w:szCs w:val="20"/>
              </w:rPr>
              <w:t>(0.046)</w:t>
            </w:r>
          </w:p>
        </w:tc>
        <w:tc>
          <w:tcPr>
            <w:tcW w:w="0" w:type="auto"/>
            <w:tcBorders>
              <w:top w:val="nil"/>
              <w:left w:val="nil"/>
              <w:bottom w:val="nil"/>
              <w:right w:val="nil"/>
            </w:tcBorders>
            <w:tcMar>
              <w:top w:w="15" w:type="dxa"/>
              <w:left w:w="15" w:type="dxa"/>
              <w:bottom w:w="15" w:type="dxa"/>
              <w:right w:w="180" w:type="dxa"/>
            </w:tcMar>
            <w:vAlign w:val="center"/>
            <w:hideMark/>
          </w:tcPr>
          <w:p w14:paraId="50F106EA" w14:textId="77777777" w:rsidR="00323525" w:rsidRPr="00683992" w:rsidRDefault="00323525" w:rsidP="00185C9F">
            <w:pPr>
              <w:jc w:val="center"/>
              <w:rPr>
                <w:sz w:val="20"/>
                <w:szCs w:val="20"/>
              </w:rPr>
            </w:pPr>
            <w:r w:rsidRPr="00683992">
              <w:rPr>
                <w:sz w:val="20"/>
                <w:szCs w:val="20"/>
              </w:rPr>
              <w:t>(0.047)</w:t>
            </w:r>
          </w:p>
        </w:tc>
      </w:tr>
      <w:tr w:rsidR="00323525" w:rsidRPr="00683992" w14:paraId="294A6366" w14:textId="77777777" w:rsidTr="00185C9F">
        <w:trPr>
          <w:tblCellSpacing w:w="0" w:type="dxa"/>
          <w:jc w:val="center"/>
        </w:trPr>
        <w:tc>
          <w:tcPr>
            <w:tcW w:w="1701" w:type="dxa"/>
            <w:tcBorders>
              <w:top w:val="single" w:sz="6" w:space="0" w:color="000000"/>
            </w:tcBorders>
            <w:vAlign w:val="center"/>
            <w:hideMark/>
          </w:tcPr>
          <w:p w14:paraId="120B425A" w14:textId="77777777" w:rsidR="00323525" w:rsidRPr="00683992" w:rsidRDefault="00323525" w:rsidP="00185C9F">
            <w:pPr>
              <w:jc w:val="center"/>
              <w:rPr>
                <w:sz w:val="20"/>
                <w:szCs w:val="20"/>
              </w:rPr>
            </w:pPr>
            <w:r w:rsidRPr="00683992">
              <w:rPr>
                <w:sz w:val="20"/>
                <w:szCs w:val="20"/>
              </w:rPr>
              <w:t>R2</w:t>
            </w:r>
          </w:p>
        </w:tc>
        <w:tc>
          <w:tcPr>
            <w:tcW w:w="963" w:type="dxa"/>
            <w:tcBorders>
              <w:top w:val="single" w:sz="6" w:space="0" w:color="000000"/>
            </w:tcBorders>
            <w:vAlign w:val="center"/>
            <w:hideMark/>
          </w:tcPr>
          <w:p w14:paraId="54FD25F9" w14:textId="77777777" w:rsidR="00323525" w:rsidRPr="00683992" w:rsidRDefault="00323525" w:rsidP="00185C9F">
            <w:pPr>
              <w:jc w:val="center"/>
              <w:rPr>
                <w:sz w:val="20"/>
                <w:szCs w:val="20"/>
              </w:rPr>
            </w:pPr>
            <w:r w:rsidRPr="00683992">
              <w:rPr>
                <w:sz w:val="20"/>
                <w:szCs w:val="20"/>
              </w:rPr>
              <w:t>0.278</w:t>
            </w:r>
          </w:p>
        </w:tc>
        <w:tc>
          <w:tcPr>
            <w:tcW w:w="0" w:type="auto"/>
            <w:tcBorders>
              <w:top w:val="single" w:sz="6" w:space="0" w:color="000000"/>
            </w:tcBorders>
            <w:vAlign w:val="center"/>
            <w:hideMark/>
          </w:tcPr>
          <w:p w14:paraId="0EA6B2E7" w14:textId="77777777" w:rsidR="00323525" w:rsidRPr="00683992" w:rsidRDefault="00323525" w:rsidP="00185C9F">
            <w:pPr>
              <w:jc w:val="center"/>
              <w:rPr>
                <w:sz w:val="20"/>
                <w:szCs w:val="20"/>
              </w:rPr>
            </w:pPr>
            <w:r w:rsidRPr="00683992">
              <w:rPr>
                <w:sz w:val="20"/>
                <w:szCs w:val="20"/>
              </w:rPr>
              <w:t>0.397</w:t>
            </w:r>
          </w:p>
        </w:tc>
        <w:tc>
          <w:tcPr>
            <w:tcW w:w="0" w:type="auto"/>
            <w:tcBorders>
              <w:top w:val="single" w:sz="6" w:space="0" w:color="000000"/>
            </w:tcBorders>
            <w:vAlign w:val="center"/>
            <w:hideMark/>
          </w:tcPr>
          <w:p w14:paraId="2C29FB8C" w14:textId="77777777" w:rsidR="00323525" w:rsidRPr="00683992" w:rsidRDefault="00323525" w:rsidP="00185C9F">
            <w:pPr>
              <w:jc w:val="center"/>
              <w:rPr>
                <w:sz w:val="20"/>
                <w:szCs w:val="20"/>
              </w:rPr>
            </w:pPr>
            <w:r w:rsidRPr="00683992">
              <w:rPr>
                <w:sz w:val="20"/>
                <w:szCs w:val="20"/>
              </w:rPr>
              <w:t>0.307</w:t>
            </w:r>
          </w:p>
        </w:tc>
        <w:tc>
          <w:tcPr>
            <w:tcW w:w="0" w:type="auto"/>
            <w:tcBorders>
              <w:top w:val="single" w:sz="6" w:space="0" w:color="000000"/>
            </w:tcBorders>
            <w:vAlign w:val="center"/>
            <w:hideMark/>
          </w:tcPr>
          <w:p w14:paraId="61A3E31A" w14:textId="77777777" w:rsidR="00323525" w:rsidRPr="00683992" w:rsidRDefault="00323525" w:rsidP="00185C9F">
            <w:pPr>
              <w:jc w:val="center"/>
              <w:rPr>
                <w:sz w:val="20"/>
                <w:szCs w:val="20"/>
              </w:rPr>
            </w:pPr>
            <w:r w:rsidRPr="00683992">
              <w:rPr>
                <w:sz w:val="20"/>
                <w:szCs w:val="20"/>
              </w:rPr>
              <w:t>0.288</w:t>
            </w:r>
          </w:p>
        </w:tc>
        <w:tc>
          <w:tcPr>
            <w:tcW w:w="0" w:type="auto"/>
            <w:tcBorders>
              <w:top w:val="single" w:sz="6" w:space="0" w:color="000000"/>
            </w:tcBorders>
            <w:vAlign w:val="center"/>
            <w:hideMark/>
          </w:tcPr>
          <w:p w14:paraId="674C53F4" w14:textId="77777777" w:rsidR="00323525" w:rsidRPr="00683992" w:rsidRDefault="00323525" w:rsidP="00185C9F">
            <w:pPr>
              <w:jc w:val="center"/>
              <w:rPr>
                <w:sz w:val="20"/>
                <w:szCs w:val="20"/>
              </w:rPr>
            </w:pPr>
            <w:r w:rsidRPr="00683992">
              <w:rPr>
                <w:sz w:val="20"/>
                <w:szCs w:val="20"/>
              </w:rPr>
              <w:t>0.304</w:t>
            </w:r>
          </w:p>
        </w:tc>
        <w:tc>
          <w:tcPr>
            <w:tcW w:w="0" w:type="auto"/>
            <w:tcBorders>
              <w:top w:val="single" w:sz="6" w:space="0" w:color="000000"/>
            </w:tcBorders>
            <w:vAlign w:val="center"/>
            <w:hideMark/>
          </w:tcPr>
          <w:p w14:paraId="763DACFA" w14:textId="77777777" w:rsidR="00323525" w:rsidRPr="00683992" w:rsidRDefault="00323525" w:rsidP="00185C9F">
            <w:pPr>
              <w:jc w:val="center"/>
              <w:rPr>
                <w:sz w:val="20"/>
                <w:szCs w:val="20"/>
              </w:rPr>
            </w:pPr>
            <w:r w:rsidRPr="00683992">
              <w:rPr>
                <w:sz w:val="20"/>
                <w:szCs w:val="20"/>
              </w:rPr>
              <w:t>0.150</w:t>
            </w:r>
          </w:p>
        </w:tc>
        <w:tc>
          <w:tcPr>
            <w:tcW w:w="0" w:type="auto"/>
            <w:tcBorders>
              <w:top w:val="single" w:sz="6" w:space="0" w:color="000000"/>
            </w:tcBorders>
            <w:vAlign w:val="center"/>
            <w:hideMark/>
          </w:tcPr>
          <w:p w14:paraId="3721DDE5" w14:textId="77777777" w:rsidR="00323525" w:rsidRPr="00683992" w:rsidRDefault="00323525" w:rsidP="00185C9F">
            <w:pPr>
              <w:jc w:val="center"/>
              <w:rPr>
                <w:sz w:val="20"/>
                <w:szCs w:val="20"/>
              </w:rPr>
            </w:pPr>
            <w:r w:rsidRPr="00683992">
              <w:rPr>
                <w:sz w:val="20"/>
                <w:szCs w:val="20"/>
              </w:rPr>
              <w:t>0.123</w:t>
            </w:r>
          </w:p>
        </w:tc>
      </w:tr>
      <w:tr w:rsidR="00323525" w:rsidRPr="00683992" w14:paraId="44BB4269"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25D4054A" w14:textId="77777777" w:rsidR="00323525" w:rsidRPr="00683992" w:rsidRDefault="00323525" w:rsidP="00185C9F">
            <w:pPr>
              <w:jc w:val="center"/>
              <w:rPr>
                <w:sz w:val="20"/>
                <w:szCs w:val="20"/>
              </w:rPr>
            </w:pPr>
            <w:r w:rsidRPr="00683992">
              <w:rPr>
                <w:sz w:val="20"/>
                <w:szCs w:val="20"/>
              </w:rPr>
              <w:t>Adj.R2</w:t>
            </w:r>
          </w:p>
        </w:tc>
        <w:tc>
          <w:tcPr>
            <w:tcW w:w="963" w:type="dxa"/>
            <w:tcBorders>
              <w:top w:val="nil"/>
              <w:left w:val="nil"/>
              <w:bottom w:val="nil"/>
              <w:right w:val="nil"/>
            </w:tcBorders>
            <w:tcMar>
              <w:top w:w="15" w:type="dxa"/>
              <w:left w:w="15" w:type="dxa"/>
              <w:bottom w:w="15" w:type="dxa"/>
              <w:right w:w="180" w:type="dxa"/>
            </w:tcMar>
            <w:vAlign w:val="center"/>
            <w:hideMark/>
          </w:tcPr>
          <w:p w14:paraId="51DBBB6D" w14:textId="77777777" w:rsidR="00323525" w:rsidRPr="00683992" w:rsidRDefault="00323525" w:rsidP="00185C9F">
            <w:pPr>
              <w:jc w:val="center"/>
              <w:rPr>
                <w:sz w:val="20"/>
                <w:szCs w:val="20"/>
              </w:rPr>
            </w:pPr>
            <w:r w:rsidRPr="00683992">
              <w:rPr>
                <w:sz w:val="20"/>
                <w:szCs w:val="20"/>
              </w:rPr>
              <w:t>0.278</w:t>
            </w:r>
          </w:p>
        </w:tc>
        <w:tc>
          <w:tcPr>
            <w:tcW w:w="0" w:type="auto"/>
            <w:tcBorders>
              <w:top w:val="nil"/>
              <w:left w:val="nil"/>
              <w:bottom w:val="nil"/>
              <w:right w:val="nil"/>
            </w:tcBorders>
            <w:tcMar>
              <w:top w:w="15" w:type="dxa"/>
              <w:left w:w="15" w:type="dxa"/>
              <w:bottom w:w="15" w:type="dxa"/>
              <w:right w:w="180" w:type="dxa"/>
            </w:tcMar>
            <w:vAlign w:val="center"/>
            <w:hideMark/>
          </w:tcPr>
          <w:p w14:paraId="75B232BD" w14:textId="77777777" w:rsidR="00323525" w:rsidRPr="00683992" w:rsidRDefault="00323525" w:rsidP="00185C9F">
            <w:pPr>
              <w:jc w:val="center"/>
              <w:rPr>
                <w:sz w:val="20"/>
                <w:szCs w:val="20"/>
              </w:rPr>
            </w:pPr>
            <w:r w:rsidRPr="00683992">
              <w:rPr>
                <w:sz w:val="20"/>
                <w:szCs w:val="20"/>
              </w:rPr>
              <w:t>0.397</w:t>
            </w:r>
          </w:p>
        </w:tc>
        <w:tc>
          <w:tcPr>
            <w:tcW w:w="0" w:type="auto"/>
            <w:tcBorders>
              <w:top w:val="nil"/>
              <w:left w:val="nil"/>
              <w:bottom w:val="nil"/>
              <w:right w:val="nil"/>
            </w:tcBorders>
            <w:tcMar>
              <w:top w:w="15" w:type="dxa"/>
              <w:left w:w="15" w:type="dxa"/>
              <w:bottom w:w="15" w:type="dxa"/>
              <w:right w:w="180" w:type="dxa"/>
            </w:tcMar>
            <w:vAlign w:val="center"/>
            <w:hideMark/>
          </w:tcPr>
          <w:p w14:paraId="50517D50" w14:textId="77777777" w:rsidR="00323525" w:rsidRPr="00683992" w:rsidRDefault="00323525" w:rsidP="00185C9F">
            <w:pPr>
              <w:jc w:val="center"/>
              <w:rPr>
                <w:sz w:val="20"/>
                <w:szCs w:val="20"/>
              </w:rPr>
            </w:pPr>
            <w:r w:rsidRPr="00683992">
              <w:rPr>
                <w:sz w:val="20"/>
                <w:szCs w:val="20"/>
              </w:rPr>
              <w:t>0.307</w:t>
            </w:r>
          </w:p>
        </w:tc>
        <w:tc>
          <w:tcPr>
            <w:tcW w:w="0" w:type="auto"/>
            <w:tcBorders>
              <w:top w:val="nil"/>
              <w:left w:val="nil"/>
              <w:bottom w:val="nil"/>
              <w:right w:val="nil"/>
            </w:tcBorders>
            <w:tcMar>
              <w:top w:w="15" w:type="dxa"/>
              <w:left w:w="15" w:type="dxa"/>
              <w:bottom w:w="15" w:type="dxa"/>
              <w:right w:w="180" w:type="dxa"/>
            </w:tcMar>
            <w:vAlign w:val="center"/>
            <w:hideMark/>
          </w:tcPr>
          <w:p w14:paraId="61413B41" w14:textId="77777777" w:rsidR="00323525" w:rsidRPr="00683992" w:rsidRDefault="00323525" w:rsidP="00185C9F">
            <w:pPr>
              <w:jc w:val="center"/>
              <w:rPr>
                <w:sz w:val="20"/>
                <w:szCs w:val="20"/>
              </w:rPr>
            </w:pPr>
            <w:r w:rsidRPr="00683992">
              <w:rPr>
                <w:sz w:val="20"/>
                <w:szCs w:val="20"/>
              </w:rPr>
              <w:t>0.288</w:t>
            </w:r>
          </w:p>
        </w:tc>
        <w:tc>
          <w:tcPr>
            <w:tcW w:w="0" w:type="auto"/>
            <w:tcBorders>
              <w:top w:val="nil"/>
              <w:left w:val="nil"/>
              <w:bottom w:val="nil"/>
              <w:right w:val="nil"/>
            </w:tcBorders>
            <w:tcMar>
              <w:top w:w="15" w:type="dxa"/>
              <w:left w:w="15" w:type="dxa"/>
              <w:bottom w:w="15" w:type="dxa"/>
              <w:right w:w="180" w:type="dxa"/>
            </w:tcMar>
            <w:vAlign w:val="center"/>
            <w:hideMark/>
          </w:tcPr>
          <w:p w14:paraId="1E8B1A9C" w14:textId="77777777" w:rsidR="00323525" w:rsidRPr="00683992" w:rsidRDefault="00323525" w:rsidP="00185C9F">
            <w:pPr>
              <w:jc w:val="center"/>
              <w:rPr>
                <w:sz w:val="20"/>
                <w:szCs w:val="20"/>
              </w:rPr>
            </w:pPr>
            <w:r w:rsidRPr="00683992">
              <w:rPr>
                <w:sz w:val="20"/>
                <w:szCs w:val="20"/>
              </w:rPr>
              <w:t>0.304</w:t>
            </w:r>
          </w:p>
        </w:tc>
        <w:tc>
          <w:tcPr>
            <w:tcW w:w="0" w:type="auto"/>
            <w:tcBorders>
              <w:top w:val="nil"/>
              <w:left w:val="nil"/>
              <w:bottom w:val="nil"/>
              <w:right w:val="nil"/>
            </w:tcBorders>
            <w:tcMar>
              <w:top w:w="15" w:type="dxa"/>
              <w:left w:w="15" w:type="dxa"/>
              <w:bottom w:w="15" w:type="dxa"/>
              <w:right w:w="180" w:type="dxa"/>
            </w:tcMar>
            <w:vAlign w:val="center"/>
            <w:hideMark/>
          </w:tcPr>
          <w:p w14:paraId="59889F06" w14:textId="77777777" w:rsidR="00323525" w:rsidRPr="00683992" w:rsidRDefault="00323525" w:rsidP="00185C9F">
            <w:pPr>
              <w:jc w:val="center"/>
              <w:rPr>
                <w:sz w:val="20"/>
                <w:szCs w:val="20"/>
              </w:rPr>
            </w:pPr>
            <w:r w:rsidRPr="00683992">
              <w:rPr>
                <w:sz w:val="20"/>
                <w:szCs w:val="20"/>
              </w:rPr>
              <w:t>0.150</w:t>
            </w:r>
          </w:p>
        </w:tc>
        <w:tc>
          <w:tcPr>
            <w:tcW w:w="0" w:type="auto"/>
            <w:tcBorders>
              <w:top w:val="nil"/>
              <w:left w:val="nil"/>
              <w:bottom w:val="nil"/>
              <w:right w:val="nil"/>
            </w:tcBorders>
            <w:tcMar>
              <w:top w:w="15" w:type="dxa"/>
              <w:left w:w="15" w:type="dxa"/>
              <w:bottom w:w="15" w:type="dxa"/>
              <w:right w:w="180" w:type="dxa"/>
            </w:tcMar>
            <w:vAlign w:val="center"/>
            <w:hideMark/>
          </w:tcPr>
          <w:p w14:paraId="6949868A" w14:textId="77777777" w:rsidR="00323525" w:rsidRPr="00683992" w:rsidRDefault="00323525" w:rsidP="00185C9F">
            <w:pPr>
              <w:jc w:val="center"/>
              <w:rPr>
                <w:sz w:val="20"/>
                <w:szCs w:val="20"/>
              </w:rPr>
            </w:pPr>
            <w:r w:rsidRPr="00683992">
              <w:rPr>
                <w:sz w:val="20"/>
                <w:szCs w:val="20"/>
              </w:rPr>
              <w:t>0.123</w:t>
            </w:r>
          </w:p>
        </w:tc>
      </w:tr>
      <w:tr w:rsidR="00323525" w:rsidRPr="00683992" w14:paraId="638D1E2D" w14:textId="77777777" w:rsidTr="00185C9F">
        <w:trPr>
          <w:tblCellSpacing w:w="0" w:type="dxa"/>
          <w:jc w:val="center"/>
        </w:trPr>
        <w:tc>
          <w:tcPr>
            <w:tcW w:w="1701" w:type="dxa"/>
            <w:tcBorders>
              <w:top w:val="nil"/>
              <w:left w:val="nil"/>
              <w:bottom w:val="nil"/>
              <w:right w:val="nil"/>
            </w:tcBorders>
            <w:tcMar>
              <w:top w:w="15" w:type="dxa"/>
              <w:left w:w="15" w:type="dxa"/>
              <w:bottom w:w="15" w:type="dxa"/>
              <w:right w:w="180" w:type="dxa"/>
            </w:tcMar>
            <w:vAlign w:val="center"/>
            <w:hideMark/>
          </w:tcPr>
          <w:p w14:paraId="5EEF8DA9" w14:textId="77777777" w:rsidR="00323525" w:rsidRPr="00683992" w:rsidRDefault="00323525" w:rsidP="00185C9F">
            <w:pPr>
              <w:jc w:val="center"/>
              <w:rPr>
                <w:sz w:val="20"/>
                <w:szCs w:val="20"/>
              </w:rPr>
            </w:pPr>
            <w:r w:rsidRPr="00683992">
              <w:rPr>
                <w:rFonts w:ascii="Times New Roman" w:eastAsia="Times New Roman" w:hAnsi="Times New Roman" w:cs="Times New Roman"/>
                <w:sz w:val="20"/>
                <w:szCs w:val="20"/>
                <w:lang w:val="en-GB" w:eastAsia="en-GB"/>
              </w:rPr>
              <w:t>Number of cases</w:t>
            </w:r>
          </w:p>
        </w:tc>
        <w:tc>
          <w:tcPr>
            <w:tcW w:w="963" w:type="dxa"/>
            <w:tcBorders>
              <w:top w:val="nil"/>
              <w:left w:val="nil"/>
              <w:bottom w:val="nil"/>
              <w:right w:val="nil"/>
            </w:tcBorders>
            <w:tcMar>
              <w:top w:w="15" w:type="dxa"/>
              <w:left w:w="15" w:type="dxa"/>
              <w:bottom w:w="15" w:type="dxa"/>
              <w:right w:w="180" w:type="dxa"/>
            </w:tcMar>
            <w:vAlign w:val="center"/>
            <w:hideMark/>
          </w:tcPr>
          <w:p w14:paraId="271A6C3B" w14:textId="77777777" w:rsidR="00323525" w:rsidRPr="00683992" w:rsidRDefault="00323525" w:rsidP="00185C9F">
            <w:pPr>
              <w:jc w:val="center"/>
              <w:rPr>
                <w:sz w:val="20"/>
                <w:szCs w:val="20"/>
              </w:rPr>
            </w:pPr>
            <w:r w:rsidRPr="00683992">
              <w:rPr>
                <w:sz w:val="20"/>
                <w:szCs w:val="20"/>
              </w:rPr>
              <w:t>13637</w:t>
            </w:r>
          </w:p>
        </w:tc>
        <w:tc>
          <w:tcPr>
            <w:tcW w:w="0" w:type="auto"/>
            <w:tcBorders>
              <w:top w:val="nil"/>
              <w:left w:val="nil"/>
              <w:bottom w:val="nil"/>
              <w:right w:val="nil"/>
            </w:tcBorders>
            <w:tcMar>
              <w:top w:w="15" w:type="dxa"/>
              <w:left w:w="15" w:type="dxa"/>
              <w:bottom w:w="15" w:type="dxa"/>
              <w:right w:w="180" w:type="dxa"/>
            </w:tcMar>
            <w:vAlign w:val="center"/>
            <w:hideMark/>
          </w:tcPr>
          <w:p w14:paraId="3BB6D320" w14:textId="77777777" w:rsidR="00323525" w:rsidRPr="00683992" w:rsidRDefault="00323525" w:rsidP="00185C9F">
            <w:pPr>
              <w:jc w:val="center"/>
              <w:rPr>
                <w:sz w:val="20"/>
                <w:szCs w:val="20"/>
              </w:rPr>
            </w:pPr>
            <w:r w:rsidRPr="00683992">
              <w:rPr>
                <w:sz w:val="20"/>
                <w:szCs w:val="20"/>
              </w:rPr>
              <w:t>13606</w:t>
            </w:r>
          </w:p>
        </w:tc>
        <w:tc>
          <w:tcPr>
            <w:tcW w:w="0" w:type="auto"/>
            <w:tcBorders>
              <w:top w:val="nil"/>
              <w:left w:val="nil"/>
              <w:bottom w:val="nil"/>
              <w:right w:val="nil"/>
            </w:tcBorders>
            <w:tcMar>
              <w:top w:w="15" w:type="dxa"/>
              <w:left w:w="15" w:type="dxa"/>
              <w:bottom w:w="15" w:type="dxa"/>
              <w:right w:w="180" w:type="dxa"/>
            </w:tcMar>
            <w:vAlign w:val="center"/>
            <w:hideMark/>
          </w:tcPr>
          <w:p w14:paraId="6FCE353C" w14:textId="77777777" w:rsidR="00323525" w:rsidRPr="00683992" w:rsidRDefault="00323525" w:rsidP="00185C9F">
            <w:pPr>
              <w:jc w:val="center"/>
              <w:rPr>
                <w:sz w:val="20"/>
                <w:szCs w:val="20"/>
              </w:rPr>
            </w:pPr>
            <w:r w:rsidRPr="00683992">
              <w:rPr>
                <w:sz w:val="20"/>
                <w:szCs w:val="20"/>
              </w:rPr>
              <w:t>13586</w:t>
            </w:r>
          </w:p>
        </w:tc>
        <w:tc>
          <w:tcPr>
            <w:tcW w:w="0" w:type="auto"/>
            <w:tcBorders>
              <w:top w:val="nil"/>
              <w:left w:val="nil"/>
              <w:bottom w:val="nil"/>
              <w:right w:val="nil"/>
            </w:tcBorders>
            <w:tcMar>
              <w:top w:w="15" w:type="dxa"/>
              <w:left w:w="15" w:type="dxa"/>
              <w:bottom w:w="15" w:type="dxa"/>
              <w:right w:w="180" w:type="dxa"/>
            </w:tcMar>
            <w:vAlign w:val="center"/>
            <w:hideMark/>
          </w:tcPr>
          <w:p w14:paraId="54DD2AFE" w14:textId="77777777" w:rsidR="00323525" w:rsidRPr="00683992" w:rsidRDefault="00323525" w:rsidP="00185C9F">
            <w:pPr>
              <w:jc w:val="center"/>
              <w:rPr>
                <w:sz w:val="20"/>
                <w:szCs w:val="20"/>
              </w:rPr>
            </w:pPr>
            <w:r w:rsidRPr="00683992">
              <w:rPr>
                <w:sz w:val="20"/>
                <w:szCs w:val="20"/>
              </w:rPr>
              <w:t>13552</w:t>
            </w:r>
          </w:p>
        </w:tc>
        <w:tc>
          <w:tcPr>
            <w:tcW w:w="0" w:type="auto"/>
            <w:tcBorders>
              <w:top w:val="nil"/>
              <w:left w:val="nil"/>
              <w:bottom w:val="nil"/>
              <w:right w:val="nil"/>
            </w:tcBorders>
            <w:tcMar>
              <w:top w:w="15" w:type="dxa"/>
              <w:left w:w="15" w:type="dxa"/>
              <w:bottom w:w="15" w:type="dxa"/>
              <w:right w:w="180" w:type="dxa"/>
            </w:tcMar>
            <w:vAlign w:val="center"/>
            <w:hideMark/>
          </w:tcPr>
          <w:p w14:paraId="43C73734" w14:textId="77777777" w:rsidR="00323525" w:rsidRPr="00683992" w:rsidRDefault="00323525" w:rsidP="00185C9F">
            <w:pPr>
              <w:jc w:val="center"/>
              <w:rPr>
                <w:sz w:val="20"/>
                <w:szCs w:val="20"/>
              </w:rPr>
            </w:pPr>
            <w:r w:rsidRPr="00683992">
              <w:rPr>
                <w:sz w:val="20"/>
                <w:szCs w:val="20"/>
              </w:rPr>
              <w:t>13528</w:t>
            </w:r>
          </w:p>
        </w:tc>
        <w:tc>
          <w:tcPr>
            <w:tcW w:w="0" w:type="auto"/>
            <w:tcBorders>
              <w:top w:val="nil"/>
              <w:left w:val="nil"/>
              <w:bottom w:val="nil"/>
              <w:right w:val="nil"/>
            </w:tcBorders>
            <w:tcMar>
              <w:top w:w="15" w:type="dxa"/>
              <w:left w:w="15" w:type="dxa"/>
              <w:bottom w:w="15" w:type="dxa"/>
              <w:right w:w="180" w:type="dxa"/>
            </w:tcMar>
            <w:vAlign w:val="center"/>
            <w:hideMark/>
          </w:tcPr>
          <w:p w14:paraId="4C9D9311" w14:textId="77777777" w:rsidR="00323525" w:rsidRPr="00683992" w:rsidRDefault="00323525" w:rsidP="00185C9F">
            <w:pPr>
              <w:jc w:val="center"/>
              <w:rPr>
                <w:sz w:val="20"/>
                <w:szCs w:val="20"/>
              </w:rPr>
            </w:pPr>
            <w:r w:rsidRPr="00683992">
              <w:rPr>
                <w:sz w:val="20"/>
                <w:szCs w:val="20"/>
              </w:rPr>
              <w:t>13495</w:t>
            </w:r>
          </w:p>
        </w:tc>
        <w:tc>
          <w:tcPr>
            <w:tcW w:w="0" w:type="auto"/>
            <w:tcBorders>
              <w:top w:val="nil"/>
              <w:left w:val="nil"/>
              <w:bottom w:val="nil"/>
              <w:right w:val="nil"/>
            </w:tcBorders>
            <w:tcMar>
              <w:top w:w="15" w:type="dxa"/>
              <w:left w:w="15" w:type="dxa"/>
              <w:bottom w:w="15" w:type="dxa"/>
              <w:right w:w="180" w:type="dxa"/>
            </w:tcMar>
            <w:vAlign w:val="center"/>
            <w:hideMark/>
          </w:tcPr>
          <w:p w14:paraId="541FD076" w14:textId="77777777" w:rsidR="00323525" w:rsidRPr="00683992" w:rsidRDefault="00323525" w:rsidP="00185C9F">
            <w:pPr>
              <w:jc w:val="center"/>
              <w:rPr>
                <w:sz w:val="20"/>
                <w:szCs w:val="20"/>
              </w:rPr>
            </w:pPr>
            <w:r w:rsidRPr="00683992">
              <w:rPr>
                <w:sz w:val="20"/>
                <w:szCs w:val="20"/>
              </w:rPr>
              <w:t>13487</w:t>
            </w:r>
          </w:p>
        </w:tc>
      </w:tr>
      <w:tr w:rsidR="00323525" w:rsidRPr="00683992" w14:paraId="322F7BF7" w14:textId="77777777" w:rsidTr="00185C9F">
        <w:trPr>
          <w:tblCellSpacing w:w="0" w:type="dxa"/>
          <w:jc w:val="center"/>
        </w:trPr>
        <w:tc>
          <w:tcPr>
            <w:tcW w:w="1701" w:type="dxa"/>
            <w:tcBorders>
              <w:bottom w:val="single" w:sz="12" w:space="0" w:color="000000"/>
            </w:tcBorders>
            <w:vAlign w:val="center"/>
            <w:hideMark/>
          </w:tcPr>
          <w:p w14:paraId="37CB7FFC" w14:textId="77777777" w:rsidR="00323525" w:rsidRPr="00683992" w:rsidRDefault="00323525" w:rsidP="00185C9F">
            <w:pPr>
              <w:jc w:val="center"/>
              <w:rPr>
                <w:sz w:val="20"/>
                <w:szCs w:val="20"/>
              </w:rPr>
            </w:pPr>
            <w:r w:rsidRPr="00683992">
              <w:rPr>
                <w:sz w:val="20"/>
                <w:szCs w:val="20"/>
              </w:rPr>
              <w:t>RMSE</w:t>
            </w:r>
          </w:p>
        </w:tc>
        <w:tc>
          <w:tcPr>
            <w:tcW w:w="963" w:type="dxa"/>
            <w:tcBorders>
              <w:bottom w:val="single" w:sz="12" w:space="0" w:color="000000"/>
            </w:tcBorders>
            <w:vAlign w:val="center"/>
            <w:hideMark/>
          </w:tcPr>
          <w:p w14:paraId="14F9C602" w14:textId="77777777" w:rsidR="00323525" w:rsidRPr="00683992" w:rsidRDefault="00323525" w:rsidP="00185C9F">
            <w:pPr>
              <w:jc w:val="center"/>
              <w:rPr>
                <w:sz w:val="20"/>
                <w:szCs w:val="20"/>
              </w:rPr>
            </w:pPr>
            <w:r w:rsidRPr="00683992">
              <w:rPr>
                <w:sz w:val="20"/>
                <w:szCs w:val="20"/>
              </w:rPr>
              <w:t>15.532</w:t>
            </w:r>
          </w:p>
        </w:tc>
        <w:tc>
          <w:tcPr>
            <w:tcW w:w="0" w:type="auto"/>
            <w:tcBorders>
              <w:bottom w:val="single" w:sz="12" w:space="0" w:color="000000"/>
            </w:tcBorders>
            <w:vAlign w:val="center"/>
            <w:hideMark/>
          </w:tcPr>
          <w:p w14:paraId="4D2DFDF0" w14:textId="77777777" w:rsidR="00323525" w:rsidRPr="00683992" w:rsidRDefault="00323525" w:rsidP="00185C9F">
            <w:pPr>
              <w:jc w:val="center"/>
              <w:rPr>
                <w:sz w:val="20"/>
                <w:szCs w:val="20"/>
              </w:rPr>
            </w:pPr>
            <w:r w:rsidRPr="00683992">
              <w:rPr>
                <w:sz w:val="20"/>
                <w:szCs w:val="20"/>
              </w:rPr>
              <w:t>14.904</w:t>
            </w:r>
          </w:p>
        </w:tc>
        <w:tc>
          <w:tcPr>
            <w:tcW w:w="0" w:type="auto"/>
            <w:tcBorders>
              <w:bottom w:val="single" w:sz="12" w:space="0" w:color="000000"/>
            </w:tcBorders>
            <w:vAlign w:val="center"/>
            <w:hideMark/>
          </w:tcPr>
          <w:p w14:paraId="7873B767" w14:textId="77777777" w:rsidR="00323525" w:rsidRPr="00683992" w:rsidRDefault="00323525" w:rsidP="00185C9F">
            <w:pPr>
              <w:jc w:val="center"/>
              <w:rPr>
                <w:sz w:val="20"/>
                <w:szCs w:val="20"/>
              </w:rPr>
            </w:pPr>
            <w:r w:rsidRPr="00683992">
              <w:rPr>
                <w:sz w:val="20"/>
                <w:szCs w:val="20"/>
              </w:rPr>
              <w:t>15.287</w:t>
            </w:r>
          </w:p>
        </w:tc>
        <w:tc>
          <w:tcPr>
            <w:tcW w:w="0" w:type="auto"/>
            <w:tcBorders>
              <w:bottom w:val="single" w:sz="12" w:space="0" w:color="000000"/>
            </w:tcBorders>
            <w:vAlign w:val="center"/>
            <w:hideMark/>
          </w:tcPr>
          <w:p w14:paraId="0A4FD4BF" w14:textId="77777777" w:rsidR="00323525" w:rsidRPr="00683992" w:rsidRDefault="00323525" w:rsidP="00185C9F">
            <w:pPr>
              <w:jc w:val="center"/>
              <w:rPr>
                <w:sz w:val="20"/>
                <w:szCs w:val="20"/>
              </w:rPr>
            </w:pPr>
            <w:r w:rsidRPr="00683992">
              <w:rPr>
                <w:sz w:val="20"/>
                <w:szCs w:val="20"/>
              </w:rPr>
              <w:t>15.631</w:t>
            </w:r>
          </w:p>
        </w:tc>
        <w:tc>
          <w:tcPr>
            <w:tcW w:w="0" w:type="auto"/>
            <w:tcBorders>
              <w:bottom w:val="single" w:sz="12" w:space="0" w:color="000000"/>
            </w:tcBorders>
            <w:vAlign w:val="center"/>
            <w:hideMark/>
          </w:tcPr>
          <w:p w14:paraId="33A14D46" w14:textId="77777777" w:rsidR="00323525" w:rsidRPr="00683992" w:rsidRDefault="00323525" w:rsidP="00185C9F">
            <w:pPr>
              <w:jc w:val="center"/>
              <w:rPr>
                <w:sz w:val="20"/>
                <w:szCs w:val="20"/>
              </w:rPr>
            </w:pPr>
            <w:r w:rsidRPr="00683992">
              <w:rPr>
                <w:sz w:val="20"/>
                <w:szCs w:val="20"/>
              </w:rPr>
              <w:t>16.167</w:t>
            </w:r>
          </w:p>
        </w:tc>
        <w:tc>
          <w:tcPr>
            <w:tcW w:w="0" w:type="auto"/>
            <w:tcBorders>
              <w:bottom w:val="single" w:sz="12" w:space="0" w:color="000000"/>
            </w:tcBorders>
            <w:vAlign w:val="center"/>
            <w:hideMark/>
          </w:tcPr>
          <w:p w14:paraId="4E1E3E83" w14:textId="77777777" w:rsidR="00323525" w:rsidRPr="00683992" w:rsidRDefault="00323525" w:rsidP="00185C9F">
            <w:pPr>
              <w:jc w:val="center"/>
              <w:rPr>
                <w:sz w:val="20"/>
                <w:szCs w:val="20"/>
              </w:rPr>
            </w:pPr>
            <w:r w:rsidRPr="00683992">
              <w:rPr>
                <w:sz w:val="20"/>
                <w:szCs w:val="20"/>
              </w:rPr>
              <w:t>17.419</w:t>
            </w:r>
          </w:p>
        </w:tc>
        <w:tc>
          <w:tcPr>
            <w:tcW w:w="0" w:type="auto"/>
            <w:tcBorders>
              <w:bottom w:val="single" w:sz="12" w:space="0" w:color="000000"/>
            </w:tcBorders>
            <w:vAlign w:val="center"/>
            <w:hideMark/>
          </w:tcPr>
          <w:p w14:paraId="7950F763" w14:textId="77777777" w:rsidR="00323525" w:rsidRPr="00683992" w:rsidRDefault="00323525" w:rsidP="00185C9F">
            <w:pPr>
              <w:jc w:val="center"/>
              <w:rPr>
                <w:sz w:val="20"/>
                <w:szCs w:val="20"/>
              </w:rPr>
            </w:pPr>
            <w:r w:rsidRPr="00683992">
              <w:rPr>
                <w:sz w:val="20"/>
                <w:szCs w:val="20"/>
              </w:rPr>
              <w:t>18.004</w:t>
            </w:r>
          </w:p>
        </w:tc>
      </w:tr>
      <w:tr w:rsidR="00323525" w:rsidRPr="00683992" w14:paraId="19983795" w14:textId="77777777" w:rsidTr="00185C9F">
        <w:trPr>
          <w:tblCellSpacing w:w="0" w:type="dxa"/>
          <w:jc w:val="center"/>
        </w:trPr>
        <w:tc>
          <w:tcPr>
            <w:tcW w:w="0" w:type="auto"/>
            <w:gridSpan w:val="8"/>
            <w:tcBorders>
              <w:top w:val="nil"/>
              <w:left w:val="nil"/>
              <w:bottom w:val="nil"/>
              <w:right w:val="nil"/>
            </w:tcBorders>
            <w:tcMar>
              <w:top w:w="15" w:type="dxa"/>
              <w:left w:w="15" w:type="dxa"/>
              <w:bottom w:w="15" w:type="dxa"/>
              <w:right w:w="180" w:type="dxa"/>
            </w:tcMar>
            <w:vAlign w:val="center"/>
            <w:hideMark/>
          </w:tcPr>
          <w:p w14:paraId="62B374E4" w14:textId="77777777" w:rsidR="00323525" w:rsidRPr="00683992" w:rsidRDefault="00323525" w:rsidP="00185C9F">
            <w:pPr>
              <w:rPr>
                <w:sz w:val="20"/>
                <w:szCs w:val="27"/>
              </w:rPr>
            </w:pPr>
            <w:r w:rsidRPr="00683992">
              <w:rPr>
                <w:sz w:val="16"/>
                <w:vertAlign w:val="superscript"/>
              </w:rPr>
              <w:t>***</w:t>
            </w:r>
            <w:r w:rsidRPr="00683992">
              <w:rPr>
                <w:sz w:val="16"/>
              </w:rPr>
              <w:t>p &lt; 0.001, </w:t>
            </w:r>
            <w:r w:rsidRPr="00683992">
              <w:rPr>
                <w:sz w:val="16"/>
                <w:vertAlign w:val="superscript"/>
              </w:rPr>
              <w:t>**</w:t>
            </w:r>
            <w:r w:rsidRPr="00683992">
              <w:rPr>
                <w:sz w:val="16"/>
              </w:rPr>
              <w:t>p &lt; 0.01, </w:t>
            </w:r>
            <w:r w:rsidRPr="00683992">
              <w:rPr>
                <w:sz w:val="16"/>
                <w:vertAlign w:val="superscript"/>
              </w:rPr>
              <w:t>*</w:t>
            </w:r>
            <w:r w:rsidRPr="00683992">
              <w:rPr>
                <w:sz w:val="16"/>
              </w:rPr>
              <w:t>p &lt; 0.05</w:t>
            </w:r>
          </w:p>
        </w:tc>
      </w:tr>
    </w:tbl>
    <w:p w14:paraId="7F99000E" w14:textId="77777777" w:rsidR="00323525" w:rsidRPr="00683992" w:rsidRDefault="00323525" w:rsidP="00323525">
      <w:pPr>
        <w:jc w:val="both"/>
        <w:rPr>
          <w:rFonts w:ascii="Times New Roman" w:eastAsia="Times New Roman" w:hAnsi="Times New Roman" w:cs="Times New Roman"/>
          <w:sz w:val="18"/>
          <w:szCs w:val="24"/>
          <w:lang w:val="en-GB"/>
        </w:rPr>
      </w:pPr>
    </w:p>
    <w:p w14:paraId="0EDCF0B4" w14:textId="77777777" w:rsidR="00F605DB" w:rsidRDefault="00323525"/>
    <w:sectPr w:rsidR="00F605DB">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25"/>
    <w:rsid w:val="00062D6D"/>
    <w:rsid w:val="00323525"/>
    <w:rsid w:val="00A77E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0DC2"/>
  <w15:chartTrackingRefBased/>
  <w15:docId w15:val="{E77C0B7E-B37A-4D93-9F63-32E64242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525"/>
    <w:pPr>
      <w:spacing w:after="0" w:line="276" w:lineRule="auto"/>
    </w:pPr>
    <w:rPr>
      <w:rFonts w:ascii="Arial" w:eastAsia="Arial" w:hAnsi="Arial" w:cs="Arial"/>
      <w:lang w:val="en"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Edward.Irudayaraj</dc:creator>
  <cp:keywords/>
  <dc:description/>
  <cp:lastModifiedBy>Edward.Irudayaraj</cp:lastModifiedBy>
  <cp:revision>1</cp:revision>
  <dcterms:created xsi:type="dcterms:W3CDTF">2020-09-23T05:52:00Z</dcterms:created>
  <dcterms:modified xsi:type="dcterms:W3CDTF">2020-09-23T05:56:00Z</dcterms:modified>
</cp:coreProperties>
</file>