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38" w:rsidRDefault="00A73338" w:rsidP="00A73338">
      <w:pPr>
        <w:spacing w:after="0" w:line="480" w:lineRule="auto"/>
        <w:rPr>
          <w:lang w:val="en-GB"/>
        </w:rPr>
      </w:pPr>
      <w:r>
        <w:rPr>
          <w:b/>
          <w:lang w:val="en-GB"/>
        </w:rPr>
        <w:t>Fig.</w:t>
      </w:r>
      <w:r w:rsidRPr="00A579CA">
        <w:rPr>
          <w:b/>
          <w:lang w:val="en-GB"/>
        </w:rPr>
        <w:t xml:space="preserve"> S1</w:t>
      </w:r>
      <w:r>
        <w:rPr>
          <w:b/>
          <w:lang w:val="en-GB"/>
        </w:rPr>
        <w:t xml:space="preserve">. </w:t>
      </w:r>
      <w:r w:rsidRPr="00A579CA">
        <w:rPr>
          <w:b/>
          <w:lang w:val="en-GB"/>
        </w:rPr>
        <w:t xml:space="preserve">Nasal fluid obtained from nasopharynx and inferior turbinate contain similar levels of transition metals. </w:t>
      </w:r>
      <w:r w:rsidRPr="00A579CA">
        <w:rPr>
          <w:lang w:val="en-GB"/>
        </w:rPr>
        <w:t>Nasal fluid was collected from the inferior turbinate and from the nasopharynx from ten adults during the summer season. Mg</w:t>
      </w:r>
      <w:r w:rsidRPr="00A579CA">
        <w:rPr>
          <w:vertAlign w:val="superscript"/>
          <w:lang w:val="en-GB"/>
        </w:rPr>
        <w:t>2+</w:t>
      </w:r>
      <w:r w:rsidRPr="00A579CA">
        <w:rPr>
          <w:lang w:val="en-GB"/>
        </w:rPr>
        <w:t>, Ca</w:t>
      </w:r>
      <w:r w:rsidRPr="00A579CA">
        <w:rPr>
          <w:vertAlign w:val="superscript"/>
          <w:lang w:val="en-GB"/>
        </w:rPr>
        <w:t>2+</w:t>
      </w:r>
      <w:r w:rsidRPr="00A579CA">
        <w:rPr>
          <w:lang w:val="en-GB"/>
        </w:rPr>
        <w:t>, Fe</w:t>
      </w:r>
      <w:r w:rsidRPr="00A579CA">
        <w:rPr>
          <w:vertAlign w:val="superscript"/>
          <w:lang w:val="en-GB"/>
        </w:rPr>
        <w:t>2+</w:t>
      </w:r>
      <w:r w:rsidRPr="00A579CA">
        <w:rPr>
          <w:lang w:val="en-GB"/>
        </w:rPr>
        <w:t>, Cu</w:t>
      </w:r>
      <w:r w:rsidRPr="00A579CA">
        <w:rPr>
          <w:vertAlign w:val="superscript"/>
          <w:lang w:val="en-GB"/>
        </w:rPr>
        <w:t>2+</w:t>
      </w:r>
      <w:r w:rsidRPr="00A579CA">
        <w:rPr>
          <w:lang w:val="en-GB"/>
        </w:rPr>
        <w:t>, Zn</w:t>
      </w:r>
      <w:bookmarkStart w:id="0" w:name="OLE_LINK1"/>
      <w:r w:rsidRPr="00A579CA">
        <w:rPr>
          <w:vertAlign w:val="superscript"/>
          <w:lang w:val="en-GB"/>
        </w:rPr>
        <w:t>2+</w:t>
      </w:r>
      <w:bookmarkEnd w:id="0"/>
      <w:r w:rsidRPr="00A579CA">
        <w:rPr>
          <w:lang w:val="en-GB"/>
        </w:rPr>
        <w:t>, Co</w:t>
      </w:r>
      <w:r w:rsidRPr="00A579CA">
        <w:rPr>
          <w:vertAlign w:val="superscript"/>
          <w:lang w:val="en-GB"/>
        </w:rPr>
        <w:t>2+</w:t>
      </w:r>
      <w:r w:rsidRPr="00A579CA">
        <w:rPr>
          <w:lang w:val="en-GB"/>
        </w:rPr>
        <w:t>, and Mn</w:t>
      </w:r>
      <w:r w:rsidRPr="00A579CA">
        <w:rPr>
          <w:vertAlign w:val="superscript"/>
          <w:lang w:val="en-GB"/>
        </w:rPr>
        <w:t>2+</w:t>
      </w:r>
      <w:r w:rsidRPr="00A579CA">
        <w:rPr>
          <w:lang w:val="en-GB"/>
        </w:rPr>
        <w:t xml:space="preserve"> concentrations were determined using ICP-MS. Data from the </w:t>
      </w:r>
      <w:r>
        <w:rPr>
          <w:lang w:val="en-GB"/>
        </w:rPr>
        <w:t>inferior turbinate</w:t>
      </w:r>
      <w:r w:rsidRPr="00A579CA">
        <w:rPr>
          <w:lang w:val="en-GB"/>
        </w:rPr>
        <w:t xml:space="preserve"> corresponds to the data shown in </w:t>
      </w:r>
      <w:r>
        <w:rPr>
          <w:lang w:val="en-GB"/>
        </w:rPr>
        <w:t>Fig.</w:t>
      </w:r>
      <w:r w:rsidRPr="00A579CA">
        <w:rPr>
          <w:lang w:val="en-GB"/>
        </w:rPr>
        <w:t xml:space="preserve"> 1A. The dashed line indicates detection limit, symbols represent individual volunteers and horizontal lines indicate the geometric mean of each group. Co</w:t>
      </w:r>
      <w:r w:rsidRPr="00A579CA">
        <w:rPr>
          <w:vertAlign w:val="superscript"/>
          <w:lang w:val="en-GB"/>
        </w:rPr>
        <w:t>2+</w:t>
      </w:r>
      <w:r w:rsidRPr="00A579CA">
        <w:rPr>
          <w:lang w:val="en-GB"/>
        </w:rPr>
        <w:t xml:space="preserve"> and Mn</w:t>
      </w:r>
      <w:r w:rsidRPr="00A579CA">
        <w:rPr>
          <w:vertAlign w:val="superscript"/>
          <w:lang w:val="en-GB"/>
        </w:rPr>
        <w:t>2+</w:t>
      </w:r>
      <w:r w:rsidRPr="00A579CA">
        <w:rPr>
          <w:lang w:val="en-GB"/>
        </w:rPr>
        <w:t xml:space="preserve"> levels were below detection limit (&lt;40 µg/L) for all volunteers at both </w:t>
      </w:r>
      <w:r>
        <w:rPr>
          <w:lang w:val="en-GB"/>
        </w:rPr>
        <w:t xml:space="preserve">anatomical </w:t>
      </w:r>
      <w:r w:rsidRPr="00A579CA">
        <w:rPr>
          <w:lang w:val="en-GB"/>
        </w:rPr>
        <w:t>sites measured. Statistical significance was determined using a two-</w:t>
      </w:r>
      <w:r>
        <w:rPr>
          <w:lang w:val="en-GB"/>
        </w:rPr>
        <w:t>tailed</w:t>
      </w:r>
      <w:r w:rsidRPr="00A579CA">
        <w:rPr>
          <w:lang w:val="en-GB"/>
        </w:rPr>
        <w:t xml:space="preserve"> Mann-W</w:t>
      </w:r>
      <w:r>
        <w:rPr>
          <w:lang w:val="en-GB"/>
        </w:rPr>
        <w:t>h</w:t>
      </w:r>
      <w:r w:rsidRPr="00A579CA">
        <w:rPr>
          <w:lang w:val="en-GB"/>
        </w:rPr>
        <w:t>itney U test</w:t>
      </w:r>
      <w:r>
        <w:rPr>
          <w:lang w:val="en-GB"/>
        </w:rPr>
        <w:t xml:space="preserve"> with 95% confidence intervals</w:t>
      </w:r>
      <w:r w:rsidRPr="00A579CA">
        <w:rPr>
          <w:lang w:val="en-GB"/>
        </w:rPr>
        <w:t>; * p</w:t>
      </w:r>
      <w:r>
        <w:rPr>
          <w:lang w:val="en-GB"/>
        </w:rPr>
        <w:t>-value</w:t>
      </w:r>
      <w:r w:rsidRPr="00A579CA">
        <w:rPr>
          <w:lang w:val="en-GB"/>
        </w:rPr>
        <w:t xml:space="preserve">&lt;0.01. </w:t>
      </w:r>
    </w:p>
    <w:p w:rsidR="00A73338" w:rsidRPr="00BF3ED3" w:rsidRDefault="00A73338" w:rsidP="00A73338">
      <w:pPr>
        <w:spacing w:after="0" w:line="480" w:lineRule="auto"/>
        <w:rPr>
          <w:b/>
          <w:lang w:val="en-GB"/>
        </w:rPr>
      </w:pPr>
      <w:bookmarkStart w:id="1" w:name="_Hlk48194275"/>
      <w:r w:rsidRPr="00BF3ED3">
        <w:rPr>
          <w:b/>
          <w:lang w:val="en-GB"/>
        </w:rPr>
        <w:t xml:space="preserve">Fig. S2. Transition metal levels in nasal fluid of </w:t>
      </w:r>
      <w:r w:rsidRPr="00BF3ED3">
        <w:rPr>
          <w:b/>
          <w:i/>
          <w:lang w:val="en-GB"/>
        </w:rPr>
        <w:t>S. pneumoniae</w:t>
      </w:r>
      <w:r w:rsidRPr="00BF3ED3">
        <w:rPr>
          <w:b/>
          <w:lang w:val="en-GB"/>
        </w:rPr>
        <w:t xml:space="preserve"> carriage positive </w:t>
      </w:r>
      <w:r>
        <w:rPr>
          <w:b/>
          <w:lang w:val="en-GB"/>
        </w:rPr>
        <w:t>and</w:t>
      </w:r>
      <w:r w:rsidRPr="00BF3ED3">
        <w:rPr>
          <w:b/>
          <w:lang w:val="en-GB"/>
        </w:rPr>
        <w:t xml:space="preserve"> carriage negative individuals are similar. </w:t>
      </w:r>
      <w:r w:rsidRPr="00127736">
        <w:rPr>
          <w:lang w:val="en-GB"/>
        </w:rPr>
        <w:t xml:space="preserve">Nasal fluid of </w:t>
      </w:r>
      <w:r>
        <w:rPr>
          <w:lang w:val="en-GB"/>
        </w:rPr>
        <w:t xml:space="preserve">seven adult volunteers experimentally inoculated with </w:t>
      </w:r>
      <w:r w:rsidRPr="00BF3ED3">
        <w:rPr>
          <w:i/>
          <w:lang w:val="en-GB"/>
        </w:rPr>
        <w:t>S. pnuemoniae</w:t>
      </w:r>
      <w:r>
        <w:rPr>
          <w:lang w:val="en-GB"/>
        </w:rPr>
        <w:t xml:space="preserve"> was collected </w:t>
      </w:r>
      <w:r w:rsidRPr="00127736">
        <w:rPr>
          <w:lang w:val="en-GB"/>
        </w:rPr>
        <w:t xml:space="preserve">from the inferior turbinate </w:t>
      </w:r>
      <w:r>
        <w:rPr>
          <w:lang w:val="en-GB"/>
        </w:rPr>
        <w:t xml:space="preserve">using a Nasosorption device. Samples were collected prior to inoculation (day 0; circles) and 2 days (squares) and 7 days (triangles) post inoculation. Volunteers were classified into carriage negative volunteers (n=4; closed symbols) and carriage positive (n=3; open symbols) by classical microbiology methods. </w:t>
      </w:r>
      <w:r w:rsidRPr="00127736">
        <w:rPr>
          <w:lang w:val="en-GB"/>
        </w:rPr>
        <w:t>Mg</w:t>
      </w:r>
      <w:r w:rsidRPr="00127736">
        <w:rPr>
          <w:vertAlign w:val="superscript"/>
          <w:lang w:val="en-GB"/>
        </w:rPr>
        <w:t>2+</w:t>
      </w:r>
      <w:r w:rsidRPr="00127736">
        <w:rPr>
          <w:lang w:val="en-GB"/>
        </w:rPr>
        <w:t>, Ca</w:t>
      </w:r>
      <w:r w:rsidRPr="00127736">
        <w:rPr>
          <w:vertAlign w:val="superscript"/>
          <w:lang w:val="en-GB"/>
        </w:rPr>
        <w:t>2+</w:t>
      </w:r>
      <w:r w:rsidRPr="00127736">
        <w:rPr>
          <w:lang w:val="en-GB"/>
        </w:rPr>
        <w:t>, Fe</w:t>
      </w:r>
      <w:r w:rsidRPr="009574F5">
        <w:rPr>
          <w:vertAlign w:val="superscript"/>
          <w:lang w:val="en-GB"/>
        </w:rPr>
        <w:t>2+</w:t>
      </w:r>
      <w:r w:rsidRPr="009574F5">
        <w:rPr>
          <w:lang w:val="en-GB"/>
        </w:rPr>
        <w:t>, Cu</w:t>
      </w:r>
      <w:r w:rsidRPr="009574F5">
        <w:rPr>
          <w:vertAlign w:val="superscript"/>
          <w:lang w:val="en-GB"/>
        </w:rPr>
        <w:t>2+</w:t>
      </w:r>
      <w:r w:rsidRPr="009574F5">
        <w:rPr>
          <w:lang w:val="en-GB"/>
        </w:rPr>
        <w:t>, Zn</w:t>
      </w:r>
      <w:r w:rsidRPr="009574F5">
        <w:rPr>
          <w:vertAlign w:val="superscript"/>
          <w:lang w:val="en-GB"/>
        </w:rPr>
        <w:t>2+</w:t>
      </w:r>
      <w:r w:rsidRPr="009574F5">
        <w:rPr>
          <w:lang w:val="en-GB"/>
        </w:rPr>
        <w:t>, Co</w:t>
      </w:r>
      <w:r w:rsidRPr="009574F5">
        <w:rPr>
          <w:vertAlign w:val="superscript"/>
          <w:lang w:val="en-GB"/>
        </w:rPr>
        <w:t>2+</w:t>
      </w:r>
      <w:r w:rsidRPr="009574F5">
        <w:rPr>
          <w:lang w:val="en-GB"/>
        </w:rPr>
        <w:t>, and Mn</w:t>
      </w:r>
      <w:r w:rsidRPr="009574F5">
        <w:rPr>
          <w:vertAlign w:val="superscript"/>
          <w:lang w:val="en-GB"/>
        </w:rPr>
        <w:t>2+</w:t>
      </w:r>
      <w:r w:rsidRPr="009574F5">
        <w:rPr>
          <w:lang w:val="en-GB"/>
        </w:rPr>
        <w:t xml:space="preserve"> concentrations </w:t>
      </w:r>
      <w:r w:rsidRPr="003B2CBA">
        <w:rPr>
          <w:lang w:val="en-GB"/>
        </w:rPr>
        <w:t xml:space="preserve">in protein depleted </w:t>
      </w:r>
      <w:r w:rsidRPr="00A579CA">
        <w:rPr>
          <w:lang w:val="en-GB"/>
        </w:rPr>
        <w:t xml:space="preserve">and protein-rich nasal fluid fractions, representing free </w:t>
      </w:r>
      <w:r>
        <w:rPr>
          <w:lang w:val="en-GB"/>
        </w:rPr>
        <w:t xml:space="preserve">(A) </w:t>
      </w:r>
      <w:r w:rsidRPr="00A579CA">
        <w:rPr>
          <w:lang w:val="en-GB"/>
        </w:rPr>
        <w:t xml:space="preserve">and </w:t>
      </w:r>
      <w:r>
        <w:rPr>
          <w:lang w:val="en-GB"/>
        </w:rPr>
        <w:t>protein-bound</w:t>
      </w:r>
      <w:r w:rsidRPr="00A579CA">
        <w:rPr>
          <w:lang w:val="en-GB"/>
        </w:rPr>
        <w:t xml:space="preserve"> </w:t>
      </w:r>
      <w:r>
        <w:rPr>
          <w:lang w:val="en-GB"/>
        </w:rPr>
        <w:t xml:space="preserve">(B) </w:t>
      </w:r>
      <w:r w:rsidRPr="00A579CA">
        <w:rPr>
          <w:lang w:val="en-GB"/>
        </w:rPr>
        <w:t>transition metals</w:t>
      </w:r>
      <w:r>
        <w:rPr>
          <w:lang w:val="en-GB"/>
        </w:rPr>
        <w:t>,</w:t>
      </w:r>
      <w:r w:rsidRPr="00A579CA">
        <w:rPr>
          <w:lang w:val="en-GB"/>
        </w:rPr>
        <w:t xml:space="preserve"> respectively</w:t>
      </w:r>
      <w:r>
        <w:rPr>
          <w:lang w:val="en-GB"/>
        </w:rPr>
        <w:t xml:space="preserve">, </w:t>
      </w:r>
      <w:r w:rsidRPr="009574F5">
        <w:rPr>
          <w:lang w:val="en-GB"/>
        </w:rPr>
        <w:t>were determined using ICP-MS</w:t>
      </w:r>
      <w:r w:rsidRPr="00A579CA">
        <w:rPr>
          <w:lang w:val="en-GB"/>
        </w:rPr>
        <w:t>. Dashed line indicate</w:t>
      </w:r>
      <w:r>
        <w:rPr>
          <w:lang w:val="en-GB"/>
        </w:rPr>
        <w:t>s</w:t>
      </w:r>
      <w:r w:rsidRPr="00A579CA">
        <w:rPr>
          <w:lang w:val="en-GB"/>
        </w:rPr>
        <w:t xml:space="preserve"> the detection limit, symbols represent individual volunteers. Co</w:t>
      </w:r>
      <w:r w:rsidRPr="00A579CA">
        <w:rPr>
          <w:vertAlign w:val="superscript"/>
          <w:lang w:val="en-GB"/>
        </w:rPr>
        <w:t>2+</w:t>
      </w:r>
      <w:r w:rsidRPr="00A579CA">
        <w:rPr>
          <w:lang w:val="en-GB"/>
        </w:rPr>
        <w:t xml:space="preserve"> levels were below detection limit (&lt;</w:t>
      </w:r>
      <w:r>
        <w:rPr>
          <w:lang w:val="en-GB"/>
        </w:rPr>
        <w:t>1.5</w:t>
      </w:r>
      <w:r w:rsidRPr="00A579CA">
        <w:rPr>
          <w:lang w:val="en-GB"/>
        </w:rPr>
        <w:t xml:space="preserve"> µg/L) for all volunteers during all measurements.</w:t>
      </w:r>
      <w:bookmarkEnd w:id="1"/>
    </w:p>
    <w:p w:rsidR="00A73338" w:rsidRPr="00A579CA" w:rsidRDefault="00A73338" w:rsidP="00A73338">
      <w:pPr>
        <w:spacing w:after="0" w:line="480" w:lineRule="auto"/>
        <w:rPr>
          <w:b/>
          <w:bCs/>
          <w:lang w:val="en-GB"/>
        </w:rPr>
      </w:pPr>
      <w:r>
        <w:rPr>
          <w:b/>
          <w:lang w:val="en-GB"/>
        </w:rPr>
        <w:t>Fig.</w:t>
      </w:r>
      <w:r w:rsidRPr="00A579CA">
        <w:rPr>
          <w:b/>
          <w:lang w:val="en-GB"/>
        </w:rPr>
        <w:t xml:space="preserve"> S</w:t>
      </w:r>
      <w:r>
        <w:rPr>
          <w:b/>
          <w:lang w:val="en-GB"/>
        </w:rPr>
        <w:t>3</w:t>
      </w:r>
      <w:r w:rsidRPr="00A579CA">
        <w:rPr>
          <w:b/>
          <w:lang w:val="en-GB"/>
        </w:rPr>
        <w:t xml:space="preserve">. </w:t>
      </w:r>
      <w:r w:rsidRPr="00A579CA">
        <w:rPr>
          <w:b/>
          <w:bCs/>
          <w:lang w:val="en-GB"/>
        </w:rPr>
        <w:t xml:space="preserve">Antigens discovered under </w:t>
      </w:r>
      <w:r w:rsidRPr="00A579CA">
        <w:rPr>
          <w:b/>
          <w:bCs/>
          <w:i/>
          <w:iCs/>
          <w:lang w:val="en-GB"/>
        </w:rPr>
        <w:t>in vivo</w:t>
      </w:r>
      <w:r w:rsidRPr="00A579CA">
        <w:rPr>
          <w:b/>
          <w:bCs/>
          <w:lang w:val="en-GB"/>
        </w:rPr>
        <w:t xml:space="preserve">-mimicking conditions are immunogenic during pneumococcal colonization. </w:t>
      </w:r>
      <w:r w:rsidRPr="00A579CA">
        <w:rPr>
          <w:bCs/>
          <w:lang w:val="en-GB"/>
        </w:rPr>
        <w:t>Naive mice (n=5) were intranasally infected with 1x10</w:t>
      </w:r>
      <w:r w:rsidRPr="00A579CA">
        <w:rPr>
          <w:bCs/>
          <w:vertAlign w:val="superscript"/>
          <w:lang w:val="en-GB"/>
        </w:rPr>
        <w:t>6</w:t>
      </w:r>
      <w:r w:rsidRPr="00A579CA">
        <w:rPr>
          <w:bCs/>
          <w:lang w:val="en-GB"/>
        </w:rPr>
        <w:t xml:space="preserve"> </w:t>
      </w:r>
      <w:r>
        <w:rPr>
          <w:bCs/>
          <w:lang w:val="en-GB"/>
        </w:rPr>
        <w:t>CFU</w:t>
      </w:r>
      <w:r w:rsidRPr="00A579CA">
        <w:rPr>
          <w:bCs/>
          <w:lang w:val="en-GB"/>
        </w:rPr>
        <w:t xml:space="preserve"> </w:t>
      </w:r>
      <w:r w:rsidRPr="00A579CA">
        <w:rPr>
          <w:bCs/>
          <w:i/>
          <w:iCs/>
          <w:lang w:val="en-GB"/>
        </w:rPr>
        <w:t>S. pneumoniae</w:t>
      </w:r>
      <w:r w:rsidRPr="00A579CA">
        <w:rPr>
          <w:bCs/>
          <w:lang w:val="en-GB"/>
        </w:rPr>
        <w:t>. Serum was collected four weeks post-infection and used for the evaluation of protein-specific antibodies by ELISA. Dashed line indicates detection limit, symbols represent individual mice and horizontal lines indicate the geometric mean of each group.</w:t>
      </w:r>
      <w:r w:rsidRPr="00A579CA">
        <w:rPr>
          <w:b/>
          <w:bCs/>
          <w:lang w:val="en-GB"/>
        </w:rPr>
        <w:t xml:space="preserve"> </w:t>
      </w:r>
    </w:p>
    <w:p w:rsidR="00A73338" w:rsidRPr="00072944" w:rsidRDefault="00A73338" w:rsidP="00A73338">
      <w:pPr>
        <w:spacing w:after="0" w:line="480" w:lineRule="auto"/>
        <w:rPr>
          <w:b/>
          <w:lang w:val="en-GB"/>
        </w:rPr>
      </w:pPr>
      <w:r>
        <w:rPr>
          <w:b/>
          <w:lang w:val="en-GB"/>
        </w:rPr>
        <w:t>Fig.</w:t>
      </w:r>
      <w:r w:rsidRPr="004E1A10">
        <w:rPr>
          <w:b/>
          <w:lang w:val="en-GB"/>
        </w:rPr>
        <w:t xml:space="preserve"> S</w:t>
      </w:r>
      <w:r>
        <w:rPr>
          <w:b/>
          <w:lang w:val="en-GB"/>
        </w:rPr>
        <w:t>4</w:t>
      </w:r>
      <w:r w:rsidRPr="007725E5">
        <w:rPr>
          <w:b/>
          <w:lang w:val="en-GB"/>
        </w:rPr>
        <w:t xml:space="preserve">. Confirmation antigen coupling to OMVs. </w:t>
      </w:r>
      <w:r w:rsidRPr="007725E5">
        <w:rPr>
          <w:lang w:val="en-GB"/>
        </w:rPr>
        <w:t>Recombinantly produced antigens with SpyTag</w:t>
      </w:r>
      <w:r>
        <w:rPr>
          <w:lang w:val="en-GB"/>
        </w:rPr>
        <w:t xml:space="preserve"> (SpT)</w:t>
      </w:r>
      <w:r w:rsidRPr="007725E5">
        <w:rPr>
          <w:lang w:val="en-GB"/>
        </w:rPr>
        <w:t xml:space="preserve"> sequence were coupled to </w:t>
      </w:r>
      <w:r w:rsidRPr="007725E5">
        <w:rPr>
          <w:i/>
          <w:iCs/>
          <w:lang w:val="en-GB"/>
        </w:rPr>
        <w:t>Salmonella</w:t>
      </w:r>
      <w:r w:rsidRPr="007725E5">
        <w:rPr>
          <w:lang w:val="en-GB"/>
        </w:rPr>
        <w:t xml:space="preserve"> OMVs displaying HbpD-SpyCatcher (HbpD-SpC). </w:t>
      </w:r>
      <w:r w:rsidRPr="007725E5">
        <w:rPr>
          <w:lang w:val="en-GB"/>
        </w:rPr>
        <w:lastRenderedPageBreak/>
        <w:t xml:space="preserve">Equivalent volumes of vaccine stocks containing equivalent amounts of OMVs, based on OD units, were run on a SDS-PAGE gel followed by Coomassie staining. Coupling of antigens to OMVs was confirmed </w:t>
      </w:r>
      <w:r>
        <w:rPr>
          <w:lang w:val="en-GB"/>
        </w:rPr>
        <w:t>the difference in electrophoretic mobility</w:t>
      </w:r>
      <w:r w:rsidRPr="007725E5">
        <w:rPr>
          <w:lang w:val="en-GB"/>
        </w:rPr>
        <w:t xml:space="preserve"> of the HbpD-SpC-SpT</w:t>
      </w:r>
      <w:r>
        <w:rPr>
          <w:lang w:val="en-GB"/>
        </w:rPr>
        <w:t>-</w:t>
      </w:r>
      <w:r w:rsidRPr="007725E5">
        <w:rPr>
          <w:lang w:val="en-GB"/>
        </w:rPr>
        <w:t>Antigen fusion protein compared to the HbpD-SpC protein</w:t>
      </w:r>
      <w:r>
        <w:rPr>
          <w:lang w:val="en-GB"/>
        </w:rPr>
        <w:t xml:space="preserve">. </w:t>
      </w:r>
      <w:r w:rsidRPr="00072944">
        <w:rPr>
          <w:lang w:val="en-GB"/>
        </w:rPr>
        <w:t>The HbpD-SpC-SpT</w:t>
      </w:r>
      <w:r>
        <w:rPr>
          <w:lang w:val="en-GB"/>
        </w:rPr>
        <w:t>-</w:t>
      </w:r>
      <w:r w:rsidRPr="00072944">
        <w:rPr>
          <w:lang w:val="en-GB"/>
        </w:rPr>
        <w:t xml:space="preserve">Antigen fusion protein is indicated with a </w:t>
      </w:r>
      <w:r>
        <w:rPr>
          <w:lang w:val="en-GB"/>
        </w:rPr>
        <w:t>black arrowhead</w:t>
      </w:r>
      <w:r w:rsidRPr="00072944">
        <w:rPr>
          <w:lang w:val="en-GB"/>
        </w:rPr>
        <w:t>, possible degradation products are indicated with open arrow</w:t>
      </w:r>
      <w:r>
        <w:rPr>
          <w:lang w:val="en-GB"/>
        </w:rPr>
        <w:t>heads</w:t>
      </w:r>
      <w:r w:rsidRPr="00072944">
        <w:rPr>
          <w:lang w:val="en-GB"/>
        </w:rPr>
        <w:t xml:space="preserve"> and asterisks indicate major outer membrane proteins intrinsically present in the OMV membrane</w:t>
      </w:r>
      <w:r w:rsidRPr="00072944">
        <w:rPr>
          <w:b/>
          <w:lang w:val="en-GB"/>
        </w:rPr>
        <w:t xml:space="preserve">. </w:t>
      </w:r>
    </w:p>
    <w:p w:rsidR="00A73338" w:rsidRPr="003B2CBA" w:rsidRDefault="00A73338" w:rsidP="00A73338">
      <w:pPr>
        <w:spacing w:after="0" w:line="480" w:lineRule="auto"/>
        <w:rPr>
          <w:lang w:val="en-GB"/>
        </w:rPr>
      </w:pPr>
      <w:r>
        <w:rPr>
          <w:b/>
          <w:lang w:val="en-GB"/>
        </w:rPr>
        <w:t>Fig.</w:t>
      </w:r>
      <w:r w:rsidRPr="00072944">
        <w:rPr>
          <w:b/>
          <w:lang w:val="en-GB"/>
        </w:rPr>
        <w:t xml:space="preserve"> S</w:t>
      </w:r>
      <w:r>
        <w:rPr>
          <w:b/>
          <w:lang w:val="en-GB"/>
        </w:rPr>
        <w:t>5</w:t>
      </w:r>
      <w:r w:rsidRPr="00072944">
        <w:rPr>
          <w:b/>
          <w:lang w:val="en-GB"/>
        </w:rPr>
        <w:t xml:space="preserve">. Correlation of mucosal and serum antibodies following immunization with </w:t>
      </w:r>
      <w:r w:rsidRPr="00127736">
        <w:rPr>
          <w:b/>
          <w:lang w:val="en-GB"/>
        </w:rPr>
        <w:t xml:space="preserve">OMVs displaying single antigens. </w:t>
      </w:r>
      <w:r w:rsidRPr="00127736">
        <w:rPr>
          <w:bCs/>
          <w:lang w:val="en-GB"/>
        </w:rPr>
        <w:t xml:space="preserve">Mice (n=10/group except OMV-PsaA: n=9) were intranasally vaccinated three times with single antigens coupled to OMVs. Antigen-specific IgG levels in serum were measured by ELISA using serum collected two weeks after the third immunization (see also </w:t>
      </w:r>
      <w:r>
        <w:rPr>
          <w:bCs/>
          <w:lang w:val="en-GB"/>
        </w:rPr>
        <w:t>Fig.</w:t>
      </w:r>
      <w:r w:rsidRPr="00127736">
        <w:rPr>
          <w:bCs/>
          <w:lang w:val="en-GB"/>
        </w:rPr>
        <w:t xml:space="preserve"> 4A). </w:t>
      </w:r>
      <w:r w:rsidRPr="00127736">
        <w:rPr>
          <w:rFonts w:cs="Times New Roman"/>
          <w:lang w:val="en-GB"/>
        </w:rPr>
        <w:t>Mice were subsequently infected intranasally with 1x10</w:t>
      </w:r>
      <w:r w:rsidRPr="00127736">
        <w:rPr>
          <w:rFonts w:cs="Times New Roman"/>
          <w:vertAlign w:val="superscript"/>
          <w:lang w:val="en-GB"/>
        </w:rPr>
        <w:t>6</w:t>
      </w:r>
      <w:r w:rsidRPr="00127736">
        <w:rPr>
          <w:rFonts w:cs="Times New Roman"/>
          <w:lang w:val="en-GB"/>
        </w:rPr>
        <w:t xml:space="preserve"> CFU </w:t>
      </w:r>
      <w:r w:rsidRPr="00127736">
        <w:rPr>
          <w:rFonts w:cs="Times New Roman"/>
          <w:i/>
          <w:iCs/>
          <w:lang w:val="en-GB"/>
        </w:rPr>
        <w:t>S. pneumoniae</w:t>
      </w:r>
      <w:r w:rsidRPr="00127736">
        <w:rPr>
          <w:rFonts w:cs="Times New Roman"/>
          <w:lang w:val="en-GB"/>
        </w:rPr>
        <w:t xml:space="preserve"> and nasal tissue was harvested three days post-infection for nasal IgG and IgA measurements by ELISA. A) Correlation between nasal </w:t>
      </w:r>
      <w:r w:rsidRPr="00207370">
        <w:rPr>
          <w:rFonts w:cs="Times New Roman"/>
          <w:lang w:val="en-GB"/>
        </w:rPr>
        <w:t>antigen-specific IgG and serum antigen-specific IgG in all mice</w:t>
      </w:r>
      <w:r>
        <w:rPr>
          <w:rFonts w:cs="Times New Roman"/>
          <w:lang w:val="en-GB"/>
        </w:rPr>
        <w:t>, combined for all antigens</w:t>
      </w:r>
      <w:r w:rsidRPr="00207370">
        <w:rPr>
          <w:rFonts w:cs="Times New Roman"/>
          <w:lang w:val="en-GB"/>
        </w:rPr>
        <w:t xml:space="preserve">. B) Correlation between nasal antigen-specific IgG and nasal </w:t>
      </w:r>
      <w:r w:rsidRPr="00902FA0">
        <w:rPr>
          <w:rFonts w:cs="Times New Roman"/>
          <w:lang w:val="en-GB"/>
        </w:rPr>
        <w:t>antigen-specific IgA</w:t>
      </w:r>
      <w:r>
        <w:rPr>
          <w:rFonts w:cs="Times New Roman"/>
          <w:lang w:val="en-GB"/>
        </w:rPr>
        <w:t xml:space="preserve"> in all mice, combined for all antigens</w:t>
      </w:r>
      <w:r w:rsidRPr="00902FA0">
        <w:rPr>
          <w:rFonts w:cs="Times New Roman"/>
          <w:lang w:val="en-GB"/>
        </w:rPr>
        <w:t>. Symbols represent individual mice. Statistical analysis was performed on log-transformed data using Pearson correlation.</w:t>
      </w:r>
    </w:p>
    <w:p w:rsidR="00A73338" w:rsidRDefault="00A73338" w:rsidP="00A73338">
      <w:pPr>
        <w:spacing w:after="0" w:line="480" w:lineRule="auto"/>
        <w:rPr>
          <w:lang w:val="en-GB"/>
        </w:rPr>
      </w:pPr>
      <w:r>
        <w:rPr>
          <w:b/>
          <w:lang w:val="en-GB"/>
        </w:rPr>
        <w:t>Fig.</w:t>
      </w:r>
      <w:r w:rsidRPr="00A579CA">
        <w:rPr>
          <w:b/>
          <w:lang w:val="en-GB"/>
        </w:rPr>
        <w:t xml:space="preserve"> S</w:t>
      </w:r>
      <w:r>
        <w:rPr>
          <w:b/>
          <w:lang w:val="en-GB"/>
        </w:rPr>
        <w:t>6</w:t>
      </w:r>
      <w:r w:rsidRPr="00A579CA">
        <w:rPr>
          <w:b/>
          <w:lang w:val="en-GB"/>
        </w:rPr>
        <w:t>. Antigen-specific IgG levels, body weight loss</w:t>
      </w:r>
      <w:r>
        <w:rPr>
          <w:b/>
          <w:lang w:val="en-GB"/>
        </w:rPr>
        <w:t>,</w:t>
      </w:r>
      <w:r w:rsidRPr="00A579CA">
        <w:rPr>
          <w:b/>
          <w:lang w:val="en-GB"/>
        </w:rPr>
        <w:t xml:space="preserve"> and pneumococcal load of mice in a lethal pneumonia model. </w:t>
      </w:r>
      <w:r w:rsidRPr="00A579CA">
        <w:rPr>
          <w:lang w:val="en-GB"/>
        </w:rPr>
        <w:t xml:space="preserve">Mice were intranasally vaccinated three times with OMVs (n=14) or OMV-AliA (n=10) and compared to unvaccinated mice (n=10). </w:t>
      </w:r>
      <w:r w:rsidRPr="00A579CA">
        <w:rPr>
          <w:bCs/>
          <w:lang w:val="en-GB"/>
        </w:rPr>
        <w:t xml:space="preserve">Serum for antigen-specific IgG measurement was collected two weeks after the third immunization. </w:t>
      </w:r>
      <w:r w:rsidRPr="00A579CA">
        <w:rPr>
          <w:lang w:val="en-GB"/>
        </w:rPr>
        <w:t>Mice were subsequently infected intranasally with 1x10</w:t>
      </w:r>
      <w:r w:rsidRPr="00A579CA">
        <w:rPr>
          <w:vertAlign w:val="superscript"/>
          <w:lang w:val="en-GB"/>
        </w:rPr>
        <w:t>4.5</w:t>
      </w:r>
      <w:r w:rsidRPr="00A579CA">
        <w:rPr>
          <w:lang w:val="en-GB"/>
        </w:rPr>
        <w:t xml:space="preserve"> PFU Influenza A followed by 3x10</w:t>
      </w:r>
      <w:r w:rsidRPr="00A579CA">
        <w:rPr>
          <w:vertAlign w:val="superscript"/>
          <w:lang w:val="en-GB"/>
        </w:rPr>
        <w:t>5</w:t>
      </w:r>
      <w:r w:rsidRPr="00A579CA">
        <w:rPr>
          <w:lang w:val="en-GB"/>
        </w:rPr>
        <w:t xml:space="preserve"> CFU </w:t>
      </w:r>
      <w:r w:rsidRPr="00A579CA">
        <w:rPr>
          <w:i/>
          <w:iCs/>
          <w:lang w:val="en-GB"/>
        </w:rPr>
        <w:t>S. pneumoniae</w:t>
      </w:r>
      <w:r w:rsidRPr="00A579CA">
        <w:rPr>
          <w:iCs/>
          <w:lang w:val="en-GB"/>
        </w:rPr>
        <w:t xml:space="preserve"> three days later</w:t>
      </w:r>
      <w:r w:rsidRPr="00A579CA">
        <w:rPr>
          <w:lang w:val="en-GB"/>
        </w:rPr>
        <w:t>. The body weight was measured once a day until mice reached the humane endpoint (clinical signs of invasive disease) or until three days post-pneumococcal infection. A) AliA-specific antibody levels in serum by ELISA. B) Body weight loss (%) of mice post-influenza infection compared to body weight pre-influenza infection</w:t>
      </w:r>
      <w:r>
        <w:rPr>
          <w:lang w:val="en-GB"/>
        </w:rPr>
        <w:t xml:space="preserve"> with a positive percentage indicating a decrease in body weight</w:t>
      </w:r>
      <w:r w:rsidRPr="00A579CA">
        <w:rPr>
          <w:lang w:val="en-GB"/>
        </w:rPr>
        <w:t>. C) Body weight loss (%) of mice post-pneumococcal infection compared to body weight pre-pneumococcal infection</w:t>
      </w:r>
      <w:r>
        <w:rPr>
          <w:lang w:val="en-GB"/>
        </w:rPr>
        <w:t xml:space="preserve"> with a </w:t>
      </w:r>
      <w:r>
        <w:rPr>
          <w:lang w:val="en-GB"/>
        </w:rPr>
        <w:lastRenderedPageBreak/>
        <w:t>positive percentage indicating a decrease in body weight</w:t>
      </w:r>
      <w:r w:rsidRPr="00A579CA">
        <w:rPr>
          <w:lang w:val="en-GB"/>
        </w:rPr>
        <w:t>.</w:t>
      </w:r>
      <w:r>
        <w:rPr>
          <w:lang w:val="en-GB"/>
        </w:rPr>
        <w:t xml:space="preserve"> </w:t>
      </w:r>
      <w:r w:rsidRPr="00A579CA">
        <w:rPr>
          <w:lang w:val="en-GB"/>
        </w:rPr>
        <w:t>D) Bacterial load in the lungs of mice that remained asymptomatic up to three days post-pneumococcal infection. E) Bacterial load in the bloodstream of mice that remained asymptomatic up to th</w:t>
      </w:r>
      <w:r>
        <w:rPr>
          <w:lang w:val="en-GB"/>
        </w:rPr>
        <w:t>r</w:t>
      </w:r>
      <w:r w:rsidRPr="00A579CA">
        <w:rPr>
          <w:lang w:val="en-GB"/>
        </w:rPr>
        <w:t>ee days post-pneumococcal infection. Dashed line indicates detection limit, symbols represent individual mice and horizontal line indicates the geometric mean.</w:t>
      </w:r>
    </w:p>
    <w:p w:rsidR="000D0991" w:rsidRDefault="000D0991">
      <w:bookmarkStart w:id="2" w:name="_GoBack"/>
      <w:bookmarkEnd w:id="2"/>
    </w:p>
    <w:sectPr w:rsidR="000D0991" w:rsidSect="00F03E0D">
      <w:footerReference w:type="default" r:id="rId4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8538001"/>
      <w:docPartObj>
        <w:docPartGallery w:val="Page Numbers (Bottom of Page)"/>
        <w:docPartUnique/>
      </w:docPartObj>
    </w:sdtPr>
    <w:sdtEndPr/>
    <w:sdtContent>
      <w:p w:rsidR="009A2875" w:rsidRDefault="00A7333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A2875" w:rsidRDefault="00A7333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38"/>
    <w:rsid w:val="000D0991"/>
    <w:rsid w:val="00A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6BFE2-7263-4F57-8F5A-22849108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338"/>
    <w:pPr>
      <w:spacing w:after="200" w:line="276" w:lineRule="auto"/>
    </w:pPr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3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338"/>
    <w:rPr>
      <w:lang w:val="nl-NL"/>
    </w:rPr>
  </w:style>
  <w:style w:type="character" w:styleId="LineNumber">
    <w:name w:val="line number"/>
    <w:basedOn w:val="DefaultParagraphFont"/>
    <w:uiPriority w:val="99"/>
    <w:semiHidden/>
    <w:unhideWhenUsed/>
    <w:rsid w:val="00A73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Software services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Amala Gobiraman, Integra-PDY, IN</dc:creator>
  <cp:keywords/>
  <dc:description/>
  <cp:lastModifiedBy>Amala Gobiraman, Integra-PDY, IN</cp:lastModifiedBy>
  <cp:revision>1</cp:revision>
  <dcterms:created xsi:type="dcterms:W3CDTF">2020-09-18T05:50:00Z</dcterms:created>
  <dcterms:modified xsi:type="dcterms:W3CDTF">2020-09-18T05:50:00Z</dcterms:modified>
</cp:coreProperties>
</file>