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E4423" w14:textId="77777777" w:rsidR="00270566" w:rsidRPr="003E36D0" w:rsidRDefault="00213E99">
      <w:pPr>
        <w:pStyle w:val="Title"/>
        <w:rPr>
          <w:rFonts w:ascii="Garamond" w:hAnsi="Garamond"/>
        </w:rPr>
      </w:pPr>
      <w:r w:rsidRPr="003E36D0">
        <w:rPr>
          <w:rFonts w:ascii="Garamond" w:hAnsi="Garamond"/>
        </w:rPr>
        <w:t>Supporting Information</w:t>
      </w:r>
    </w:p>
    <w:p w14:paraId="5CBE4424" w14:textId="77777777" w:rsidR="00270566" w:rsidRPr="003E36D0" w:rsidRDefault="00213E99">
      <w:pPr>
        <w:pStyle w:val="Subtitle"/>
        <w:rPr>
          <w:rFonts w:ascii="Garamond" w:hAnsi="Garamond"/>
        </w:rPr>
      </w:pPr>
      <w:r w:rsidRPr="003E36D0">
        <w:rPr>
          <w:rFonts w:ascii="Garamond" w:hAnsi="Garamond"/>
        </w:rPr>
        <w:t>Warmer temperatures promote shrub radial growth but not cover in the Central Canadian Arctic</w:t>
      </w:r>
    </w:p>
    <w:p w14:paraId="5CBE4425" w14:textId="77777777" w:rsidR="00270566" w:rsidRPr="003E36D0" w:rsidRDefault="00213E99">
      <w:pPr>
        <w:pStyle w:val="Heading2"/>
        <w:rPr>
          <w:rFonts w:ascii="Garamond" w:hAnsi="Garamond"/>
        </w:rPr>
      </w:pPr>
      <w:bookmarkStart w:id="0" w:name="regional-comparisons"/>
      <w:bookmarkEnd w:id="0"/>
      <w:r w:rsidRPr="003E36D0">
        <w:rPr>
          <w:rFonts w:ascii="Garamond" w:hAnsi="Garamond"/>
        </w:rPr>
        <w:t>Regional comparisons</w:t>
      </w:r>
    </w:p>
    <w:p w14:paraId="5CBE4426" w14:textId="77777777" w:rsidR="00270566" w:rsidRPr="003E36D0" w:rsidRDefault="00213E99">
      <w:pPr>
        <w:pStyle w:val="Heading3"/>
        <w:rPr>
          <w:rFonts w:ascii="Garamond" w:hAnsi="Garamond"/>
        </w:rPr>
      </w:pPr>
      <w:bookmarkStart w:id="1" w:name="location-of-the-field-site-and-weather-s"/>
      <w:bookmarkEnd w:id="1"/>
      <w:r w:rsidRPr="003E36D0">
        <w:rPr>
          <w:rFonts w:ascii="Garamond" w:hAnsi="Garamond"/>
        </w:rPr>
        <w:t>Location of the field site and weather stations</w:t>
      </w:r>
    </w:p>
    <w:p w14:paraId="5CBE4427" w14:textId="77777777" w:rsidR="00270566" w:rsidRPr="003E36D0" w:rsidRDefault="00213E99">
      <w:pPr>
        <w:pStyle w:val="FirstParagraph"/>
        <w:rPr>
          <w:rFonts w:ascii="Garamond" w:hAnsi="Garamond"/>
        </w:rPr>
      </w:pPr>
      <w:r w:rsidRPr="003E36D0">
        <w:rPr>
          <w:rFonts w:ascii="Garamond" w:hAnsi="Garamond"/>
        </w:rPr>
        <w:t xml:space="preserve">We collected shrubs from the Walker Bay field </w:t>
      </w:r>
      <w:proofErr w:type="spellStart"/>
      <w:r w:rsidRPr="003E36D0">
        <w:rPr>
          <w:rFonts w:ascii="Garamond" w:hAnsi="Garamond"/>
        </w:rPr>
        <w:t>reasearch</w:t>
      </w:r>
      <w:proofErr w:type="spellEnd"/>
      <w:r w:rsidRPr="003E36D0">
        <w:rPr>
          <w:rFonts w:ascii="Garamond" w:hAnsi="Garamond"/>
        </w:rPr>
        <w:t xml:space="preserve"> station over three years (Table 1), which is located on the Kent </w:t>
      </w:r>
      <w:proofErr w:type="spellStart"/>
      <w:r w:rsidRPr="003E36D0">
        <w:rPr>
          <w:rFonts w:ascii="Garamond" w:hAnsi="Garamond"/>
        </w:rPr>
        <w:t>Penninsula</w:t>
      </w:r>
      <w:proofErr w:type="spellEnd"/>
      <w:r w:rsidRPr="003E36D0">
        <w:rPr>
          <w:rFonts w:ascii="Garamond" w:hAnsi="Garamond"/>
        </w:rPr>
        <w:t xml:space="preserve"> (Figure 1). The climate data came from (1) a weather station operational at Walker Bay for ~5 years, (2) Environment Canada weather data from Cambridge Bay, (3) Environment Canada weather data from Byron Bay, and (4) Environment Canada weather data from Kugluktuk (Figure 1). Byron Bay is closest to Walker </w:t>
      </w:r>
      <w:proofErr w:type="gramStart"/>
      <w:r w:rsidRPr="003E36D0">
        <w:rPr>
          <w:rFonts w:ascii="Garamond" w:hAnsi="Garamond"/>
        </w:rPr>
        <w:t>Bay, but</w:t>
      </w:r>
      <w:proofErr w:type="gramEnd"/>
      <w:r w:rsidRPr="003E36D0">
        <w:rPr>
          <w:rFonts w:ascii="Garamond" w:hAnsi="Garamond"/>
        </w:rPr>
        <w:t xml:space="preserve"> has limited climate data and a somewhat different </w:t>
      </w:r>
      <w:proofErr w:type="spellStart"/>
      <w:r w:rsidRPr="003E36D0">
        <w:rPr>
          <w:rFonts w:ascii="Garamond" w:hAnsi="Garamond"/>
        </w:rPr>
        <w:t>vegatation</w:t>
      </w:r>
      <w:proofErr w:type="spellEnd"/>
      <w:r w:rsidRPr="003E36D0">
        <w:rPr>
          <w:rFonts w:ascii="Garamond" w:hAnsi="Garamond"/>
        </w:rPr>
        <w:t xml:space="preserve"> structure (D. Morris, personal observation). We </w:t>
      </w:r>
      <w:proofErr w:type="gramStart"/>
      <w:r w:rsidRPr="003E36D0">
        <w:rPr>
          <w:rFonts w:ascii="Garamond" w:hAnsi="Garamond"/>
        </w:rPr>
        <w:t>expected  that</w:t>
      </w:r>
      <w:proofErr w:type="gramEnd"/>
      <w:r w:rsidRPr="003E36D0">
        <w:rPr>
          <w:rFonts w:ascii="Garamond" w:hAnsi="Garamond"/>
        </w:rPr>
        <w:t xml:space="preserve"> Cambridge Bay weather data would be the best match for Walker Bay.</w:t>
      </w:r>
    </w:p>
    <w:p w14:paraId="5CBE4428" w14:textId="77777777" w:rsidR="00270566" w:rsidRPr="003E36D0" w:rsidRDefault="00213E99">
      <w:pPr>
        <w:pStyle w:val="BodyText"/>
        <w:rPr>
          <w:rFonts w:ascii="Garamond" w:hAnsi="Garamond"/>
        </w:rPr>
      </w:pPr>
      <w:r w:rsidRPr="003E36D0">
        <w:rPr>
          <w:rFonts w:ascii="Garamond" w:hAnsi="Garamond"/>
        </w:rPr>
        <w:t>To confirm that Cambridge Bay was the most appropriate climate data, we also downloaded data from two other nearby weather stations at Kugluktuk and Byron Bay.</w:t>
      </w:r>
    </w:p>
    <w:p w14:paraId="5CBE4429" w14:textId="77777777" w:rsidR="00270566" w:rsidRPr="003E36D0" w:rsidRDefault="00213E99">
      <w:pPr>
        <w:pStyle w:val="FigurewithCaption"/>
        <w:rPr>
          <w:rFonts w:ascii="Garamond" w:hAnsi="Garamond"/>
        </w:rPr>
      </w:pPr>
      <w:r w:rsidRPr="003E36D0">
        <w:rPr>
          <w:rFonts w:ascii="Garamond" w:hAnsi="Garamond"/>
          <w:noProof/>
        </w:rPr>
        <w:drawing>
          <wp:inline distT="0" distB="0" distL="0" distR="0" wp14:anchorId="5CBE4475" wp14:editId="2221E055">
            <wp:extent cx="4525200" cy="3618000"/>
            <wp:effectExtent l="0" t="0" r="0" b="0"/>
            <wp:docPr id="1" name="Picture" descr="The location of our field site at Walker Bay and the nearby weather stations at Cambridge Bay and Kugluktuk. The black dots represent locations of each site/weather station. The weather stations at Walker Bay, Kugluktuk, Byron Bay, and Cambridge Bay were active from 1996 to 2007, 1930 to 2014, 1957 to 1993, and 1949 to present, respectiv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supporting_information_files/figure-docx/unnamed-chunk-2-1.png"/>
                    <pic:cNvPicPr>
                      <a:picLocks noChangeAspect="1" noChangeArrowheads="1"/>
                    </pic:cNvPicPr>
                  </pic:nvPicPr>
                  <pic:blipFill>
                    <a:blip r:embed="rId7"/>
                    <a:stretch>
                      <a:fillRect/>
                    </a:stretch>
                  </pic:blipFill>
                  <pic:spPr bwMode="auto">
                    <a:xfrm>
                      <a:off x="0" y="0"/>
                      <a:ext cx="4525200" cy="3618000"/>
                    </a:xfrm>
                    <a:prstGeom prst="rect">
                      <a:avLst/>
                    </a:prstGeom>
                    <a:noFill/>
                    <a:ln w="9525">
                      <a:noFill/>
                      <a:headEnd/>
                      <a:tailEnd/>
                    </a:ln>
                  </pic:spPr>
                </pic:pic>
              </a:graphicData>
            </a:graphic>
          </wp:inline>
        </w:drawing>
      </w:r>
    </w:p>
    <w:p w14:paraId="5CBE442A" w14:textId="1BA062EB" w:rsidR="00270566" w:rsidRPr="003E36D0" w:rsidRDefault="003E36D0">
      <w:pPr>
        <w:pStyle w:val="ImageCaption"/>
        <w:rPr>
          <w:rFonts w:ascii="Garamond" w:hAnsi="Garamond"/>
          <w:i w:val="0"/>
          <w:iCs/>
          <w:sz w:val="20"/>
          <w:szCs w:val="20"/>
        </w:rPr>
      </w:pPr>
      <w:r w:rsidRPr="003E36D0">
        <w:rPr>
          <w:rFonts w:ascii="Garamond" w:hAnsi="Garamond"/>
          <w:i w:val="0"/>
          <w:iCs/>
          <w:sz w:val="20"/>
          <w:szCs w:val="20"/>
        </w:rPr>
        <w:t xml:space="preserve">Figure 1: </w:t>
      </w:r>
      <w:r w:rsidR="00213E99" w:rsidRPr="003E36D0">
        <w:rPr>
          <w:rFonts w:ascii="Garamond" w:hAnsi="Garamond"/>
          <w:i w:val="0"/>
          <w:iCs/>
          <w:sz w:val="20"/>
          <w:szCs w:val="20"/>
        </w:rPr>
        <w:t>The location of our field site at Walker Bay and the nearby weather stations at Cambridge Bay and Kugluktuk. The black dots represent locations of each site/weather station. The weather stations at Walker Bay, Kugluktuk, Byron Bay, and Cambridge Bay were active from 1996 to 2007, 1930 to 2014, 1957 to 1993, and 1949 to present, respectively.</w:t>
      </w:r>
    </w:p>
    <w:p w14:paraId="5CBE442B" w14:textId="77777777" w:rsidR="00270566" w:rsidRPr="003E36D0" w:rsidRDefault="00213E99">
      <w:pPr>
        <w:pStyle w:val="Heading3"/>
        <w:rPr>
          <w:rFonts w:ascii="Garamond" w:hAnsi="Garamond"/>
        </w:rPr>
      </w:pPr>
      <w:bookmarkStart w:id="2" w:name="walker-bay-climate-data"/>
      <w:bookmarkEnd w:id="2"/>
      <w:r w:rsidRPr="003E36D0">
        <w:rPr>
          <w:rFonts w:ascii="Garamond" w:hAnsi="Garamond"/>
        </w:rPr>
        <w:lastRenderedPageBreak/>
        <w:t>Walker Bay Climate Data</w:t>
      </w:r>
    </w:p>
    <w:p w14:paraId="5CBE442C" w14:textId="77777777" w:rsidR="00270566" w:rsidRPr="003E36D0" w:rsidRDefault="00213E99">
      <w:pPr>
        <w:pStyle w:val="FirstParagraph"/>
        <w:rPr>
          <w:rFonts w:ascii="Garamond" w:hAnsi="Garamond"/>
        </w:rPr>
      </w:pPr>
      <w:r w:rsidRPr="003E36D0">
        <w:rPr>
          <w:rFonts w:ascii="Garamond" w:hAnsi="Garamond"/>
        </w:rPr>
        <w:t>The temperature and precipitation data from a weather station at Walker Bay are available from 1996 to 2007. Annual average temperature did not change during this interval (Figure 2a). The shrub growth recorded at Walker Bay from 1996 to 2007 was not significantly related to annual temperature (</w:t>
      </w:r>
      <w:r w:rsidRPr="003E36D0">
        <w:rPr>
          <w:rFonts w:ascii="Garamond" w:hAnsi="Garamond"/>
          <w:i/>
        </w:rPr>
        <w:t>p</w:t>
      </w:r>
      <w:r w:rsidRPr="003E36D0">
        <w:rPr>
          <w:rFonts w:ascii="Garamond" w:hAnsi="Garamond"/>
        </w:rPr>
        <w:t xml:space="preserve"> &gt; 0.5; Figure 2b) although there was a marginally significant relationship with July temperature (</w:t>
      </w:r>
      <w:r w:rsidRPr="003E36D0">
        <w:rPr>
          <w:rFonts w:ascii="Garamond" w:hAnsi="Garamond"/>
          <w:i/>
        </w:rPr>
        <w:t>p</w:t>
      </w:r>
      <w:r w:rsidRPr="003E36D0">
        <w:rPr>
          <w:rFonts w:ascii="Garamond" w:hAnsi="Garamond"/>
        </w:rPr>
        <w:t xml:space="preserve"> = 0.051; Figure 2c).</w:t>
      </w:r>
    </w:p>
    <w:p w14:paraId="5CBE442D" w14:textId="77777777" w:rsidR="00270566" w:rsidRPr="003E36D0" w:rsidRDefault="00213E99">
      <w:pPr>
        <w:pStyle w:val="FigurewithCaption"/>
        <w:rPr>
          <w:rFonts w:ascii="Garamond" w:hAnsi="Garamond"/>
        </w:rPr>
      </w:pPr>
      <w:r w:rsidRPr="003E36D0">
        <w:rPr>
          <w:rFonts w:ascii="Garamond" w:hAnsi="Garamond"/>
          <w:noProof/>
        </w:rPr>
        <w:drawing>
          <wp:inline distT="0" distB="0" distL="0" distR="0" wp14:anchorId="5CBE4477" wp14:editId="5CBE4478">
            <wp:extent cx="5334000" cy="2667000"/>
            <wp:effectExtent l="0" t="0" r="0" b="0"/>
            <wp:docPr id="2" name="Picture" descr="The climate data from Walker Bay and its relationship with shrub growth, which is measured as ring width index (RWI). Air temperature (a), annual temperature versus shrub growth (b), and July temperature versus shrub growth (c). The analysis includes data from 1996 to 2007."/>
            <wp:cNvGraphicFramePr/>
            <a:graphic xmlns:a="http://schemas.openxmlformats.org/drawingml/2006/main">
              <a:graphicData uri="http://schemas.openxmlformats.org/drawingml/2006/picture">
                <pic:pic xmlns:pic="http://schemas.openxmlformats.org/drawingml/2006/picture">
                  <pic:nvPicPr>
                    <pic:cNvPr id="0" name="Picture" descr="supporting_information_files/figure-docx/unnamed-chunk-3-1.png"/>
                    <pic:cNvPicPr>
                      <a:picLocks noChangeAspect="1" noChangeArrowheads="1"/>
                    </pic:cNvPicPr>
                  </pic:nvPicPr>
                  <pic:blipFill>
                    <a:blip r:embed="rId8"/>
                    <a:stretch>
                      <a:fillRect/>
                    </a:stretch>
                  </pic:blipFill>
                  <pic:spPr bwMode="auto">
                    <a:xfrm>
                      <a:off x="0" y="0"/>
                      <a:ext cx="5334000" cy="2667000"/>
                    </a:xfrm>
                    <a:prstGeom prst="rect">
                      <a:avLst/>
                    </a:prstGeom>
                    <a:noFill/>
                    <a:ln w="9525">
                      <a:noFill/>
                      <a:headEnd/>
                      <a:tailEnd/>
                    </a:ln>
                  </pic:spPr>
                </pic:pic>
              </a:graphicData>
            </a:graphic>
          </wp:inline>
        </w:drawing>
      </w:r>
    </w:p>
    <w:p w14:paraId="5CBE442E" w14:textId="1C569A89" w:rsidR="00270566" w:rsidRPr="00E2536E" w:rsidRDefault="00E2536E">
      <w:pPr>
        <w:pStyle w:val="ImageCaption"/>
        <w:rPr>
          <w:rFonts w:ascii="Garamond" w:hAnsi="Garamond"/>
          <w:i w:val="0"/>
          <w:iCs/>
          <w:sz w:val="20"/>
          <w:szCs w:val="20"/>
        </w:rPr>
      </w:pPr>
      <w:r>
        <w:rPr>
          <w:rFonts w:ascii="Garamond" w:hAnsi="Garamond"/>
          <w:i w:val="0"/>
          <w:iCs/>
          <w:sz w:val="20"/>
          <w:szCs w:val="20"/>
        </w:rPr>
        <w:t xml:space="preserve">Figure 2: </w:t>
      </w:r>
      <w:r w:rsidR="00213E99" w:rsidRPr="00E2536E">
        <w:rPr>
          <w:rFonts w:ascii="Garamond" w:hAnsi="Garamond"/>
          <w:i w:val="0"/>
          <w:iCs/>
          <w:sz w:val="20"/>
          <w:szCs w:val="20"/>
        </w:rPr>
        <w:t>The climate data from Walker Bay and its relationship with shrub growth, which is measured as ring width index (RWI). Air temperature (a), annual temperature versus shrub growth (b), and July temperature versus shrub growth (c). The analysis includes data from 1996 to 2007.</w:t>
      </w:r>
    </w:p>
    <w:p w14:paraId="5CBE442F" w14:textId="77777777" w:rsidR="00270566" w:rsidRPr="003E36D0" w:rsidRDefault="00213E99">
      <w:pPr>
        <w:pStyle w:val="Heading3"/>
        <w:rPr>
          <w:rFonts w:ascii="Garamond" w:hAnsi="Garamond"/>
        </w:rPr>
      </w:pPr>
      <w:bookmarkStart w:id="3" w:name="kugluktuk-climate-data"/>
      <w:bookmarkEnd w:id="3"/>
      <w:r w:rsidRPr="003E36D0">
        <w:rPr>
          <w:rFonts w:ascii="Garamond" w:hAnsi="Garamond"/>
        </w:rPr>
        <w:t>Kugluktuk Climate Data</w:t>
      </w:r>
    </w:p>
    <w:p w14:paraId="5CBE4430" w14:textId="77777777" w:rsidR="00270566" w:rsidRPr="003E36D0" w:rsidRDefault="00213E99">
      <w:pPr>
        <w:pStyle w:val="FirstParagraph"/>
        <w:rPr>
          <w:rFonts w:ascii="Garamond" w:hAnsi="Garamond"/>
        </w:rPr>
      </w:pPr>
      <w:r w:rsidRPr="003E36D0">
        <w:rPr>
          <w:rFonts w:ascii="Garamond" w:hAnsi="Garamond"/>
        </w:rPr>
        <w:t>The temperature and precipitation data from a weather station at Kugluktuk are available from 1930 to 2014. Annual average temperature significantly increased over this interval (</w:t>
      </w:r>
      <w:r w:rsidRPr="003E36D0">
        <w:rPr>
          <w:rFonts w:ascii="Garamond" w:hAnsi="Garamond"/>
          <w:i/>
        </w:rPr>
        <w:t>p</w:t>
      </w:r>
      <w:r w:rsidRPr="003E36D0">
        <w:rPr>
          <w:rFonts w:ascii="Garamond" w:hAnsi="Garamond"/>
        </w:rPr>
        <w:t xml:space="preserve"> &lt; 0.001). The shrub growth at Walker Bay from 1930 to 2014 was not significantly related to Kugluktuk annual temperature (</w:t>
      </w:r>
      <w:r w:rsidRPr="003E36D0">
        <w:rPr>
          <w:rFonts w:ascii="Garamond" w:hAnsi="Garamond"/>
          <w:i/>
        </w:rPr>
        <w:t>p</w:t>
      </w:r>
      <w:r w:rsidRPr="003E36D0">
        <w:rPr>
          <w:rFonts w:ascii="Garamond" w:hAnsi="Garamond"/>
        </w:rPr>
        <w:t xml:space="preserve"> &gt; 0.5) although there was a significant relationship with July temperature (</w:t>
      </w:r>
      <w:r w:rsidRPr="003E36D0">
        <w:rPr>
          <w:rFonts w:ascii="Garamond" w:hAnsi="Garamond"/>
          <w:i/>
        </w:rPr>
        <w:t>p</w:t>
      </w:r>
      <w:r w:rsidRPr="003E36D0">
        <w:rPr>
          <w:rFonts w:ascii="Garamond" w:hAnsi="Garamond"/>
        </w:rPr>
        <w:t xml:space="preserve"> &lt; 0.04; Figure 3a).</w:t>
      </w:r>
      <w:r w:rsidRPr="003E36D0">
        <w:rPr>
          <w:rFonts w:ascii="Garamond" w:hAnsi="Garamond"/>
        </w:rPr>
        <w:br/>
        <w:t>There were enough data for Kugluktuk to repeat the response function analysis comparing Walker Bay shrubs to Kugluktuk climate records. No significant relationships were observed (Figure 4).</w:t>
      </w:r>
    </w:p>
    <w:p w14:paraId="5CBE4431" w14:textId="77777777" w:rsidR="00270566" w:rsidRPr="003E36D0" w:rsidRDefault="00213E99">
      <w:pPr>
        <w:pStyle w:val="FigurewithCaption"/>
        <w:rPr>
          <w:rFonts w:ascii="Garamond" w:hAnsi="Garamond"/>
        </w:rPr>
      </w:pPr>
      <w:r w:rsidRPr="003E36D0">
        <w:rPr>
          <w:rFonts w:ascii="Garamond" w:hAnsi="Garamond"/>
          <w:noProof/>
        </w:rPr>
        <w:lastRenderedPageBreak/>
        <w:drawing>
          <wp:inline distT="0" distB="0" distL="0" distR="0" wp14:anchorId="5CBE4479" wp14:editId="2CC2A5F3">
            <wp:extent cx="5564778" cy="2782389"/>
            <wp:effectExtent l="0" t="0" r="0" b="0"/>
            <wp:docPr id="3" name="Picture" descr="Kugluktuk (a) and Byron Bay (b) July temperature versus Walker Bay shrub growth. The analyses for Kugluktuk and Byron Bay include data from 1930 to 2014 and 1957 to 1993, respectively. RWI is the ring width index calculated for the shrubs at Walker Bay."/>
            <wp:cNvGraphicFramePr/>
            <a:graphic xmlns:a="http://schemas.openxmlformats.org/drawingml/2006/main">
              <a:graphicData uri="http://schemas.openxmlformats.org/drawingml/2006/picture">
                <pic:pic xmlns:pic="http://schemas.openxmlformats.org/drawingml/2006/picture">
                  <pic:nvPicPr>
                    <pic:cNvPr id="0" name="Picture" descr="supporting_information_files/figure-docx/unnamed-chunk-4-1.png"/>
                    <pic:cNvPicPr>
                      <a:picLocks noChangeAspect="1" noChangeArrowheads="1"/>
                    </pic:cNvPicPr>
                  </pic:nvPicPr>
                  <pic:blipFill>
                    <a:blip r:embed="rId9"/>
                    <a:stretch>
                      <a:fillRect/>
                    </a:stretch>
                  </pic:blipFill>
                  <pic:spPr bwMode="auto">
                    <a:xfrm>
                      <a:off x="0" y="0"/>
                      <a:ext cx="5574682" cy="2787341"/>
                    </a:xfrm>
                    <a:prstGeom prst="rect">
                      <a:avLst/>
                    </a:prstGeom>
                    <a:noFill/>
                    <a:ln w="9525">
                      <a:noFill/>
                      <a:headEnd/>
                      <a:tailEnd/>
                    </a:ln>
                  </pic:spPr>
                </pic:pic>
              </a:graphicData>
            </a:graphic>
          </wp:inline>
        </w:drawing>
      </w:r>
    </w:p>
    <w:p w14:paraId="5CBE4432" w14:textId="4D20212D" w:rsidR="00270566" w:rsidRPr="00E2536E" w:rsidRDefault="00E2536E">
      <w:pPr>
        <w:pStyle w:val="ImageCaption"/>
        <w:rPr>
          <w:rFonts w:ascii="Garamond" w:hAnsi="Garamond"/>
          <w:i w:val="0"/>
          <w:iCs/>
          <w:sz w:val="20"/>
          <w:szCs w:val="20"/>
        </w:rPr>
      </w:pPr>
      <w:r>
        <w:rPr>
          <w:rFonts w:ascii="Garamond" w:hAnsi="Garamond"/>
          <w:i w:val="0"/>
          <w:iCs/>
          <w:sz w:val="20"/>
          <w:szCs w:val="20"/>
        </w:rPr>
        <w:t xml:space="preserve">Figure 3: </w:t>
      </w:r>
      <w:r w:rsidR="00213E99" w:rsidRPr="00E2536E">
        <w:rPr>
          <w:rFonts w:ascii="Garamond" w:hAnsi="Garamond"/>
          <w:i w:val="0"/>
          <w:iCs/>
          <w:sz w:val="20"/>
          <w:szCs w:val="20"/>
        </w:rPr>
        <w:t>Kugluktuk (a) and Byron Bay (b) July temperature versus Walker Bay shrub growth. The analyses for Kugluktuk and Byron Bay include data from 1930 to 2014 and 1957 to 1993, respectively. RWI is the ring width index calculated for the shrubs at Walker Bay.</w:t>
      </w:r>
    </w:p>
    <w:p w14:paraId="5CBE4433" w14:textId="77777777" w:rsidR="00270566" w:rsidRPr="003E36D0" w:rsidRDefault="00213E99">
      <w:pPr>
        <w:pStyle w:val="FigurewithCaption"/>
        <w:rPr>
          <w:rFonts w:ascii="Garamond" w:hAnsi="Garamond"/>
        </w:rPr>
      </w:pPr>
      <w:r w:rsidRPr="003E36D0">
        <w:rPr>
          <w:rFonts w:ascii="Garamond" w:hAnsi="Garamond"/>
          <w:noProof/>
        </w:rPr>
        <w:drawing>
          <wp:inline distT="0" distB="0" distL="0" distR="0" wp14:anchorId="5CBE447B" wp14:editId="5CBE447C">
            <wp:extent cx="5334000" cy="4267200"/>
            <wp:effectExtent l="0" t="0" r="0" b="0"/>
            <wp:docPr id="4" name="Picture" descr="No significant response functions for Kugluktuk. Lower case letters indicate months in the year before shrub growth, while capital letters indicate months in the year of shrub growth. The analysis includes data from 1930 to 2014."/>
            <wp:cNvGraphicFramePr/>
            <a:graphic xmlns:a="http://schemas.openxmlformats.org/drawingml/2006/main">
              <a:graphicData uri="http://schemas.openxmlformats.org/drawingml/2006/picture">
                <pic:pic xmlns:pic="http://schemas.openxmlformats.org/drawingml/2006/picture">
                  <pic:nvPicPr>
                    <pic:cNvPr id="0" name="Picture" descr="supporting_information_files/figure-docx/unnamed-chunk-5-1.png"/>
                    <pic:cNvPicPr>
                      <a:picLocks noChangeAspect="1" noChangeArrowheads="1"/>
                    </pic:cNvPicPr>
                  </pic:nvPicPr>
                  <pic:blipFill>
                    <a:blip r:embed="rId10"/>
                    <a:stretch>
                      <a:fillRect/>
                    </a:stretch>
                  </pic:blipFill>
                  <pic:spPr bwMode="auto">
                    <a:xfrm>
                      <a:off x="0" y="0"/>
                      <a:ext cx="5334000" cy="4267200"/>
                    </a:xfrm>
                    <a:prstGeom prst="rect">
                      <a:avLst/>
                    </a:prstGeom>
                    <a:noFill/>
                    <a:ln w="9525">
                      <a:noFill/>
                      <a:headEnd/>
                      <a:tailEnd/>
                    </a:ln>
                  </pic:spPr>
                </pic:pic>
              </a:graphicData>
            </a:graphic>
          </wp:inline>
        </w:drawing>
      </w:r>
    </w:p>
    <w:p w14:paraId="5CBE4434" w14:textId="5B433EAD" w:rsidR="00270566" w:rsidRPr="00E2536E" w:rsidRDefault="00E2536E">
      <w:pPr>
        <w:pStyle w:val="ImageCaption"/>
        <w:rPr>
          <w:rFonts w:ascii="Garamond" w:hAnsi="Garamond"/>
          <w:i w:val="0"/>
          <w:iCs/>
          <w:sz w:val="20"/>
          <w:szCs w:val="20"/>
        </w:rPr>
      </w:pPr>
      <w:r>
        <w:rPr>
          <w:rFonts w:ascii="Garamond" w:hAnsi="Garamond"/>
          <w:i w:val="0"/>
          <w:iCs/>
          <w:sz w:val="20"/>
          <w:szCs w:val="20"/>
        </w:rPr>
        <w:t xml:space="preserve">Figure 4: </w:t>
      </w:r>
      <w:r w:rsidR="00213E99" w:rsidRPr="00E2536E">
        <w:rPr>
          <w:rFonts w:ascii="Garamond" w:hAnsi="Garamond"/>
          <w:i w:val="0"/>
          <w:iCs/>
          <w:sz w:val="20"/>
          <w:szCs w:val="20"/>
        </w:rPr>
        <w:t>No significant response functions for Kugluktuk. Lower case letters indicate months in the year before shrub growth, while capital letters indicate months in the year of shrub growth. The analysis includes data from 1930 to 2014.</w:t>
      </w:r>
    </w:p>
    <w:p w14:paraId="5CBE4435" w14:textId="77777777" w:rsidR="00270566" w:rsidRPr="003E36D0" w:rsidRDefault="00213E99">
      <w:pPr>
        <w:pStyle w:val="Heading3"/>
        <w:rPr>
          <w:rFonts w:ascii="Garamond" w:hAnsi="Garamond"/>
        </w:rPr>
      </w:pPr>
      <w:bookmarkStart w:id="4" w:name="byron-bay-climate-data"/>
      <w:bookmarkEnd w:id="4"/>
      <w:r w:rsidRPr="003E36D0">
        <w:rPr>
          <w:rFonts w:ascii="Garamond" w:hAnsi="Garamond"/>
        </w:rPr>
        <w:lastRenderedPageBreak/>
        <w:t>Byron Bay Climate Data</w:t>
      </w:r>
    </w:p>
    <w:p w14:paraId="5CBE4436" w14:textId="77777777" w:rsidR="00270566" w:rsidRPr="003E36D0" w:rsidRDefault="00213E99">
      <w:pPr>
        <w:pStyle w:val="FirstParagraph"/>
        <w:rPr>
          <w:rFonts w:ascii="Garamond" w:hAnsi="Garamond"/>
        </w:rPr>
      </w:pPr>
      <w:r w:rsidRPr="003E36D0">
        <w:rPr>
          <w:rFonts w:ascii="Garamond" w:hAnsi="Garamond"/>
        </w:rPr>
        <w:t>The temperature and precipitation data from a weather station at Byron Bay are available from 1957 to 1993. Annual average temperature did not change over this interval (</w:t>
      </w:r>
      <w:r w:rsidRPr="003E36D0">
        <w:rPr>
          <w:rFonts w:ascii="Garamond" w:hAnsi="Garamond"/>
          <w:i/>
        </w:rPr>
        <w:t>p</w:t>
      </w:r>
      <w:r w:rsidRPr="003E36D0">
        <w:rPr>
          <w:rFonts w:ascii="Garamond" w:hAnsi="Garamond"/>
        </w:rPr>
        <w:t xml:space="preserve"> &gt; 0.78). The shrub growth at Walker Bay from 1957 to 1993 was not significantly related to Byron Bay annual temperature (</w:t>
      </w:r>
      <w:r w:rsidRPr="003E36D0">
        <w:rPr>
          <w:rFonts w:ascii="Garamond" w:hAnsi="Garamond"/>
          <w:i/>
        </w:rPr>
        <w:t>p</w:t>
      </w:r>
      <w:r w:rsidRPr="003E36D0">
        <w:rPr>
          <w:rFonts w:ascii="Garamond" w:hAnsi="Garamond"/>
        </w:rPr>
        <w:t xml:space="preserve"> &gt; 0.7) nor was there a significant relationship with July temperature (</w:t>
      </w:r>
      <w:r w:rsidRPr="003E36D0">
        <w:rPr>
          <w:rFonts w:ascii="Garamond" w:hAnsi="Garamond"/>
          <w:i/>
        </w:rPr>
        <w:t>p</w:t>
      </w:r>
      <w:r w:rsidRPr="003E36D0">
        <w:rPr>
          <w:rFonts w:ascii="Garamond" w:hAnsi="Garamond"/>
        </w:rPr>
        <w:t xml:space="preserve"> &gt; 0.2; Figure 3b).</w:t>
      </w:r>
    </w:p>
    <w:p w14:paraId="5CBE4437" w14:textId="77777777" w:rsidR="00270566" w:rsidRPr="003E36D0" w:rsidRDefault="00213E99">
      <w:pPr>
        <w:pStyle w:val="BodyText"/>
        <w:rPr>
          <w:rFonts w:ascii="Garamond" w:hAnsi="Garamond"/>
        </w:rPr>
      </w:pPr>
      <w:r w:rsidRPr="003E36D0">
        <w:rPr>
          <w:rFonts w:ascii="Garamond" w:hAnsi="Garamond"/>
        </w:rPr>
        <w:t xml:space="preserve">There were enough data for Byron Bay to repeat the response function analysis comparing Walker Bay shrubs to Byron Bay climate records. April temperature during the growth year at Byron Bay was a significant predictor of shrub radial growth at Walker Bay. All other response function coefficients were not significant (Figure 5). We are cautious to interpret the significant response function coefficient for April as mechanistic, because the climate time series for Byron Bay (1962 - 1991) is much shorter than the one available for Cambridge Bay (1949 - present). In fact, reanalyzing the climate-growth relationship for Cambridge Bay using the same years as there are data for Byron Bay produces a new significant response function coefficient (April total </w:t>
      </w:r>
      <w:proofErr w:type="spellStart"/>
      <w:r w:rsidRPr="003E36D0">
        <w:rPr>
          <w:rFonts w:ascii="Garamond" w:hAnsi="Garamond"/>
        </w:rPr>
        <w:t>percipitation</w:t>
      </w:r>
      <w:proofErr w:type="spellEnd"/>
      <w:r w:rsidRPr="003E36D0">
        <w:rPr>
          <w:rFonts w:ascii="Garamond" w:hAnsi="Garamond"/>
        </w:rPr>
        <w:t>) that is not significant for the full dataset. In summary, there is limited evidence that spring temperature might be important for shrubs at Walker Bay, but it is not strong enough to be conclusive with the current dataset.</w:t>
      </w:r>
    </w:p>
    <w:p w14:paraId="5CBE4438" w14:textId="77777777" w:rsidR="00270566" w:rsidRPr="003E36D0" w:rsidRDefault="00213E99">
      <w:pPr>
        <w:pStyle w:val="FigurewithCaption"/>
        <w:rPr>
          <w:rFonts w:ascii="Garamond" w:hAnsi="Garamond"/>
        </w:rPr>
      </w:pPr>
      <w:r w:rsidRPr="003E36D0">
        <w:rPr>
          <w:rFonts w:ascii="Garamond" w:hAnsi="Garamond"/>
          <w:noProof/>
        </w:rPr>
        <w:drawing>
          <wp:inline distT="0" distB="0" distL="0" distR="0" wp14:anchorId="5CBE447D" wp14:editId="5CBE447E">
            <wp:extent cx="5334000" cy="4267200"/>
            <wp:effectExtent l="0" t="0" r="0" b="0"/>
            <wp:docPr id="5" name="Picture" descr="April temperature in the growth year at Byron Bay had a significant response function coefficient. Lower case letters indicate months in the year before shrub growth, while capital letters indicate months in the year of shrub growth. The analysis includes data from 1957 to 1993."/>
            <wp:cNvGraphicFramePr/>
            <a:graphic xmlns:a="http://schemas.openxmlformats.org/drawingml/2006/main">
              <a:graphicData uri="http://schemas.openxmlformats.org/drawingml/2006/picture">
                <pic:pic xmlns:pic="http://schemas.openxmlformats.org/drawingml/2006/picture">
                  <pic:nvPicPr>
                    <pic:cNvPr id="0" name="Picture" descr="supporting_information_files/figure-docx/unnamed-chunk-6-1.png"/>
                    <pic:cNvPicPr>
                      <a:picLocks noChangeAspect="1" noChangeArrowheads="1"/>
                    </pic:cNvPicPr>
                  </pic:nvPicPr>
                  <pic:blipFill>
                    <a:blip r:embed="rId11"/>
                    <a:stretch>
                      <a:fillRect/>
                    </a:stretch>
                  </pic:blipFill>
                  <pic:spPr bwMode="auto">
                    <a:xfrm>
                      <a:off x="0" y="0"/>
                      <a:ext cx="5334000" cy="4267200"/>
                    </a:xfrm>
                    <a:prstGeom prst="rect">
                      <a:avLst/>
                    </a:prstGeom>
                    <a:noFill/>
                    <a:ln w="9525">
                      <a:noFill/>
                      <a:headEnd/>
                      <a:tailEnd/>
                    </a:ln>
                  </pic:spPr>
                </pic:pic>
              </a:graphicData>
            </a:graphic>
          </wp:inline>
        </w:drawing>
      </w:r>
    </w:p>
    <w:p w14:paraId="5CBE4439" w14:textId="7236EF13" w:rsidR="00270566" w:rsidRPr="00E2536E" w:rsidRDefault="00E2536E">
      <w:pPr>
        <w:pStyle w:val="ImageCaption"/>
        <w:rPr>
          <w:rFonts w:ascii="Garamond" w:hAnsi="Garamond"/>
          <w:i w:val="0"/>
          <w:iCs/>
          <w:sz w:val="20"/>
          <w:szCs w:val="20"/>
        </w:rPr>
      </w:pPr>
      <w:r>
        <w:rPr>
          <w:rFonts w:ascii="Garamond" w:hAnsi="Garamond"/>
          <w:i w:val="0"/>
          <w:iCs/>
          <w:sz w:val="20"/>
          <w:szCs w:val="20"/>
        </w:rPr>
        <w:t xml:space="preserve">Figure 5: </w:t>
      </w:r>
      <w:r w:rsidR="00213E99" w:rsidRPr="00E2536E">
        <w:rPr>
          <w:rFonts w:ascii="Garamond" w:hAnsi="Garamond"/>
          <w:i w:val="0"/>
          <w:iCs/>
          <w:sz w:val="20"/>
          <w:szCs w:val="20"/>
        </w:rPr>
        <w:t>April temperature in the growth year at Byron Bay had a significant response function coefficient. Lower case letters indicate months in the year before shrub growth, while capital letters indicate months in the year of shrub growth. The analysis includes data from 1957 to 1993.</w:t>
      </w:r>
    </w:p>
    <w:p w14:paraId="5CBE443A" w14:textId="77777777" w:rsidR="00270566" w:rsidRPr="003E36D0" w:rsidRDefault="00213E99">
      <w:pPr>
        <w:pStyle w:val="Heading3"/>
        <w:rPr>
          <w:rFonts w:ascii="Garamond" w:hAnsi="Garamond"/>
        </w:rPr>
      </w:pPr>
      <w:bookmarkStart w:id="5" w:name="comparison-with-other-regional-chronolog"/>
      <w:bookmarkEnd w:id="5"/>
      <w:r w:rsidRPr="003E36D0">
        <w:rPr>
          <w:rFonts w:ascii="Garamond" w:hAnsi="Garamond"/>
        </w:rPr>
        <w:lastRenderedPageBreak/>
        <w:t>Comparison with other regional chronologies</w:t>
      </w:r>
    </w:p>
    <w:p w14:paraId="5CBE443C" w14:textId="77777777" w:rsidR="00270566" w:rsidRPr="003E36D0" w:rsidRDefault="00213E99">
      <w:pPr>
        <w:pStyle w:val="FigurewithCaption"/>
        <w:rPr>
          <w:rFonts w:ascii="Garamond" w:hAnsi="Garamond"/>
        </w:rPr>
      </w:pPr>
      <w:r w:rsidRPr="003E36D0">
        <w:rPr>
          <w:rFonts w:ascii="Garamond" w:hAnsi="Garamond"/>
          <w:noProof/>
        </w:rPr>
        <w:drawing>
          <wp:inline distT="0" distB="0" distL="0" distR="0" wp14:anchorId="5CBE447F" wp14:editId="68AC2B2D">
            <wp:extent cx="4022064" cy="3217652"/>
            <wp:effectExtent l="0" t="0" r="0" b="0"/>
            <wp:docPr id="6" name="Picture" descr="Relationship between Central Canadian Arctic chronologies."/>
            <wp:cNvGraphicFramePr/>
            <a:graphic xmlns:a="http://schemas.openxmlformats.org/drawingml/2006/main">
              <a:graphicData uri="http://schemas.openxmlformats.org/drawingml/2006/picture">
                <pic:pic xmlns:pic="http://schemas.openxmlformats.org/drawingml/2006/picture">
                  <pic:nvPicPr>
                    <pic:cNvPr id="0" name="Picture" descr="supporting_information_files/figure-docx/unnamed-chunk-7-1.png"/>
                    <pic:cNvPicPr>
                      <a:picLocks noChangeAspect="1" noChangeArrowheads="1"/>
                    </pic:cNvPicPr>
                  </pic:nvPicPr>
                  <pic:blipFill>
                    <a:blip r:embed="rId12"/>
                    <a:stretch>
                      <a:fillRect/>
                    </a:stretch>
                  </pic:blipFill>
                  <pic:spPr bwMode="auto">
                    <a:xfrm>
                      <a:off x="0" y="0"/>
                      <a:ext cx="4046201" cy="3236961"/>
                    </a:xfrm>
                    <a:prstGeom prst="rect">
                      <a:avLst/>
                    </a:prstGeom>
                    <a:noFill/>
                    <a:ln w="9525">
                      <a:noFill/>
                      <a:headEnd/>
                      <a:tailEnd/>
                    </a:ln>
                  </pic:spPr>
                </pic:pic>
              </a:graphicData>
            </a:graphic>
          </wp:inline>
        </w:drawing>
      </w:r>
    </w:p>
    <w:p w14:paraId="5CBE443D" w14:textId="265F0692" w:rsidR="00270566" w:rsidRDefault="00E2536E">
      <w:pPr>
        <w:pStyle w:val="ImageCaption"/>
        <w:rPr>
          <w:rFonts w:ascii="Garamond" w:hAnsi="Garamond"/>
          <w:i w:val="0"/>
          <w:iCs/>
          <w:sz w:val="20"/>
          <w:szCs w:val="20"/>
        </w:rPr>
      </w:pPr>
      <w:r>
        <w:rPr>
          <w:rFonts w:ascii="Garamond" w:hAnsi="Garamond"/>
          <w:i w:val="0"/>
          <w:iCs/>
          <w:sz w:val="20"/>
          <w:szCs w:val="20"/>
        </w:rPr>
        <w:t xml:space="preserve">Figure 6: </w:t>
      </w:r>
      <w:r w:rsidR="00213E99" w:rsidRPr="00E2536E">
        <w:rPr>
          <w:rFonts w:ascii="Garamond" w:hAnsi="Garamond"/>
          <w:i w:val="0"/>
          <w:iCs/>
          <w:sz w:val="20"/>
          <w:szCs w:val="20"/>
        </w:rPr>
        <w:t>Relationship between Central Canadian Arctic chronologies.</w:t>
      </w:r>
    </w:p>
    <w:p w14:paraId="5E248BEC" w14:textId="77777777" w:rsidR="00744F83" w:rsidRPr="003E36D0" w:rsidRDefault="00744F83" w:rsidP="00744F83">
      <w:pPr>
        <w:pStyle w:val="FirstParagraph"/>
        <w:rPr>
          <w:rFonts w:ascii="Garamond" w:hAnsi="Garamond"/>
        </w:rPr>
      </w:pPr>
      <w:r w:rsidRPr="003E36D0">
        <w:rPr>
          <w:rFonts w:ascii="Garamond" w:hAnsi="Garamond"/>
        </w:rPr>
        <w:t xml:space="preserve">Two other chronologies exist for our study region, which can be compared with ours at Walker Bay (Figure 6). One was collected for </w:t>
      </w:r>
      <w:r w:rsidRPr="003E36D0">
        <w:rPr>
          <w:rFonts w:ascii="Garamond" w:hAnsi="Garamond"/>
          <w:i/>
        </w:rPr>
        <w:t xml:space="preserve">Salix </w:t>
      </w:r>
      <w:proofErr w:type="spellStart"/>
      <w:r w:rsidRPr="003E36D0">
        <w:rPr>
          <w:rFonts w:ascii="Garamond" w:hAnsi="Garamond"/>
          <w:i/>
        </w:rPr>
        <w:t>alaxensis</w:t>
      </w:r>
      <w:proofErr w:type="spellEnd"/>
      <w:r w:rsidRPr="003E36D0">
        <w:rPr>
          <w:rFonts w:ascii="Garamond" w:hAnsi="Garamond"/>
        </w:rPr>
        <w:t xml:space="preserve"> on Victoria Island near Cambridge Bay. This chronology is relatively well correlated with ours from Walker Bay (r = 0.19, </w:t>
      </w:r>
      <w:r w:rsidRPr="003E36D0">
        <w:rPr>
          <w:rFonts w:ascii="Garamond" w:hAnsi="Garamond"/>
          <w:i/>
        </w:rPr>
        <w:t>p</w:t>
      </w:r>
      <w:r w:rsidRPr="003E36D0">
        <w:rPr>
          <w:rFonts w:ascii="Garamond" w:hAnsi="Garamond"/>
        </w:rPr>
        <w:t xml:space="preserve"> = 0.12, years from 1934 to 2000). Another chronology is available for </w:t>
      </w:r>
      <w:proofErr w:type="spellStart"/>
      <w:r w:rsidRPr="003E36D0">
        <w:rPr>
          <w:rFonts w:ascii="Garamond" w:hAnsi="Garamond"/>
          <w:i/>
        </w:rPr>
        <w:t>Picea</w:t>
      </w:r>
      <w:proofErr w:type="spellEnd"/>
      <w:r w:rsidRPr="003E36D0">
        <w:rPr>
          <w:rFonts w:ascii="Garamond" w:hAnsi="Garamond"/>
          <w:i/>
        </w:rPr>
        <w:t xml:space="preserve"> </w:t>
      </w:r>
      <w:proofErr w:type="spellStart"/>
      <w:r w:rsidRPr="003E36D0">
        <w:rPr>
          <w:rFonts w:ascii="Garamond" w:hAnsi="Garamond"/>
          <w:i/>
        </w:rPr>
        <w:t>mariana</w:t>
      </w:r>
      <w:proofErr w:type="spellEnd"/>
      <w:r w:rsidRPr="003E36D0">
        <w:rPr>
          <w:rFonts w:ascii="Garamond" w:hAnsi="Garamond"/>
        </w:rPr>
        <w:t xml:space="preserve"> from Kugluktuk, which is poorly correlated with our chronology from Walker Bay (r = 0.003, </w:t>
      </w:r>
      <w:r w:rsidRPr="003E36D0">
        <w:rPr>
          <w:rFonts w:ascii="Garamond" w:hAnsi="Garamond"/>
          <w:i/>
        </w:rPr>
        <w:t>p</w:t>
      </w:r>
      <w:r w:rsidRPr="003E36D0">
        <w:rPr>
          <w:rFonts w:ascii="Garamond" w:hAnsi="Garamond"/>
        </w:rPr>
        <w:t xml:space="preserve"> = 0.98, years from 1922 to 2003). The comparison with </w:t>
      </w:r>
      <w:r w:rsidRPr="003E36D0">
        <w:rPr>
          <w:rFonts w:ascii="Garamond" w:hAnsi="Garamond"/>
          <w:i/>
        </w:rPr>
        <w:t xml:space="preserve">P. </w:t>
      </w:r>
      <w:proofErr w:type="spellStart"/>
      <w:r w:rsidRPr="003E36D0">
        <w:rPr>
          <w:rFonts w:ascii="Garamond" w:hAnsi="Garamond"/>
          <w:i/>
        </w:rPr>
        <w:t>mariana</w:t>
      </w:r>
      <w:proofErr w:type="spellEnd"/>
      <w:r w:rsidRPr="003E36D0">
        <w:rPr>
          <w:rFonts w:ascii="Garamond" w:hAnsi="Garamond"/>
        </w:rPr>
        <w:t xml:space="preserve"> is not as relevant as with </w:t>
      </w:r>
      <w:r w:rsidRPr="003E36D0">
        <w:rPr>
          <w:rFonts w:ascii="Garamond" w:hAnsi="Garamond"/>
          <w:i/>
        </w:rPr>
        <w:t xml:space="preserve">S. </w:t>
      </w:r>
      <w:proofErr w:type="spellStart"/>
      <w:r w:rsidRPr="003E36D0">
        <w:rPr>
          <w:rFonts w:ascii="Garamond" w:hAnsi="Garamond"/>
          <w:i/>
        </w:rPr>
        <w:t>alaxensis</w:t>
      </w:r>
      <w:proofErr w:type="spellEnd"/>
      <w:r w:rsidRPr="003E36D0">
        <w:rPr>
          <w:rFonts w:ascii="Garamond" w:hAnsi="Garamond"/>
        </w:rPr>
        <w:t xml:space="preserve">, because </w:t>
      </w:r>
      <w:r w:rsidRPr="003E36D0">
        <w:rPr>
          <w:rFonts w:ascii="Garamond" w:hAnsi="Garamond"/>
          <w:i/>
        </w:rPr>
        <w:t xml:space="preserve">P. </w:t>
      </w:r>
      <w:proofErr w:type="spellStart"/>
      <w:r w:rsidRPr="003E36D0">
        <w:rPr>
          <w:rFonts w:ascii="Garamond" w:hAnsi="Garamond"/>
          <w:i/>
        </w:rPr>
        <w:t>mariana</w:t>
      </w:r>
      <w:proofErr w:type="spellEnd"/>
      <w:r w:rsidRPr="003E36D0">
        <w:rPr>
          <w:rFonts w:ascii="Garamond" w:hAnsi="Garamond"/>
        </w:rPr>
        <w:t xml:space="preserve"> is a tree species and we expect it to have different climate relationships than the shrubs. The data are included here because the </w:t>
      </w:r>
      <w:r w:rsidRPr="003E36D0">
        <w:rPr>
          <w:rFonts w:ascii="Garamond" w:hAnsi="Garamond"/>
          <w:i/>
        </w:rPr>
        <w:t xml:space="preserve">P. </w:t>
      </w:r>
      <w:proofErr w:type="spellStart"/>
      <w:r w:rsidRPr="003E36D0">
        <w:rPr>
          <w:rFonts w:ascii="Garamond" w:hAnsi="Garamond"/>
          <w:i/>
        </w:rPr>
        <w:t>mariana</w:t>
      </w:r>
      <w:proofErr w:type="spellEnd"/>
      <w:r w:rsidRPr="003E36D0">
        <w:rPr>
          <w:rFonts w:ascii="Garamond" w:hAnsi="Garamond"/>
        </w:rPr>
        <w:t xml:space="preserve"> chronology is one of the few close to our sampling sites at Walker Bay.</w:t>
      </w:r>
    </w:p>
    <w:p w14:paraId="268BD985" w14:textId="77777777" w:rsidR="00744F83" w:rsidRDefault="00744F83">
      <w:pPr>
        <w:pStyle w:val="ImageCaption"/>
        <w:rPr>
          <w:rFonts w:ascii="Garamond" w:hAnsi="Garamond"/>
          <w:i w:val="0"/>
          <w:iCs/>
          <w:sz w:val="20"/>
          <w:szCs w:val="20"/>
        </w:rPr>
      </w:pPr>
    </w:p>
    <w:p w14:paraId="2D8748EC" w14:textId="7D8F708A" w:rsidR="000517C7" w:rsidRDefault="000517C7">
      <w:pPr>
        <w:pStyle w:val="ImageCaption"/>
        <w:rPr>
          <w:rFonts w:ascii="Garamond" w:hAnsi="Garamond"/>
          <w:i w:val="0"/>
          <w:iCs/>
          <w:sz w:val="20"/>
          <w:szCs w:val="20"/>
        </w:rPr>
      </w:pPr>
      <w:r>
        <w:rPr>
          <w:rFonts w:ascii="Garamond" w:hAnsi="Garamond"/>
          <w:i w:val="0"/>
          <w:iCs/>
          <w:sz w:val="20"/>
          <w:szCs w:val="20"/>
        </w:rPr>
        <w:t xml:space="preserve">Table 1: Sampling regime for the shrubs used in our dendrochronological analysis. N is the number of shrub stems sampled, each </w:t>
      </w:r>
      <w:proofErr w:type="spellStart"/>
      <w:r>
        <w:rPr>
          <w:rFonts w:ascii="Garamond" w:hAnsi="Garamond"/>
          <w:i w:val="0"/>
          <w:iCs/>
          <w:sz w:val="20"/>
          <w:szCs w:val="20"/>
        </w:rPr>
        <w:t>fram</w:t>
      </w:r>
      <w:proofErr w:type="spellEnd"/>
      <w:r>
        <w:rPr>
          <w:rFonts w:ascii="Garamond" w:hAnsi="Garamond"/>
          <w:i w:val="0"/>
          <w:iCs/>
          <w:sz w:val="20"/>
          <w:szCs w:val="20"/>
        </w:rPr>
        <w:t xml:space="preserve"> an individual shrub.</w:t>
      </w:r>
    </w:p>
    <w:tbl>
      <w:tblPr>
        <w:tblStyle w:val="TableGrid"/>
        <w:tblW w:w="0" w:type="auto"/>
        <w:tblLook w:val="04A0" w:firstRow="1" w:lastRow="0" w:firstColumn="1" w:lastColumn="0" w:noHBand="0" w:noVBand="1"/>
      </w:tblPr>
      <w:tblGrid>
        <w:gridCol w:w="854"/>
        <w:gridCol w:w="672"/>
        <w:gridCol w:w="441"/>
        <w:gridCol w:w="5518"/>
        <w:gridCol w:w="2091"/>
      </w:tblGrid>
      <w:tr w:rsidR="000517C7" w:rsidRPr="005D301A" w14:paraId="1B9409B5" w14:textId="77777777" w:rsidTr="007447B8">
        <w:tc>
          <w:tcPr>
            <w:tcW w:w="854" w:type="dxa"/>
          </w:tcPr>
          <w:p w14:paraId="3AFC503B" w14:textId="314F41B2" w:rsidR="000517C7" w:rsidRPr="005D301A" w:rsidRDefault="000517C7">
            <w:pPr>
              <w:pStyle w:val="ImageCaption"/>
              <w:rPr>
                <w:rFonts w:ascii="Garamond" w:hAnsi="Garamond"/>
                <w:i w:val="0"/>
                <w:iCs/>
              </w:rPr>
            </w:pPr>
            <w:r w:rsidRPr="005D301A">
              <w:rPr>
                <w:rFonts w:ascii="Garamond" w:hAnsi="Garamond"/>
                <w:i w:val="0"/>
                <w:iCs/>
              </w:rPr>
              <w:t>Month</w:t>
            </w:r>
          </w:p>
        </w:tc>
        <w:tc>
          <w:tcPr>
            <w:tcW w:w="672" w:type="dxa"/>
          </w:tcPr>
          <w:p w14:paraId="7C9EABFD" w14:textId="1C993103" w:rsidR="000517C7" w:rsidRPr="005D301A" w:rsidRDefault="000517C7">
            <w:pPr>
              <w:pStyle w:val="ImageCaption"/>
              <w:rPr>
                <w:rFonts w:ascii="Garamond" w:hAnsi="Garamond"/>
                <w:i w:val="0"/>
                <w:iCs/>
              </w:rPr>
            </w:pPr>
            <w:r w:rsidRPr="005D301A">
              <w:rPr>
                <w:rFonts w:ascii="Garamond" w:hAnsi="Garamond"/>
                <w:i w:val="0"/>
                <w:iCs/>
              </w:rPr>
              <w:t>Year</w:t>
            </w:r>
          </w:p>
        </w:tc>
        <w:tc>
          <w:tcPr>
            <w:tcW w:w="439" w:type="dxa"/>
          </w:tcPr>
          <w:p w14:paraId="6E3910D4" w14:textId="3BF9FC42" w:rsidR="000517C7" w:rsidRPr="005D301A" w:rsidRDefault="000517C7">
            <w:pPr>
              <w:pStyle w:val="ImageCaption"/>
              <w:rPr>
                <w:rFonts w:ascii="Garamond" w:hAnsi="Garamond"/>
                <w:i w:val="0"/>
                <w:iCs/>
              </w:rPr>
            </w:pPr>
            <w:r w:rsidRPr="005D301A">
              <w:rPr>
                <w:rFonts w:ascii="Garamond" w:hAnsi="Garamond"/>
                <w:i w:val="0"/>
                <w:iCs/>
              </w:rPr>
              <w:t>N</w:t>
            </w:r>
          </w:p>
        </w:tc>
        <w:tc>
          <w:tcPr>
            <w:tcW w:w="5520" w:type="dxa"/>
          </w:tcPr>
          <w:p w14:paraId="1E47820A" w14:textId="2FDB10AC" w:rsidR="000517C7" w:rsidRPr="005D301A" w:rsidRDefault="000517C7">
            <w:pPr>
              <w:pStyle w:val="ImageCaption"/>
              <w:rPr>
                <w:rFonts w:ascii="Garamond" w:hAnsi="Garamond"/>
                <w:i w:val="0"/>
                <w:iCs/>
              </w:rPr>
            </w:pPr>
            <w:r w:rsidRPr="005D301A">
              <w:rPr>
                <w:rFonts w:ascii="Garamond" w:hAnsi="Garamond"/>
                <w:i w:val="0"/>
                <w:iCs/>
              </w:rPr>
              <w:t>Descr</w:t>
            </w:r>
            <w:r w:rsidR="005D301A" w:rsidRPr="005D301A">
              <w:rPr>
                <w:rFonts w:ascii="Garamond" w:hAnsi="Garamond"/>
                <w:i w:val="0"/>
                <w:iCs/>
              </w:rPr>
              <w:t>iption</w:t>
            </w:r>
          </w:p>
        </w:tc>
        <w:tc>
          <w:tcPr>
            <w:tcW w:w="2091" w:type="dxa"/>
          </w:tcPr>
          <w:p w14:paraId="38547833" w14:textId="73F23AC6" w:rsidR="000517C7" w:rsidRPr="005D301A" w:rsidRDefault="005D301A">
            <w:pPr>
              <w:pStyle w:val="ImageCaption"/>
              <w:rPr>
                <w:rFonts w:ascii="Garamond" w:hAnsi="Garamond"/>
                <w:i w:val="0"/>
                <w:iCs/>
              </w:rPr>
            </w:pPr>
            <w:r w:rsidRPr="005D301A">
              <w:rPr>
                <w:rFonts w:ascii="Garamond" w:hAnsi="Garamond"/>
                <w:i w:val="0"/>
                <w:iCs/>
              </w:rPr>
              <w:t>References</w:t>
            </w:r>
          </w:p>
        </w:tc>
      </w:tr>
      <w:tr w:rsidR="000517C7" w:rsidRPr="005D301A" w14:paraId="7598BD52" w14:textId="77777777" w:rsidTr="007447B8">
        <w:tc>
          <w:tcPr>
            <w:tcW w:w="854" w:type="dxa"/>
          </w:tcPr>
          <w:p w14:paraId="19451BAE" w14:textId="0C59A384" w:rsidR="000517C7" w:rsidRPr="005D301A" w:rsidRDefault="005D301A" w:rsidP="007447B8">
            <w:pPr>
              <w:pStyle w:val="ImageCaption"/>
              <w:rPr>
                <w:rFonts w:ascii="Garamond" w:hAnsi="Garamond"/>
                <w:i w:val="0"/>
                <w:iCs/>
              </w:rPr>
            </w:pPr>
            <w:r>
              <w:rPr>
                <w:rFonts w:ascii="Garamond" w:hAnsi="Garamond"/>
                <w:i w:val="0"/>
                <w:iCs/>
              </w:rPr>
              <w:t>June</w:t>
            </w:r>
          </w:p>
        </w:tc>
        <w:tc>
          <w:tcPr>
            <w:tcW w:w="672" w:type="dxa"/>
          </w:tcPr>
          <w:p w14:paraId="0B439B29" w14:textId="04786CAD" w:rsidR="000517C7" w:rsidRPr="005D301A" w:rsidRDefault="005D301A" w:rsidP="007447B8">
            <w:pPr>
              <w:pStyle w:val="ImageCaption"/>
              <w:rPr>
                <w:rFonts w:ascii="Garamond" w:hAnsi="Garamond"/>
                <w:i w:val="0"/>
                <w:iCs/>
              </w:rPr>
            </w:pPr>
            <w:r>
              <w:rPr>
                <w:rFonts w:ascii="Garamond" w:hAnsi="Garamond"/>
                <w:i w:val="0"/>
                <w:iCs/>
              </w:rPr>
              <w:t>2010</w:t>
            </w:r>
          </w:p>
        </w:tc>
        <w:tc>
          <w:tcPr>
            <w:tcW w:w="439" w:type="dxa"/>
          </w:tcPr>
          <w:p w14:paraId="3BA4292B" w14:textId="304A236C" w:rsidR="000517C7" w:rsidRPr="005D301A" w:rsidRDefault="005D301A" w:rsidP="007447B8">
            <w:pPr>
              <w:pStyle w:val="ImageCaption"/>
              <w:rPr>
                <w:rFonts w:ascii="Garamond" w:hAnsi="Garamond"/>
                <w:i w:val="0"/>
                <w:iCs/>
              </w:rPr>
            </w:pPr>
            <w:r>
              <w:rPr>
                <w:rFonts w:ascii="Garamond" w:hAnsi="Garamond"/>
                <w:i w:val="0"/>
                <w:iCs/>
              </w:rPr>
              <w:t>17</w:t>
            </w:r>
          </w:p>
        </w:tc>
        <w:tc>
          <w:tcPr>
            <w:tcW w:w="5520" w:type="dxa"/>
          </w:tcPr>
          <w:p w14:paraId="23CC3615" w14:textId="1075B270" w:rsidR="000517C7" w:rsidRPr="005D301A" w:rsidRDefault="00822C28" w:rsidP="007447B8">
            <w:pPr>
              <w:pStyle w:val="ImageCaption"/>
              <w:rPr>
                <w:rFonts w:ascii="Garamond" w:hAnsi="Garamond"/>
                <w:i w:val="0"/>
                <w:iCs/>
              </w:rPr>
            </w:pPr>
            <w:r w:rsidRPr="00822C28">
              <w:rPr>
                <w:rFonts w:ascii="Garamond" w:hAnsi="Garamond"/>
                <w:i w:val="0"/>
                <w:iCs/>
              </w:rPr>
              <w:t>We randomly sampled one shrub from 12 lemming sampling grids,</w:t>
            </w:r>
            <w:r w:rsidR="007447B8">
              <w:rPr>
                <w:rFonts w:ascii="Garamond" w:hAnsi="Garamond"/>
                <w:i w:val="0"/>
                <w:iCs/>
              </w:rPr>
              <w:t xml:space="preserve"> </w:t>
            </w:r>
            <w:r w:rsidRPr="00822C28">
              <w:rPr>
                <w:rFonts w:ascii="Garamond" w:hAnsi="Garamond"/>
                <w:i w:val="0"/>
                <w:iCs/>
              </w:rPr>
              <w:t xml:space="preserve">one shrub from four </w:t>
            </w:r>
            <w:proofErr w:type="spellStart"/>
            <w:r w:rsidRPr="00822C28">
              <w:rPr>
                <w:rFonts w:ascii="Garamond" w:hAnsi="Garamond"/>
                <w:i w:val="0"/>
                <w:iCs/>
              </w:rPr>
              <w:t>quardats</w:t>
            </w:r>
            <w:proofErr w:type="spellEnd"/>
            <w:r w:rsidRPr="00822C28">
              <w:rPr>
                <w:rFonts w:ascii="Garamond" w:hAnsi="Garamond"/>
                <w:i w:val="0"/>
                <w:iCs/>
              </w:rPr>
              <w:t xml:space="preserve"> of a predator field </w:t>
            </w:r>
            <w:proofErr w:type="spellStart"/>
            <w:r w:rsidRPr="00822C28">
              <w:rPr>
                <w:rFonts w:ascii="Garamond" w:hAnsi="Garamond"/>
                <w:i w:val="0"/>
                <w:iCs/>
              </w:rPr>
              <w:t>exclosure</w:t>
            </w:r>
            <w:proofErr w:type="spellEnd"/>
            <w:r w:rsidRPr="00822C28">
              <w:rPr>
                <w:rFonts w:ascii="Garamond" w:hAnsi="Garamond"/>
                <w:i w:val="0"/>
                <w:iCs/>
              </w:rPr>
              <w:t>,</w:t>
            </w:r>
            <w:r w:rsidR="007447B8">
              <w:rPr>
                <w:rFonts w:ascii="Garamond" w:hAnsi="Garamond"/>
                <w:i w:val="0"/>
                <w:iCs/>
              </w:rPr>
              <w:t xml:space="preserve"> </w:t>
            </w:r>
            <w:r w:rsidRPr="00822C28">
              <w:rPr>
                <w:rFonts w:ascii="Garamond" w:hAnsi="Garamond"/>
                <w:i w:val="0"/>
                <w:iCs/>
              </w:rPr>
              <w:t>and one shrub from a snap-trap transect.</w:t>
            </w:r>
          </w:p>
        </w:tc>
        <w:tc>
          <w:tcPr>
            <w:tcW w:w="2091" w:type="dxa"/>
          </w:tcPr>
          <w:p w14:paraId="6C4386D6" w14:textId="35A954B4" w:rsidR="000517C7" w:rsidRPr="005D301A" w:rsidRDefault="007447B8" w:rsidP="007447B8">
            <w:pPr>
              <w:pStyle w:val="ImageCaption"/>
              <w:rPr>
                <w:rFonts w:ascii="Garamond" w:hAnsi="Garamond"/>
                <w:i w:val="0"/>
                <w:iCs/>
              </w:rPr>
            </w:pPr>
            <w:r w:rsidRPr="007447B8">
              <w:rPr>
                <w:rFonts w:ascii="Garamond" w:hAnsi="Garamond"/>
                <w:i w:val="0"/>
                <w:iCs/>
              </w:rPr>
              <w:t>Morris et al. 2000;</w:t>
            </w:r>
            <w:r>
              <w:rPr>
                <w:rFonts w:ascii="Garamond" w:hAnsi="Garamond"/>
                <w:i w:val="0"/>
                <w:iCs/>
              </w:rPr>
              <w:t xml:space="preserve"> </w:t>
            </w:r>
            <w:r w:rsidRPr="007447B8">
              <w:rPr>
                <w:rFonts w:ascii="Garamond" w:hAnsi="Garamond"/>
                <w:i w:val="0"/>
                <w:iCs/>
              </w:rPr>
              <w:t>Krebs et al., 2012;</w:t>
            </w:r>
            <w:r>
              <w:rPr>
                <w:rFonts w:ascii="Garamond" w:hAnsi="Garamond"/>
                <w:i w:val="0"/>
                <w:iCs/>
              </w:rPr>
              <w:t xml:space="preserve"> </w:t>
            </w:r>
            <w:proofErr w:type="spellStart"/>
            <w:r w:rsidRPr="007447B8">
              <w:rPr>
                <w:rFonts w:ascii="Garamond" w:hAnsi="Garamond"/>
                <w:i w:val="0"/>
                <w:iCs/>
              </w:rPr>
              <w:t>Dupuch</w:t>
            </w:r>
            <w:proofErr w:type="spellEnd"/>
            <w:r w:rsidRPr="007447B8">
              <w:rPr>
                <w:rFonts w:ascii="Garamond" w:hAnsi="Garamond"/>
                <w:i w:val="0"/>
                <w:iCs/>
              </w:rPr>
              <w:t xml:space="preserve"> et al., 2014</w:t>
            </w:r>
          </w:p>
        </w:tc>
      </w:tr>
      <w:tr w:rsidR="000517C7" w:rsidRPr="005D301A" w14:paraId="0A83490C" w14:textId="77777777" w:rsidTr="007447B8">
        <w:tc>
          <w:tcPr>
            <w:tcW w:w="854" w:type="dxa"/>
          </w:tcPr>
          <w:p w14:paraId="7FA3DD1C" w14:textId="12123C79" w:rsidR="000517C7" w:rsidRPr="005D301A" w:rsidRDefault="005D301A" w:rsidP="007447B8">
            <w:pPr>
              <w:pStyle w:val="ImageCaption"/>
              <w:rPr>
                <w:rFonts w:ascii="Garamond" w:hAnsi="Garamond"/>
                <w:i w:val="0"/>
                <w:iCs/>
              </w:rPr>
            </w:pPr>
            <w:r>
              <w:rPr>
                <w:rFonts w:ascii="Garamond" w:hAnsi="Garamond"/>
                <w:i w:val="0"/>
                <w:iCs/>
              </w:rPr>
              <w:t>June</w:t>
            </w:r>
          </w:p>
        </w:tc>
        <w:tc>
          <w:tcPr>
            <w:tcW w:w="672" w:type="dxa"/>
          </w:tcPr>
          <w:p w14:paraId="4C6671C8" w14:textId="1349852A" w:rsidR="000517C7" w:rsidRPr="005D301A" w:rsidRDefault="005D301A" w:rsidP="007447B8">
            <w:pPr>
              <w:pStyle w:val="ImageCaption"/>
              <w:rPr>
                <w:rFonts w:ascii="Garamond" w:hAnsi="Garamond"/>
                <w:i w:val="0"/>
                <w:iCs/>
              </w:rPr>
            </w:pPr>
            <w:r>
              <w:rPr>
                <w:rFonts w:ascii="Garamond" w:hAnsi="Garamond"/>
                <w:i w:val="0"/>
                <w:iCs/>
              </w:rPr>
              <w:t>2011</w:t>
            </w:r>
          </w:p>
        </w:tc>
        <w:tc>
          <w:tcPr>
            <w:tcW w:w="439" w:type="dxa"/>
          </w:tcPr>
          <w:p w14:paraId="1127F42E" w14:textId="698852A6" w:rsidR="000517C7" w:rsidRPr="005D301A" w:rsidRDefault="005D301A" w:rsidP="007447B8">
            <w:pPr>
              <w:pStyle w:val="ImageCaption"/>
              <w:rPr>
                <w:rFonts w:ascii="Garamond" w:hAnsi="Garamond"/>
                <w:i w:val="0"/>
                <w:iCs/>
              </w:rPr>
            </w:pPr>
            <w:r>
              <w:rPr>
                <w:rFonts w:ascii="Garamond" w:hAnsi="Garamond"/>
                <w:i w:val="0"/>
                <w:iCs/>
              </w:rPr>
              <w:t>41</w:t>
            </w:r>
          </w:p>
        </w:tc>
        <w:tc>
          <w:tcPr>
            <w:tcW w:w="5520" w:type="dxa"/>
          </w:tcPr>
          <w:p w14:paraId="44CF391D" w14:textId="32F0C4D3" w:rsidR="000517C7" w:rsidRPr="005D301A" w:rsidRDefault="00822C28" w:rsidP="007447B8">
            <w:pPr>
              <w:pStyle w:val="ImageCaption"/>
              <w:rPr>
                <w:rFonts w:ascii="Garamond" w:hAnsi="Garamond"/>
                <w:i w:val="0"/>
                <w:iCs/>
              </w:rPr>
            </w:pPr>
            <w:r w:rsidRPr="00822C28">
              <w:rPr>
                <w:rFonts w:ascii="Garamond" w:hAnsi="Garamond"/>
                <w:i w:val="0"/>
                <w:iCs/>
              </w:rPr>
              <w:t>We randomly sampled forty shrubs at four</w:t>
            </w:r>
            <w:r w:rsidR="007447B8">
              <w:rPr>
                <w:rFonts w:ascii="Garamond" w:hAnsi="Garamond"/>
                <w:i w:val="0"/>
                <w:iCs/>
              </w:rPr>
              <w:t xml:space="preserve"> </w:t>
            </w:r>
            <w:r w:rsidRPr="00822C28">
              <w:rPr>
                <w:rFonts w:ascii="Garamond" w:hAnsi="Garamond"/>
                <w:i w:val="0"/>
                <w:iCs/>
              </w:rPr>
              <w:t>random transects (500m long and 100m apart). We added one shrub</w:t>
            </w:r>
            <w:r w:rsidR="007447B8">
              <w:rPr>
                <w:rFonts w:ascii="Garamond" w:hAnsi="Garamond"/>
                <w:i w:val="0"/>
                <w:iCs/>
              </w:rPr>
              <w:t xml:space="preserve"> </w:t>
            </w:r>
            <w:r w:rsidRPr="00822C28">
              <w:rPr>
                <w:rFonts w:ascii="Garamond" w:hAnsi="Garamond"/>
                <w:i w:val="0"/>
                <w:iCs/>
              </w:rPr>
              <w:t>that was much older than the others to extend our chronology.</w:t>
            </w:r>
          </w:p>
        </w:tc>
        <w:tc>
          <w:tcPr>
            <w:tcW w:w="2091" w:type="dxa"/>
          </w:tcPr>
          <w:p w14:paraId="5CCEF469" w14:textId="0E6B5EF9" w:rsidR="000517C7" w:rsidRPr="005D301A" w:rsidRDefault="007447B8" w:rsidP="007447B8">
            <w:pPr>
              <w:pStyle w:val="ImageCaption"/>
              <w:rPr>
                <w:rFonts w:ascii="Garamond" w:hAnsi="Garamond"/>
                <w:i w:val="0"/>
                <w:iCs/>
              </w:rPr>
            </w:pPr>
            <w:r w:rsidRPr="007447B8">
              <w:rPr>
                <w:rFonts w:ascii="Garamond" w:hAnsi="Garamond"/>
                <w:i w:val="0"/>
                <w:iCs/>
              </w:rPr>
              <w:t>No currently</w:t>
            </w:r>
            <w:r>
              <w:rPr>
                <w:rFonts w:ascii="Garamond" w:hAnsi="Garamond"/>
                <w:i w:val="0"/>
                <w:iCs/>
              </w:rPr>
              <w:t xml:space="preserve"> </w:t>
            </w:r>
            <w:r w:rsidRPr="007447B8">
              <w:rPr>
                <w:rFonts w:ascii="Garamond" w:hAnsi="Garamond"/>
                <w:i w:val="0"/>
                <w:iCs/>
              </w:rPr>
              <w:t>published work</w:t>
            </w:r>
          </w:p>
        </w:tc>
      </w:tr>
      <w:tr w:rsidR="000517C7" w:rsidRPr="005D301A" w14:paraId="64F750E6" w14:textId="77777777" w:rsidTr="007447B8">
        <w:tc>
          <w:tcPr>
            <w:tcW w:w="854" w:type="dxa"/>
          </w:tcPr>
          <w:p w14:paraId="69961039" w14:textId="7FC3F3D3" w:rsidR="000517C7" w:rsidRPr="005D301A" w:rsidRDefault="005D301A" w:rsidP="007447B8">
            <w:pPr>
              <w:pStyle w:val="ImageCaption"/>
              <w:rPr>
                <w:rFonts w:ascii="Garamond" w:hAnsi="Garamond"/>
                <w:i w:val="0"/>
                <w:iCs/>
              </w:rPr>
            </w:pPr>
            <w:r>
              <w:rPr>
                <w:rFonts w:ascii="Garamond" w:hAnsi="Garamond"/>
                <w:i w:val="0"/>
                <w:iCs/>
              </w:rPr>
              <w:t>June</w:t>
            </w:r>
          </w:p>
        </w:tc>
        <w:tc>
          <w:tcPr>
            <w:tcW w:w="672" w:type="dxa"/>
          </w:tcPr>
          <w:p w14:paraId="3CF943C2" w14:textId="16DDE67F" w:rsidR="000517C7" w:rsidRPr="005D301A" w:rsidRDefault="005D301A" w:rsidP="007447B8">
            <w:pPr>
              <w:pStyle w:val="ImageCaption"/>
              <w:rPr>
                <w:rFonts w:ascii="Garamond" w:hAnsi="Garamond"/>
                <w:i w:val="0"/>
                <w:iCs/>
              </w:rPr>
            </w:pPr>
            <w:r>
              <w:rPr>
                <w:rFonts w:ascii="Garamond" w:hAnsi="Garamond"/>
                <w:i w:val="0"/>
                <w:iCs/>
              </w:rPr>
              <w:t>2015</w:t>
            </w:r>
          </w:p>
        </w:tc>
        <w:tc>
          <w:tcPr>
            <w:tcW w:w="439" w:type="dxa"/>
          </w:tcPr>
          <w:p w14:paraId="41A93647" w14:textId="0B6F497B" w:rsidR="000517C7" w:rsidRPr="005D301A" w:rsidRDefault="005D301A" w:rsidP="007447B8">
            <w:pPr>
              <w:pStyle w:val="ImageCaption"/>
              <w:rPr>
                <w:rFonts w:ascii="Garamond" w:hAnsi="Garamond"/>
                <w:i w:val="0"/>
                <w:iCs/>
              </w:rPr>
            </w:pPr>
            <w:r>
              <w:rPr>
                <w:rFonts w:ascii="Garamond" w:hAnsi="Garamond"/>
                <w:i w:val="0"/>
                <w:iCs/>
              </w:rPr>
              <w:t>12</w:t>
            </w:r>
          </w:p>
        </w:tc>
        <w:tc>
          <w:tcPr>
            <w:tcW w:w="5520" w:type="dxa"/>
          </w:tcPr>
          <w:p w14:paraId="1394229A" w14:textId="12CE5F19" w:rsidR="000517C7" w:rsidRPr="005D301A" w:rsidRDefault="00822C28" w:rsidP="007447B8">
            <w:pPr>
              <w:pStyle w:val="ImageCaption"/>
              <w:rPr>
                <w:rFonts w:ascii="Garamond" w:hAnsi="Garamond"/>
                <w:i w:val="0"/>
                <w:iCs/>
              </w:rPr>
            </w:pPr>
            <w:r w:rsidRPr="00822C28">
              <w:rPr>
                <w:rFonts w:ascii="Garamond" w:hAnsi="Garamond"/>
                <w:i w:val="0"/>
                <w:iCs/>
              </w:rPr>
              <w:t>We randomly sampled one shrub adjacent to the same 12 lemming sampling</w:t>
            </w:r>
            <w:r w:rsidR="007447B8">
              <w:rPr>
                <w:rFonts w:ascii="Garamond" w:hAnsi="Garamond"/>
                <w:i w:val="0"/>
                <w:iCs/>
              </w:rPr>
              <w:t xml:space="preserve"> </w:t>
            </w:r>
            <w:r w:rsidRPr="00822C28">
              <w:rPr>
                <w:rFonts w:ascii="Garamond" w:hAnsi="Garamond"/>
                <w:i w:val="0"/>
                <w:iCs/>
              </w:rPr>
              <w:t>grids that were sampled in 2010.</w:t>
            </w:r>
          </w:p>
        </w:tc>
        <w:tc>
          <w:tcPr>
            <w:tcW w:w="2091" w:type="dxa"/>
          </w:tcPr>
          <w:p w14:paraId="35003B7F" w14:textId="0B62CF98" w:rsidR="000517C7" w:rsidRPr="005D301A" w:rsidRDefault="007447B8" w:rsidP="007447B8">
            <w:pPr>
              <w:pStyle w:val="ImageCaption"/>
              <w:rPr>
                <w:rFonts w:ascii="Garamond" w:hAnsi="Garamond"/>
                <w:i w:val="0"/>
                <w:iCs/>
              </w:rPr>
            </w:pPr>
            <w:proofErr w:type="spellStart"/>
            <w:r w:rsidRPr="007447B8">
              <w:rPr>
                <w:rFonts w:ascii="Garamond" w:hAnsi="Garamond"/>
                <w:i w:val="0"/>
                <w:iCs/>
              </w:rPr>
              <w:t>Dupuch</w:t>
            </w:r>
            <w:proofErr w:type="spellEnd"/>
            <w:r w:rsidRPr="007447B8">
              <w:rPr>
                <w:rFonts w:ascii="Garamond" w:hAnsi="Garamond"/>
                <w:i w:val="0"/>
                <w:iCs/>
              </w:rPr>
              <w:t xml:space="preserve"> et al., 2014</w:t>
            </w:r>
          </w:p>
        </w:tc>
      </w:tr>
    </w:tbl>
    <w:p w14:paraId="02DD5905" w14:textId="77777777" w:rsidR="000517C7" w:rsidRPr="00E2536E" w:rsidRDefault="000517C7">
      <w:pPr>
        <w:pStyle w:val="ImageCaption"/>
        <w:rPr>
          <w:rFonts w:ascii="Garamond" w:hAnsi="Garamond"/>
          <w:i w:val="0"/>
          <w:iCs/>
          <w:sz w:val="20"/>
          <w:szCs w:val="20"/>
        </w:rPr>
      </w:pPr>
    </w:p>
    <w:p w14:paraId="5CBE443E" w14:textId="62667894" w:rsidR="00270566" w:rsidRPr="003E36D0" w:rsidRDefault="00213E99">
      <w:pPr>
        <w:pStyle w:val="Heading2"/>
        <w:rPr>
          <w:rFonts w:ascii="Garamond" w:hAnsi="Garamond"/>
        </w:rPr>
      </w:pPr>
      <w:bookmarkStart w:id="6" w:name="raw-ring-width-and-area-data"/>
      <w:bookmarkEnd w:id="6"/>
      <w:r w:rsidRPr="003E36D0">
        <w:rPr>
          <w:rFonts w:ascii="Garamond" w:hAnsi="Garamond"/>
        </w:rPr>
        <w:t>Raw ring width and area data</w:t>
      </w:r>
    </w:p>
    <w:p w14:paraId="5CBE443F" w14:textId="77777777" w:rsidR="00270566" w:rsidRPr="003E36D0" w:rsidRDefault="00213E99">
      <w:pPr>
        <w:pStyle w:val="FirstParagraph"/>
        <w:rPr>
          <w:rFonts w:ascii="Garamond" w:hAnsi="Garamond"/>
        </w:rPr>
      </w:pPr>
      <w:r w:rsidRPr="003E36D0">
        <w:rPr>
          <w:rFonts w:ascii="Garamond" w:hAnsi="Garamond"/>
        </w:rPr>
        <w:t>The raw ring width data demonstrate a strong decrease in growth during the first years for most shrubs (Figure 7). This age-dependent growth trend encouraged us to use a ring area method for assessing growth over time. Using the ring area instead of the ring width removed the age-based growth trend in the data and allowed us to analyze growth over time without removing any temporal signal with standardization (Figure 8).</w:t>
      </w:r>
    </w:p>
    <w:p w14:paraId="5CBE4440" w14:textId="77777777" w:rsidR="00270566" w:rsidRPr="003E36D0" w:rsidRDefault="00213E99">
      <w:pPr>
        <w:pStyle w:val="FigurewithCaption"/>
        <w:rPr>
          <w:rFonts w:ascii="Garamond" w:hAnsi="Garamond"/>
        </w:rPr>
      </w:pPr>
      <w:r w:rsidRPr="003E36D0">
        <w:rPr>
          <w:rFonts w:ascii="Garamond" w:hAnsi="Garamond"/>
          <w:noProof/>
        </w:rPr>
        <w:drawing>
          <wp:inline distT="0" distB="0" distL="0" distR="0" wp14:anchorId="5CBE4481" wp14:editId="5CBE4482">
            <wp:extent cx="5334000" cy="5334000"/>
            <wp:effectExtent l="0" t="0" r="0" b="0"/>
            <wp:docPr id="7" name="Picture" descr="Raw ring width data for all the shrubs used in our analysis."/>
            <wp:cNvGraphicFramePr/>
            <a:graphic xmlns:a="http://schemas.openxmlformats.org/drawingml/2006/main">
              <a:graphicData uri="http://schemas.openxmlformats.org/drawingml/2006/picture">
                <pic:pic xmlns:pic="http://schemas.openxmlformats.org/drawingml/2006/picture">
                  <pic:nvPicPr>
                    <pic:cNvPr id="0" name="Picture" descr="supporting_information_files/figure-docx/unnamed-chunk-9-1.png"/>
                    <pic:cNvPicPr>
                      <a:picLocks noChangeAspect="1" noChangeArrowheads="1"/>
                    </pic:cNvPicPr>
                  </pic:nvPicPr>
                  <pic:blipFill>
                    <a:blip r:embed="rId13"/>
                    <a:stretch>
                      <a:fillRect/>
                    </a:stretch>
                  </pic:blipFill>
                  <pic:spPr bwMode="auto">
                    <a:xfrm>
                      <a:off x="0" y="0"/>
                      <a:ext cx="5334000" cy="5334000"/>
                    </a:xfrm>
                    <a:prstGeom prst="rect">
                      <a:avLst/>
                    </a:prstGeom>
                    <a:noFill/>
                    <a:ln w="9525">
                      <a:noFill/>
                      <a:headEnd/>
                      <a:tailEnd/>
                    </a:ln>
                  </pic:spPr>
                </pic:pic>
              </a:graphicData>
            </a:graphic>
          </wp:inline>
        </w:drawing>
      </w:r>
    </w:p>
    <w:p w14:paraId="5CBE4441" w14:textId="221260A3" w:rsidR="00270566" w:rsidRPr="00E2536E" w:rsidRDefault="00E2536E">
      <w:pPr>
        <w:pStyle w:val="ImageCaption"/>
        <w:rPr>
          <w:rFonts w:ascii="Garamond" w:hAnsi="Garamond"/>
          <w:i w:val="0"/>
          <w:iCs/>
          <w:sz w:val="20"/>
          <w:szCs w:val="20"/>
        </w:rPr>
      </w:pPr>
      <w:r>
        <w:rPr>
          <w:rFonts w:ascii="Garamond" w:hAnsi="Garamond"/>
          <w:i w:val="0"/>
          <w:iCs/>
          <w:sz w:val="20"/>
          <w:szCs w:val="20"/>
        </w:rPr>
        <w:t xml:space="preserve">Figure 7: </w:t>
      </w:r>
      <w:r w:rsidR="00213E99" w:rsidRPr="00E2536E">
        <w:rPr>
          <w:rFonts w:ascii="Garamond" w:hAnsi="Garamond"/>
          <w:i w:val="0"/>
          <w:iCs/>
          <w:sz w:val="20"/>
          <w:szCs w:val="20"/>
        </w:rPr>
        <w:t>Raw ring width data for all the shrubs used in our analysis.</w:t>
      </w:r>
    </w:p>
    <w:p w14:paraId="5CBE4442" w14:textId="77777777" w:rsidR="00270566" w:rsidRPr="003E36D0" w:rsidRDefault="00213E99">
      <w:pPr>
        <w:pStyle w:val="FigurewithCaption"/>
        <w:rPr>
          <w:rFonts w:ascii="Garamond" w:hAnsi="Garamond"/>
        </w:rPr>
      </w:pPr>
      <w:r w:rsidRPr="003E36D0">
        <w:rPr>
          <w:rFonts w:ascii="Garamond" w:hAnsi="Garamond"/>
          <w:noProof/>
        </w:rPr>
        <w:lastRenderedPageBreak/>
        <w:drawing>
          <wp:inline distT="0" distB="0" distL="0" distR="0" wp14:anchorId="5CBE4483" wp14:editId="5CBE4484">
            <wp:extent cx="5334000" cy="5334000"/>
            <wp:effectExtent l="0" t="0" r="0" b="0"/>
            <wp:docPr id="8" name="Picture" descr="Raw ring area data for all the shrubs used in our analysis. Notice that ring area removes the strong age-based growth trend present in the raw data."/>
            <wp:cNvGraphicFramePr/>
            <a:graphic xmlns:a="http://schemas.openxmlformats.org/drawingml/2006/main">
              <a:graphicData uri="http://schemas.openxmlformats.org/drawingml/2006/picture">
                <pic:pic xmlns:pic="http://schemas.openxmlformats.org/drawingml/2006/picture">
                  <pic:nvPicPr>
                    <pic:cNvPr id="0" name="Picture" descr="supporting_information_files/figure-docx/unnamed-chunk-10-1.png"/>
                    <pic:cNvPicPr>
                      <a:picLocks noChangeAspect="1" noChangeArrowheads="1"/>
                    </pic:cNvPicPr>
                  </pic:nvPicPr>
                  <pic:blipFill>
                    <a:blip r:embed="rId14"/>
                    <a:stretch>
                      <a:fillRect/>
                    </a:stretch>
                  </pic:blipFill>
                  <pic:spPr bwMode="auto">
                    <a:xfrm>
                      <a:off x="0" y="0"/>
                      <a:ext cx="5334000" cy="5334000"/>
                    </a:xfrm>
                    <a:prstGeom prst="rect">
                      <a:avLst/>
                    </a:prstGeom>
                    <a:noFill/>
                    <a:ln w="9525">
                      <a:noFill/>
                      <a:headEnd/>
                      <a:tailEnd/>
                    </a:ln>
                  </pic:spPr>
                </pic:pic>
              </a:graphicData>
            </a:graphic>
          </wp:inline>
        </w:drawing>
      </w:r>
    </w:p>
    <w:p w14:paraId="5CBE4443" w14:textId="67614ABF" w:rsidR="00270566" w:rsidRPr="003E5078" w:rsidRDefault="003E5078">
      <w:pPr>
        <w:pStyle w:val="ImageCaption"/>
        <w:rPr>
          <w:rFonts w:ascii="Garamond" w:hAnsi="Garamond"/>
          <w:i w:val="0"/>
          <w:iCs/>
          <w:sz w:val="20"/>
          <w:szCs w:val="20"/>
        </w:rPr>
      </w:pPr>
      <w:r>
        <w:rPr>
          <w:rFonts w:ascii="Garamond" w:hAnsi="Garamond"/>
          <w:i w:val="0"/>
          <w:iCs/>
          <w:sz w:val="20"/>
          <w:szCs w:val="20"/>
        </w:rPr>
        <w:t xml:space="preserve">Figure 8: </w:t>
      </w:r>
      <w:r w:rsidR="00213E99" w:rsidRPr="003E5078">
        <w:rPr>
          <w:rFonts w:ascii="Garamond" w:hAnsi="Garamond"/>
          <w:i w:val="0"/>
          <w:iCs/>
          <w:sz w:val="20"/>
          <w:szCs w:val="20"/>
        </w:rPr>
        <w:t>Raw ring area data for all the shrubs used in our analysis. Notice that ring area removes the strong age-based growth trend present in the raw data.</w:t>
      </w:r>
    </w:p>
    <w:p w14:paraId="5CBE4444" w14:textId="77777777" w:rsidR="00270566" w:rsidRPr="003E36D0" w:rsidRDefault="00213E99">
      <w:pPr>
        <w:pStyle w:val="Heading2"/>
        <w:rPr>
          <w:rFonts w:ascii="Garamond" w:hAnsi="Garamond"/>
        </w:rPr>
      </w:pPr>
      <w:bookmarkStart w:id="7" w:name="significant-response-functions-1996-to-2"/>
      <w:bookmarkEnd w:id="7"/>
      <w:r w:rsidRPr="003E36D0">
        <w:rPr>
          <w:rFonts w:ascii="Garamond" w:hAnsi="Garamond"/>
        </w:rPr>
        <w:t>Significant response functions 1996 to 2010</w:t>
      </w:r>
    </w:p>
    <w:p w14:paraId="5CBE4445" w14:textId="77777777" w:rsidR="00270566" w:rsidRPr="003E36D0" w:rsidRDefault="00213E99">
      <w:pPr>
        <w:pStyle w:val="FirstParagraph"/>
        <w:rPr>
          <w:rFonts w:ascii="Garamond" w:hAnsi="Garamond"/>
        </w:rPr>
      </w:pPr>
      <w:r w:rsidRPr="003E36D0">
        <w:rPr>
          <w:rFonts w:ascii="Garamond" w:hAnsi="Garamond"/>
        </w:rPr>
        <w:t xml:space="preserve">The response function analysis conducted with data from 1996 to 2010 produced significant coefficients for May, July, and August total </w:t>
      </w:r>
      <w:proofErr w:type="spellStart"/>
      <w:r w:rsidRPr="003E36D0">
        <w:rPr>
          <w:rFonts w:ascii="Garamond" w:hAnsi="Garamond"/>
        </w:rPr>
        <w:t>precipitaiton</w:t>
      </w:r>
      <w:proofErr w:type="spellEnd"/>
      <w:r w:rsidRPr="003E36D0">
        <w:rPr>
          <w:rFonts w:ascii="Garamond" w:hAnsi="Garamond"/>
        </w:rPr>
        <w:t>. The univariate relationship was strongest and negative for July precipitation during this period (Figure 9).</w:t>
      </w:r>
    </w:p>
    <w:p w14:paraId="5CBE4446" w14:textId="77777777" w:rsidR="00270566" w:rsidRPr="003E36D0" w:rsidRDefault="00213E99">
      <w:pPr>
        <w:pStyle w:val="FigurewithCaption"/>
        <w:rPr>
          <w:rFonts w:ascii="Garamond" w:hAnsi="Garamond"/>
        </w:rPr>
      </w:pPr>
      <w:r w:rsidRPr="003E36D0">
        <w:rPr>
          <w:rFonts w:ascii="Garamond" w:hAnsi="Garamond"/>
          <w:noProof/>
        </w:rPr>
        <w:lastRenderedPageBreak/>
        <w:drawing>
          <wp:inline distT="0" distB="0" distL="0" distR="0" wp14:anchorId="5CBE4485" wp14:editId="5CBE4486">
            <wp:extent cx="5334000" cy="5334000"/>
            <wp:effectExtent l="0" t="0" r="0" b="0"/>
            <wp:docPr id="9" name="Picture" descr="The relationship between the ring width index (RWI) and May, July, and August total precipitation of the growing year from 1996 to 2010. These three monthly precipitation variables were significant in a response function analysis."/>
            <wp:cNvGraphicFramePr/>
            <a:graphic xmlns:a="http://schemas.openxmlformats.org/drawingml/2006/main">
              <a:graphicData uri="http://schemas.openxmlformats.org/drawingml/2006/picture">
                <pic:pic xmlns:pic="http://schemas.openxmlformats.org/drawingml/2006/picture">
                  <pic:nvPicPr>
                    <pic:cNvPr id="0" name="Picture" descr="supporting_information_files/figure-docx/unnamed-chunk-11-1.png"/>
                    <pic:cNvPicPr>
                      <a:picLocks noChangeAspect="1" noChangeArrowheads="1"/>
                    </pic:cNvPicPr>
                  </pic:nvPicPr>
                  <pic:blipFill>
                    <a:blip r:embed="rId15"/>
                    <a:stretch>
                      <a:fillRect/>
                    </a:stretch>
                  </pic:blipFill>
                  <pic:spPr bwMode="auto">
                    <a:xfrm>
                      <a:off x="0" y="0"/>
                      <a:ext cx="5334000" cy="5334000"/>
                    </a:xfrm>
                    <a:prstGeom prst="rect">
                      <a:avLst/>
                    </a:prstGeom>
                    <a:noFill/>
                    <a:ln w="9525">
                      <a:noFill/>
                      <a:headEnd/>
                      <a:tailEnd/>
                    </a:ln>
                  </pic:spPr>
                </pic:pic>
              </a:graphicData>
            </a:graphic>
          </wp:inline>
        </w:drawing>
      </w:r>
    </w:p>
    <w:p w14:paraId="5CBE4447" w14:textId="0705C02C" w:rsidR="00270566" w:rsidRPr="003E5078" w:rsidRDefault="003E5078">
      <w:pPr>
        <w:pStyle w:val="ImageCaption"/>
        <w:rPr>
          <w:rFonts w:ascii="Garamond" w:hAnsi="Garamond"/>
          <w:i w:val="0"/>
          <w:iCs/>
          <w:sz w:val="20"/>
          <w:szCs w:val="20"/>
        </w:rPr>
      </w:pPr>
      <w:r>
        <w:rPr>
          <w:rFonts w:ascii="Garamond" w:hAnsi="Garamond"/>
          <w:i w:val="0"/>
          <w:iCs/>
          <w:sz w:val="20"/>
          <w:szCs w:val="20"/>
        </w:rPr>
        <w:t xml:space="preserve">Figure 9: </w:t>
      </w:r>
      <w:r w:rsidR="00213E99" w:rsidRPr="003E5078">
        <w:rPr>
          <w:rFonts w:ascii="Garamond" w:hAnsi="Garamond"/>
          <w:i w:val="0"/>
          <w:iCs/>
          <w:sz w:val="20"/>
          <w:szCs w:val="20"/>
        </w:rPr>
        <w:t xml:space="preserve">The relationship between the ring width index (RWI) and May, July, and August total precipitation of the growing year from 1996 to 2010. These </w:t>
      </w:r>
      <w:proofErr w:type="gramStart"/>
      <w:r w:rsidR="00213E99" w:rsidRPr="003E5078">
        <w:rPr>
          <w:rFonts w:ascii="Garamond" w:hAnsi="Garamond"/>
          <w:i w:val="0"/>
          <w:iCs/>
          <w:sz w:val="20"/>
          <w:szCs w:val="20"/>
        </w:rPr>
        <w:t>three monthly</w:t>
      </w:r>
      <w:proofErr w:type="gramEnd"/>
      <w:r w:rsidR="00213E99" w:rsidRPr="003E5078">
        <w:rPr>
          <w:rFonts w:ascii="Garamond" w:hAnsi="Garamond"/>
          <w:i w:val="0"/>
          <w:iCs/>
          <w:sz w:val="20"/>
          <w:szCs w:val="20"/>
        </w:rPr>
        <w:t xml:space="preserve"> precipitation variables were significant in a response function analysis.</w:t>
      </w:r>
    </w:p>
    <w:p w14:paraId="5CBE4448" w14:textId="77777777" w:rsidR="00270566" w:rsidRPr="003E36D0" w:rsidRDefault="00270566">
      <w:pPr>
        <w:pStyle w:val="BodyText"/>
        <w:rPr>
          <w:rFonts w:ascii="Garamond" w:hAnsi="Garamond"/>
        </w:rPr>
      </w:pPr>
    </w:p>
    <w:p w14:paraId="5CBE4449" w14:textId="77777777" w:rsidR="00270566" w:rsidRPr="003E36D0" w:rsidRDefault="00213E99">
      <w:pPr>
        <w:pStyle w:val="Heading2"/>
        <w:rPr>
          <w:rFonts w:ascii="Garamond" w:hAnsi="Garamond"/>
        </w:rPr>
      </w:pPr>
      <w:bookmarkStart w:id="8" w:name="shrub-cover-estimates"/>
      <w:bookmarkEnd w:id="8"/>
      <w:r w:rsidRPr="003E36D0">
        <w:rPr>
          <w:rFonts w:ascii="Garamond" w:hAnsi="Garamond"/>
        </w:rPr>
        <w:t>Shrub cover estimates</w:t>
      </w:r>
    </w:p>
    <w:p w14:paraId="5CBE444A" w14:textId="77777777" w:rsidR="00270566" w:rsidRPr="003E36D0" w:rsidRDefault="00213E99">
      <w:pPr>
        <w:pStyle w:val="FirstParagraph"/>
        <w:rPr>
          <w:rFonts w:ascii="Garamond" w:hAnsi="Garamond"/>
        </w:rPr>
      </w:pPr>
      <w:r w:rsidRPr="003E36D0">
        <w:rPr>
          <w:rFonts w:ascii="Garamond" w:hAnsi="Garamond"/>
        </w:rPr>
        <w:t>We have estimates of short and tall shrub cover from Walker Bay in 1996 and 2010. For tall shrubs (over 25cm tall) the data produce a contingency table (Table 2) which shows no significant change in tall shrub cover (</w:t>
      </w:r>
      <w:r w:rsidRPr="003E36D0">
        <w:rPr>
          <w:rFonts w:ascii="Garamond" w:hAnsi="Garamond"/>
          <w:i/>
        </w:rPr>
        <w:t>p</w:t>
      </w:r>
      <w:r w:rsidRPr="003E36D0">
        <w:rPr>
          <w:rFonts w:ascii="Garamond" w:hAnsi="Garamond"/>
        </w:rPr>
        <w:t xml:space="preserve"> = 0.41). There was no change in the number of transects with shrubs (Table 3; </w:t>
      </w:r>
      <w:r w:rsidRPr="003E36D0">
        <w:rPr>
          <w:rFonts w:ascii="Garamond" w:hAnsi="Garamond"/>
          <w:i/>
        </w:rPr>
        <w:t>p</w:t>
      </w:r>
      <w:r w:rsidRPr="003E36D0">
        <w:rPr>
          <w:rFonts w:ascii="Garamond" w:hAnsi="Garamond"/>
        </w:rPr>
        <w:t xml:space="preserve"> = 0.14).</w:t>
      </w:r>
    </w:p>
    <w:p w14:paraId="5CBE444B" w14:textId="77777777" w:rsidR="00270566" w:rsidRPr="003E36D0" w:rsidRDefault="00213E99">
      <w:pPr>
        <w:pStyle w:val="BodyText"/>
        <w:rPr>
          <w:rFonts w:ascii="Garamond" w:hAnsi="Garamond"/>
        </w:rPr>
      </w:pPr>
      <w:r w:rsidRPr="003E36D0">
        <w:rPr>
          <w:rFonts w:ascii="Garamond" w:hAnsi="Garamond"/>
        </w:rPr>
        <w:t>For short shrubs the data produce a contingency table (Table 4) which shows no significant change in short shrub cover (</w:t>
      </w:r>
      <w:r w:rsidRPr="003E36D0">
        <w:rPr>
          <w:rFonts w:ascii="Garamond" w:hAnsi="Garamond"/>
          <w:i/>
        </w:rPr>
        <w:t>p</w:t>
      </w:r>
      <w:r w:rsidRPr="003E36D0">
        <w:rPr>
          <w:rFonts w:ascii="Garamond" w:hAnsi="Garamond"/>
        </w:rPr>
        <w:t xml:space="preserve"> = 0.22). Significantly fewer transects had short </w:t>
      </w:r>
      <w:proofErr w:type="spellStart"/>
      <w:r w:rsidRPr="003E36D0">
        <w:rPr>
          <w:rFonts w:ascii="Garamond" w:hAnsi="Garamond"/>
        </w:rPr>
        <w:t>shurbs</w:t>
      </w:r>
      <w:proofErr w:type="spellEnd"/>
      <w:r w:rsidRPr="003E36D0">
        <w:rPr>
          <w:rFonts w:ascii="Garamond" w:hAnsi="Garamond"/>
        </w:rPr>
        <w:t xml:space="preserve"> in 2010 than 1996 (Table 5; </w:t>
      </w:r>
      <w:r w:rsidRPr="003E36D0">
        <w:rPr>
          <w:rFonts w:ascii="Garamond" w:hAnsi="Garamond"/>
          <w:i/>
        </w:rPr>
        <w:t>p</w:t>
      </w:r>
      <w:r w:rsidRPr="003E36D0">
        <w:rPr>
          <w:rFonts w:ascii="Garamond" w:hAnsi="Garamond"/>
        </w:rPr>
        <w:t xml:space="preserve"> = 0.01).</w:t>
      </w:r>
    </w:p>
    <w:p w14:paraId="5CBE444C" w14:textId="79ED84EB" w:rsidR="00270566" w:rsidRPr="003E36D0" w:rsidRDefault="00133BF1">
      <w:pPr>
        <w:pStyle w:val="Compact"/>
        <w:rPr>
          <w:rFonts w:ascii="Garamond" w:hAnsi="Garamond"/>
        </w:rPr>
      </w:pPr>
      <w:r>
        <w:rPr>
          <w:rFonts w:ascii="Garamond" w:hAnsi="Garamond"/>
        </w:rPr>
        <w:lastRenderedPageBreak/>
        <w:t xml:space="preserve">Table 2: </w:t>
      </w:r>
      <w:r w:rsidR="00213E99" w:rsidRPr="003E36D0">
        <w:rPr>
          <w:rFonts w:ascii="Garamond" w:hAnsi="Garamond"/>
        </w:rPr>
        <w:t>Tall shrub abundance for two years at 3000 points</w:t>
      </w:r>
      <w:r w:rsidR="00AF6E70">
        <w:rPr>
          <w:rFonts w:ascii="Garamond" w:hAnsi="Garamond"/>
        </w:rPr>
        <w:t>.</w:t>
      </w:r>
    </w:p>
    <w:tbl>
      <w:tblPr>
        <w:tblStyle w:val="TableGrid"/>
        <w:tblW w:w="0" w:type="auto"/>
        <w:tblLook w:val="04A0" w:firstRow="1" w:lastRow="0" w:firstColumn="1" w:lastColumn="0" w:noHBand="0" w:noVBand="1"/>
      </w:tblPr>
      <w:tblGrid>
        <w:gridCol w:w="1101"/>
        <w:gridCol w:w="850"/>
        <w:gridCol w:w="851"/>
      </w:tblGrid>
      <w:tr w:rsidR="00887BA0" w14:paraId="6E2CDD1A" w14:textId="77777777" w:rsidTr="003C1BBB">
        <w:tc>
          <w:tcPr>
            <w:tcW w:w="1101" w:type="dxa"/>
          </w:tcPr>
          <w:p w14:paraId="78453C97" w14:textId="43228E0D" w:rsidR="00887BA0" w:rsidRDefault="003C1BBB">
            <w:pPr>
              <w:pStyle w:val="Compact"/>
              <w:rPr>
                <w:rFonts w:ascii="Garamond" w:hAnsi="Garamond"/>
              </w:rPr>
            </w:pPr>
            <w:r>
              <w:rPr>
                <w:rFonts w:ascii="Garamond" w:hAnsi="Garamond"/>
              </w:rPr>
              <w:t>Year</w:t>
            </w:r>
          </w:p>
        </w:tc>
        <w:tc>
          <w:tcPr>
            <w:tcW w:w="850" w:type="dxa"/>
          </w:tcPr>
          <w:p w14:paraId="133256BB" w14:textId="22DD2A32" w:rsidR="00887BA0" w:rsidRDefault="00887BA0">
            <w:pPr>
              <w:pStyle w:val="Compact"/>
              <w:rPr>
                <w:rFonts w:ascii="Garamond" w:hAnsi="Garamond"/>
              </w:rPr>
            </w:pPr>
            <w:r>
              <w:rPr>
                <w:rFonts w:ascii="Garamond" w:hAnsi="Garamond"/>
              </w:rPr>
              <w:t>1996</w:t>
            </w:r>
          </w:p>
        </w:tc>
        <w:tc>
          <w:tcPr>
            <w:tcW w:w="851" w:type="dxa"/>
          </w:tcPr>
          <w:p w14:paraId="0D3610BD" w14:textId="461B8B2B" w:rsidR="00887BA0" w:rsidRDefault="00887BA0">
            <w:pPr>
              <w:pStyle w:val="Compact"/>
              <w:rPr>
                <w:rFonts w:ascii="Garamond" w:hAnsi="Garamond"/>
              </w:rPr>
            </w:pPr>
            <w:r>
              <w:rPr>
                <w:rFonts w:ascii="Garamond" w:hAnsi="Garamond"/>
              </w:rPr>
              <w:t>2010</w:t>
            </w:r>
          </w:p>
        </w:tc>
      </w:tr>
      <w:tr w:rsidR="00887BA0" w14:paraId="11ABDDA2" w14:textId="77777777" w:rsidTr="003C1BBB">
        <w:tc>
          <w:tcPr>
            <w:tcW w:w="1101" w:type="dxa"/>
          </w:tcPr>
          <w:p w14:paraId="4A2B225C" w14:textId="4BBAA75B" w:rsidR="00887BA0" w:rsidRDefault="00887BA0">
            <w:pPr>
              <w:pStyle w:val="Compact"/>
              <w:rPr>
                <w:rFonts w:ascii="Garamond" w:hAnsi="Garamond"/>
              </w:rPr>
            </w:pPr>
            <w:r>
              <w:rPr>
                <w:rFonts w:ascii="Garamond" w:hAnsi="Garamond"/>
              </w:rPr>
              <w:t>Shrub</w:t>
            </w:r>
          </w:p>
        </w:tc>
        <w:tc>
          <w:tcPr>
            <w:tcW w:w="850" w:type="dxa"/>
          </w:tcPr>
          <w:p w14:paraId="73D1FD42" w14:textId="644C6380" w:rsidR="00887BA0" w:rsidRDefault="003C1BBB">
            <w:pPr>
              <w:pStyle w:val="Compact"/>
              <w:rPr>
                <w:rFonts w:ascii="Garamond" w:hAnsi="Garamond"/>
              </w:rPr>
            </w:pPr>
            <w:r>
              <w:rPr>
                <w:rFonts w:ascii="Garamond" w:hAnsi="Garamond"/>
              </w:rPr>
              <w:t>115</w:t>
            </w:r>
          </w:p>
        </w:tc>
        <w:tc>
          <w:tcPr>
            <w:tcW w:w="851" w:type="dxa"/>
          </w:tcPr>
          <w:p w14:paraId="59EDC503" w14:textId="08C61A7F" w:rsidR="00887BA0" w:rsidRDefault="003C1BBB">
            <w:pPr>
              <w:pStyle w:val="Compact"/>
              <w:rPr>
                <w:rFonts w:ascii="Garamond" w:hAnsi="Garamond"/>
              </w:rPr>
            </w:pPr>
            <w:r>
              <w:rPr>
                <w:rFonts w:ascii="Garamond" w:hAnsi="Garamond"/>
              </w:rPr>
              <w:t>2885</w:t>
            </w:r>
          </w:p>
        </w:tc>
      </w:tr>
      <w:tr w:rsidR="00887BA0" w14:paraId="1E2BE287" w14:textId="77777777" w:rsidTr="003C1BBB">
        <w:tc>
          <w:tcPr>
            <w:tcW w:w="1101" w:type="dxa"/>
          </w:tcPr>
          <w:p w14:paraId="096245A7" w14:textId="4075FE64" w:rsidR="00887BA0" w:rsidRDefault="00887BA0">
            <w:pPr>
              <w:pStyle w:val="Compact"/>
              <w:rPr>
                <w:rFonts w:ascii="Garamond" w:hAnsi="Garamond"/>
              </w:rPr>
            </w:pPr>
            <w:r>
              <w:rPr>
                <w:rFonts w:ascii="Garamond" w:hAnsi="Garamond"/>
              </w:rPr>
              <w:t>None</w:t>
            </w:r>
          </w:p>
        </w:tc>
        <w:tc>
          <w:tcPr>
            <w:tcW w:w="850" w:type="dxa"/>
          </w:tcPr>
          <w:p w14:paraId="1A16DB2E" w14:textId="4B021412" w:rsidR="00887BA0" w:rsidRDefault="003C1BBB">
            <w:pPr>
              <w:pStyle w:val="Compact"/>
              <w:rPr>
                <w:rFonts w:ascii="Garamond" w:hAnsi="Garamond"/>
              </w:rPr>
            </w:pPr>
            <w:r>
              <w:rPr>
                <w:rFonts w:ascii="Garamond" w:hAnsi="Garamond"/>
              </w:rPr>
              <w:t>102</w:t>
            </w:r>
          </w:p>
        </w:tc>
        <w:tc>
          <w:tcPr>
            <w:tcW w:w="851" w:type="dxa"/>
          </w:tcPr>
          <w:p w14:paraId="79E3406F" w14:textId="361D6349" w:rsidR="00887BA0" w:rsidRDefault="003C1BBB">
            <w:pPr>
              <w:pStyle w:val="Compact"/>
              <w:rPr>
                <w:rFonts w:ascii="Garamond" w:hAnsi="Garamond"/>
              </w:rPr>
            </w:pPr>
            <w:r>
              <w:rPr>
                <w:rFonts w:ascii="Garamond" w:hAnsi="Garamond"/>
              </w:rPr>
              <w:t>2898</w:t>
            </w:r>
          </w:p>
        </w:tc>
      </w:tr>
    </w:tbl>
    <w:p w14:paraId="642B5A4F" w14:textId="77777777" w:rsidR="00133BF1" w:rsidRDefault="00133BF1">
      <w:pPr>
        <w:pStyle w:val="Compact"/>
        <w:rPr>
          <w:rFonts w:ascii="Garamond" w:hAnsi="Garamond"/>
        </w:rPr>
      </w:pPr>
    </w:p>
    <w:p w14:paraId="5CBE4455" w14:textId="281116BF" w:rsidR="00270566" w:rsidRDefault="00133BF1">
      <w:pPr>
        <w:pStyle w:val="Compact"/>
        <w:rPr>
          <w:rFonts w:ascii="Garamond" w:hAnsi="Garamond"/>
        </w:rPr>
      </w:pPr>
      <w:r>
        <w:rPr>
          <w:rFonts w:ascii="Garamond" w:hAnsi="Garamond"/>
        </w:rPr>
        <w:t xml:space="preserve">Table 3: </w:t>
      </w:r>
      <w:r w:rsidR="00213E99" w:rsidRPr="003E36D0">
        <w:rPr>
          <w:rFonts w:ascii="Garamond" w:hAnsi="Garamond"/>
        </w:rPr>
        <w:t>Tall shrub abundance for two years on 300 transects</w:t>
      </w:r>
      <w:r w:rsidR="00AF6E70">
        <w:rPr>
          <w:rFonts w:ascii="Garamond" w:hAnsi="Garamond"/>
        </w:rPr>
        <w:t>.</w:t>
      </w:r>
    </w:p>
    <w:tbl>
      <w:tblPr>
        <w:tblStyle w:val="TableGrid"/>
        <w:tblW w:w="0" w:type="auto"/>
        <w:tblLook w:val="04A0" w:firstRow="1" w:lastRow="0" w:firstColumn="1" w:lastColumn="0" w:noHBand="0" w:noVBand="1"/>
      </w:tblPr>
      <w:tblGrid>
        <w:gridCol w:w="1101"/>
        <w:gridCol w:w="850"/>
        <w:gridCol w:w="851"/>
      </w:tblGrid>
      <w:tr w:rsidR="003C1BBB" w14:paraId="77EB9D7E" w14:textId="77777777" w:rsidTr="0031414F">
        <w:tc>
          <w:tcPr>
            <w:tcW w:w="1101" w:type="dxa"/>
          </w:tcPr>
          <w:p w14:paraId="405F5DFE" w14:textId="77777777" w:rsidR="003C1BBB" w:rsidRDefault="003C1BBB" w:rsidP="0031414F">
            <w:pPr>
              <w:pStyle w:val="Compact"/>
              <w:rPr>
                <w:rFonts w:ascii="Garamond" w:hAnsi="Garamond"/>
              </w:rPr>
            </w:pPr>
            <w:r>
              <w:rPr>
                <w:rFonts w:ascii="Garamond" w:hAnsi="Garamond"/>
              </w:rPr>
              <w:t>Year</w:t>
            </w:r>
          </w:p>
        </w:tc>
        <w:tc>
          <w:tcPr>
            <w:tcW w:w="850" w:type="dxa"/>
          </w:tcPr>
          <w:p w14:paraId="25A5A840" w14:textId="77777777" w:rsidR="003C1BBB" w:rsidRDefault="003C1BBB" w:rsidP="0031414F">
            <w:pPr>
              <w:pStyle w:val="Compact"/>
              <w:rPr>
                <w:rFonts w:ascii="Garamond" w:hAnsi="Garamond"/>
              </w:rPr>
            </w:pPr>
            <w:r>
              <w:rPr>
                <w:rFonts w:ascii="Garamond" w:hAnsi="Garamond"/>
              </w:rPr>
              <w:t>1996</w:t>
            </w:r>
          </w:p>
        </w:tc>
        <w:tc>
          <w:tcPr>
            <w:tcW w:w="851" w:type="dxa"/>
          </w:tcPr>
          <w:p w14:paraId="5F3463F5" w14:textId="77777777" w:rsidR="003C1BBB" w:rsidRDefault="003C1BBB" w:rsidP="0031414F">
            <w:pPr>
              <w:pStyle w:val="Compact"/>
              <w:rPr>
                <w:rFonts w:ascii="Garamond" w:hAnsi="Garamond"/>
              </w:rPr>
            </w:pPr>
            <w:r>
              <w:rPr>
                <w:rFonts w:ascii="Garamond" w:hAnsi="Garamond"/>
              </w:rPr>
              <w:t>2010</w:t>
            </w:r>
          </w:p>
        </w:tc>
      </w:tr>
      <w:tr w:rsidR="003C1BBB" w14:paraId="5C1FA9B8" w14:textId="77777777" w:rsidTr="0031414F">
        <w:tc>
          <w:tcPr>
            <w:tcW w:w="1101" w:type="dxa"/>
          </w:tcPr>
          <w:p w14:paraId="2505F5C4" w14:textId="77777777" w:rsidR="003C1BBB" w:rsidRDefault="003C1BBB" w:rsidP="0031414F">
            <w:pPr>
              <w:pStyle w:val="Compact"/>
              <w:rPr>
                <w:rFonts w:ascii="Garamond" w:hAnsi="Garamond"/>
              </w:rPr>
            </w:pPr>
            <w:r>
              <w:rPr>
                <w:rFonts w:ascii="Garamond" w:hAnsi="Garamond"/>
              </w:rPr>
              <w:t>Shrub</w:t>
            </w:r>
          </w:p>
        </w:tc>
        <w:tc>
          <w:tcPr>
            <w:tcW w:w="850" w:type="dxa"/>
          </w:tcPr>
          <w:p w14:paraId="70B237F1" w14:textId="12632B73" w:rsidR="003C1BBB" w:rsidRDefault="003C1BBB" w:rsidP="0031414F">
            <w:pPr>
              <w:pStyle w:val="Compact"/>
              <w:rPr>
                <w:rFonts w:ascii="Garamond" w:hAnsi="Garamond"/>
              </w:rPr>
            </w:pPr>
            <w:r>
              <w:rPr>
                <w:rFonts w:ascii="Garamond" w:hAnsi="Garamond"/>
              </w:rPr>
              <w:t>61</w:t>
            </w:r>
          </w:p>
        </w:tc>
        <w:tc>
          <w:tcPr>
            <w:tcW w:w="851" w:type="dxa"/>
          </w:tcPr>
          <w:p w14:paraId="00190D4B" w14:textId="1D2FFFD3" w:rsidR="003C1BBB" w:rsidRDefault="00AF6E70" w:rsidP="0031414F">
            <w:pPr>
              <w:pStyle w:val="Compact"/>
              <w:rPr>
                <w:rFonts w:ascii="Garamond" w:hAnsi="Garamond"/>
              </w:rPr>
            </w:pPr>
            <w:r>
              <w:rPr>
                <w:rFonts w:ascii="Garamond" w:hAnsi="Garamond"/>
              </w:rPr>
              <w:t>239</w:t>
            </w:r>
          </w:p>
        </w:tc>
      </w:tr>
      <w:tr w:rsidR="003C1BBB" w14:paraId="652695D5" w14:textId="77777777" w:rsidTr="0031414F">
        <w:tc>
          <w:tcPr>
            <w:tcW w:w="1101" w:type="dxa"/>
          </w:tcPr>
          <w:p w14:paraId="45BEEFE1" w14:textId="77777777" w:rsidR="003C1BBB" w:rsidRDefault="003C1BBB" w:rsidP="0031414F">
            <w:pPr>
              <w:pStyle w:val="Compact"/>
              <w:rPr>
                <w:rFonts w:ascii="Garamond" w:hAnsi="Garamond"/>
              </w:rPr>
            </w:pPr>
            <w:r>
              <w:rPr>
                <w:rFonts w:ascii="Garamond" w:hAnsi="Garamond"/>
              </w:rPr>
              <w:t>None</w:t>
            </w:r>
          </w:p>
        </w:tc>
        <w:tc>
          <w:tcPr>
            <w:tcW w:w="850" w:type="dxa"/>
          </w:tcPr>
          <w:p w14:paraId="490571C4" w14:textId="2597C032" w:rsidR="003C1BBB" w:rsidRDefault="00AF6E70" w:rsidP="0031414F">
            <w:pPr>
              <w:pStyle w:val="Compact"/>
              <w:rPr>
                <w:rFonts w:ascii="Garamond" w:hAnsi="Garamond"/>
              </w:rPr>
            </w:pPr>
            <w:r>
              <w:rPr>
                <w:rFonts w:ascii="Garamond" w:hAnsi="Garamond"/>
              </w:rPr>
              <w:t>46</w:t>
            </w:r>
          </w:p>
        </w:tc>
        <w:tc>
          <w:tcPr>
            <w:tcW w:w="851" w:type="dxa"/>
          </w:tcPr>
          <w:p w14:paraId="70EA3CAC" w14:textId="330F4EF5" w:rsidR="003C1BBB" w:rsidRDefault="00AF6E70" w:rsidP="0031414F">
            <w:pPr>
              <w:pStyle w:val="Compact"/>
              <w:rPr>
                <w:rFonts w:ascii="Garamond" w:hAnsi="Garamond"/>
              </w:rPr>
            </w:pPr>
            <w:r>
              <w:rPr>
                <w:rFonts w:ascii="Garamond" w:hAnsi="Garamond"/>
              </w:rPr>
              <w:t>254</w:t>
            </w:r>
          </w:p>
        </w:tc>
      </w:tr>
    </w:tbl>
    <w:p w14:paraId="4D6F42B8" w14:textId="77777777" w:rsidR="003C1BBB" w:rsidRPr="003E36D0" w:rsidRDefault="003C1BBB">
      <w:pPr>
        <w:pStyle w:val="Compact"/>
        <w:rPr>
          <w:rFonts w:ascii="Garamond" w:hAnsi="Garamond"/>
        </w:rPr>
      </w:pPr>
    </w:p>
    <w:p w14:paraId="5CBE445E" w14:textId="32A25C1A" w:rsidR="00270566" w:rsidRDefault="00133BF1">
      <w:pPr>
        <w:pStyle w:val="Compact"/>
        <w:rPr>
          <w:rFonts w:ascii="Garamond" w:hAnsi="Garamond"/>
        </w:rPr>
      </w:pPr>
      <w:r>
        <w:rPr>
          <w:rFonts w:ascii="Garamond" w:hAnsi="Garamond"/>
        </w:rPr>
        <w:t xml:space="preserve">Table 4: </w:t>
      </w:r>
      <w:r w:rsidR="00213E99" w:rsidRPr="003E36D0">
        <w:rPr>
          <w:rFonts w:ascii="Garamond" w:hAnsi="Garamond"/>
        </w:rPr>
        <w:t>Short shrub abundance for two years at 3000 points</w:t>
      </w:r>
      <w:r w:rsidR="00AF6E70">
        <w:rPr>
          <w:rFonts w:ascii="Garamond" w:hAnsi="Garamond"/>
        </w:rPr>
        <w:t>.</w:t>
      </w:r>
    </w:p>
    <w:tbl>
      <w:tblPr>
        <w:tblStyle w:val="TableGrid"/>
        <w:tblW w:w="0" w:type="auto"/>
        <w:tblLook w:val="04A0" w:firstRow="1" w:lastRow="0" w:firstColumn="1" w:lastColumn="0" w:noHBand="0" w:noVBand="1"/>
      </w:tblPr>
      <w:tblGrid>
        <w:gridCol w:w="1101"/>
        <w:gridCol w:w="850"/>
        <w:gridCol w:w="851"/>
      </w:tblGrid>
      <w:tr w:rsidR="00AF6E70" w14:paraId="70245191" w14:textId="77777777" w:rsidTr="0031414F">
        <w:tc>
          <w:tcPr>
            <w:tcW w:w="1101" w:type="dxa"/>
          </w:tcPr>
          <w:p w14:paraId="301E3EFE" w14:textId="77777777" w:rsidR="00AF6E70" w:rsidRDefault="00AF6E70" w:rsidP="0031414F">
            <w:pPr>
              <w:pStyle w:val="Compact"/>
              <w:rPr>
                <w:rFonts w:ascii="Garamond" w:hAnsi="Garamond"/>
              </w:rPr>
            </w:pPr>
            <w:r>
              <w:rPr>
                <w:rFonts w:ascii="Garamond" w:hAnsi="Garamond"/>
              </w:rPr>
              <w:t>Year</w:t>
            </w:r>
          </w:p>
        </w:tc>
        <w:tc>
          <w:tcPr>
            <w:tcW w:w="850" w:type="dxa"/>
          </w:tcPr>
          <w:p w14:paraId="13637656" w14:textId="77777777" w:rsidR="00AF6E70" w:rsidRDefault="00AF6E70" w:rsidP="0031414F">
            <w:pPr>
              <w:pStyle w:val="Compact"/>
              <w:rPr>
                <w:rFonts w:ascii="Garamond" w:hAnsi="Garamond"/>
              </w:rPr>
            </w:pPr>
            <w:r>
              <w:rPr>
                <w:rFonts w:ascii="Garamond" w:hAnsi="Garamond"/>
              </w:rPr>
              <w:t>1996</w:t>
            </w:r>
          </w:p>
        </w:tc>
        <w:tc>
          <w:tcPr>
            <w:tcW w:w="851" w:type="dxa"/>
          </w:tcPr>
          <w:p w14:paraId="69BF6F79" w14:textId="77777777" w:rsidR="00AF6E70" w:rsidRDefault="00AF6E70" w:rsidP="0031414F">
            <w:pPr>
              <w:pStyle w:val="Compact"/>
              <w:rPr>
                <w:rFonts w:ascii="Garamond" w:hAnsi="Garamond"/>
              </w:rPr>
            </w:pPr>
            <w:r>
              <w:rPr>
                <w:rFonts w:ascii="Garamond" w:hAnsi="Garamond"/>
              </w:rPr>
              <w:t>2010</w:t>
            </w:r>
          </w:p>
        </w:tc>
      </w:tr>
      <w:tr w:rsidR="00AF6E70" w14:paraId="0CB241CB" w14:textId="77777777" w:rsidTr="0031414F">
        <w:tc>
          <w:tcPr>
            <w:tcW w:w="1101" w:type="dxa"/>
          </w:tcPr>
          <w:p w14:paraId="3C5A14FF" w14:textId="77777777" w:rsidR="00AF6E70" w:rsidRDefault="00AF6E70" w:rsidP="0031414F">
            <w:pPr>
              <w:pStyle w:val="Compact"/>
              <w:rPr>
                <w:rFonts w:ascii="Garamond" w:hAnsi="Garamond"/>
              </w:rPr>
            </w:pPr>
            <w:r>
              <w:rPr>
                <w:rFonts w:ascii="Garamond" w:hAnsi="Garamond"/>
              </w:rPr>
              <w:t>Shrub</w:t>
            </w:r>
          </w:p>
        </w:tc>
        <w:tc>
          <w:tcPr>
            <w:tcW w:w="850" w:type="dxa"/>
          </w:tcPr>
          <w:p w14:paraId="66E45513" w14:textId="751285DD" w:rsidR="00AF6E70" w:rsidRDefault="00AF6E70" w:rsidP="0031414F">
            <w:pPr>
              <w:pStyle w:val="Compact"/>
              <w:rPr>
                <w:rFonts w:ascii="Garamond" w:hAnsi="Garamond"/>
              </w:rPr>
            </w:pPr>
            <w:r>
              <w:rPr>
                <w:rFonts w:ascii="Garamond" w:hAnsi="Garamond"/>
              </w:rPr>
              <w:t>529</w:t>
            </w:r>
          </w:p>
        </w:tc>
        <w:tc>
          <w:tcPr>
            <w:tcW w:w="851" w:type="dxa"/>
          </w:tcPr>
          <w:p w14:paraId="60A09CF5" w14:textId="3DC07C4C" w:rsidR="00AF6E70" w:rsidRDefault="00AF6E70" w:rsidP="0031414F">
            <w:pPr>
              <w:pStyle w:val="Compact"/>
              <w:rPr>
                <w:rFonts w:ascii="Garamond" w:hAnsi="Garamond"/>
              </w:rPr>
            </w:pPr>
            <w:r>
              <w:rPr>
                <w:rFonts w:ascii="Garamond" w:hAnsi="Garamond"/>
              </w:rPr>
              <w:t>2471</w:t>
            </w:r>
          </w:p>
        </w:tc>
      </w:tr>
      <w:tr w:rsidR="00AF6E70" w14:paraId="30CA698C" w14:textId="77777777" w:rsidTr="0031414F">
        <w:tc>
          <w:tcPr>
            <w:tcW w:w="1101" w:type="dxa"/>
          </w:tcPr>
          <w:p w14:paraId="2D92B39B" w14:textId="77777777" w:rsidR="00AF6E70" w:rsidRDefault="00AF6E70" w:rsidP="0031414F">
            <w:pPr>
              <w:pStyle w:val="Compact"/>
              <w:rPr>
                <w:rFonts w:ascii="Garamond" w:hAnsi="Garamond"/>
              </w:rPr>
            </w:pPr>
            <w:r>
              <w:rPr>
                <w:rFonts w:ascii="Garamond" w:hAnsi="Garamond"/>
              </w:rPr>
              <w:t>None</w:t>
            </w:r>
          </w:p>
        </w:tc>
        <w:tc>
          <w:tcPr>
            <w:tcW w:w="850" w:type="dxa"/>
          </w:tcPr>
          <w:p w14:paraId="70011740" w14:textId="4603F43F" w:rsidR="00AF6E70" w:rsidRDefault="00AF6E70" w:rsidP="0031414F">
            <w:pPr>
              <w:pStyle w:val="Compact"/>
              <w:rPr>
                <w:rFonts w:ascii="Garamond" w:hAnsi="Garamond"/>
              </w:rPr>
            </w:pPr>
            <w:r>
              <w:rPr>
                <w:rFonts w:ascii="Garamond" w:hAnsi="Garamond"/>
              </w:rPr>
              <w:t>567</w:t>
            </w:r>
          </w:p>
        </w:tc>
        <w:tc>
          <w:tcPr>
            <w:tcW w:w="851" w:type="dxa"/>
          </w:tcPr>
          <w:p w14:paraId="74E5D933" w14:textId="20995C4F" w:rsidR="00AF6E70" w:rsidRDefault="00AF6E70" w:rsidP="0031414F">
            <w:pPr>
              <w:pStyle w:val="Compact"/>
              <w:rPr>
                <w:rFonts w:ascii="Garamond" w:hAnsi="Garamond"/>
              </w:rPr>
            </w:pPr>
            <w:r>
              <w:rPr>
                <w:rFonts w:ascii="Garamond" w:hAnsi="Garamond"/>
              </w:rPr>
              <w:t>2433</w:t>
            </w:r>
          </w:p>
        </w:tc>
      </w:tr>
    </w:tbl>
    <w:p w14:paraId="19B42C90" w14:textId="77777777" w:rsidR="00AF6E70" w:rsidRPr="003E36D0" w:rsidRDefault="00AF6E70">
      <w:pPr>
        <w:pStyle w:val="Compact"/>
        <w:rPr>
          <w:rFonts w:ascii="Garamond" w:hAnsi="Garamond"/>
        </w:rPr>
      </w:pPr>
    </w:p>
    <w:p w14:paraId="5CBE4467" w14:textId="671CBE36" w:rsidR="00270566" w:rsidRDefault="00133BF1">
      <w:pPr>
        <w:pStyle w:val="Compact"/>
        <w:rPr>
          <w:rFonts w:ascii="Garamond" w:hAnsi="Garamond"/>
        </w:rPr>
      </w:pPr>
      <w:r>
        <w:rPr>
          <w:rFonts w:ascii="Garamond" w:hAnsi="Garamond"/>
        </w:rPr>
        <w:t xml:space="preserve">Table 5: </w:t>
      </w:r>
      <w:r w:rsidR="00213E99" w:rsidRPr="003E36D0">
        <w:rPr>
          <w:rFonts w:ascii="Garamond" w:hAnsi="Garamond"/>
        </w:rPr>
        <w:t>Short shrub abundance for two years on 300 transects</w:t>
      </w:r>
      <w:r w:rsidR="00AF6E70">
        <w:rPr>
          <w:rFonts w:ascii="Garamond" w:hAnsi="Garamond"/>
        </w:rPr>
        <w:t>.</w:t>
      </w:r>
    </w:p>
    <w:tbl>
      <w:tblPr>
        <w:tblStyle w:val="TableGrid"/>
        <w:tblW w:w="0" w:type="auto"/>
        <w:tblLook w:val="04A0" w:firstRow="1" w:lastRow="0" w:firstColumn="1" w:lastColumn="0" w:noHBand="0" w:noVBand="1"/>
      </w:tblPr>
      <w:tblGrid>
        <w:gridCol w:w="1101"/>
        <w:gridCol w:w="850"/>
        <w:gridCol w:w="851"/>
      </w:tblGrid>
      <w:tr w:rsidR="00AF6E70" w14:paraId="0FD52BEC" w14:textId="77777777" w:rsidTr="0031414F">
        <w:tc>
          <w:tcPr>
            <w:tcW w:w="1101" w:type="dxa"/>
          </w:tcPr>
          <w:p w14:paraId="7E204C1F" w14:textId="77777777" w:rsidR="00AF6E70" w:rsidRDefault="00AF6E70" w:rsidP="0031414F">
            <w:pPr>
              <w:pStyle w:val="Compact"/>
              <w:rPr>
                <w:rFonts w:ascii="Garamond" w:hAnsi="Garamond"/>
              </w:rPr>
            </w:pPr>
            <w:r>
              <w:rPr>
                <w:rFonts w:ascii="Garamond" w:hAnsi="Garamond"/>
              </w:rPr>
              <w:t>Year</w:t>
            </w:r>
          </w:p>
        </w:tc>
        <w:tc>
          <w:tcPr>
            <w:tcW w:w="850" w:type="dxa"/>
          </w:tcPr>
          <w:p w14:paraId="38152D16" w14:textId="77777777" w:rsidR="00AF6E70" w:rsidRDefault="00AF6E70" w:rsidP="0031414F">
            <w:pPr>
              <w:pStyle w:val="Compact"/>
              <w:rPr>
                <w:rFonts w:ascii="Garamond" w:hAnsi="Garamond"/>
              </w:rPr>
            </w:pPr>
            <w:r>
              <w:rPr>
                <w:rFonts w:ascii="Garamond" w:hAnsi="Garamond"/>
              </w:rPr>
              <w:t>1996</w:t>
            </w:r>
          </w:p>
        </w:tc>
        <w:tc>
          <w:tcPr>
            <w:tcW w:w="851" w:type="dxa"/>
          </w:tcPr>
          <w:p w14:paraId="1F6F6728" w14:textId="77777777" w:rsidR="00AF6E70" w:rsidRDefault="00AF6E70" w:rsidP="0031414F">
            <w:pPr>
              <w:pStyle w:val="Compact"/>
              <w:rPr>
                <w:rFonts w:ascii="Garamond" w:hAnsi="Garamond"/>
              </w:rPr>
            </w:pPr>
            <w:r>
              <w:rPr>
                <w:rFonts w:ascii="Garamond" w:hAnsi="Garamond"/>
              </w:rPr>
              <w:t>2010</w:t>
            </w:r>
          </w:p>
        </w:tc>
      </w:tr>
      <w:tr w:rsidR="00AF6E70" w14:paraId="44444399" w14:textId="77777777" w:rsidTr="0031414F">
        <w:tc>
          <w:tcPr>
            <w:tcW w:w="1101" w:type="dxa"/>
          </w:tcPr>
          <w:p w14:paraId="0002ADAB" w14:textId="77777777" w:rsidR="00AF6E70" w:rsidRDefault="00AF6E70" w:rsidP="0031414F">
            <w:pPr>
              <w:pStyle w:val="Compact"/>
              <w:rPr>
                <w:rFonts w:ascii="Garamond" w:hAnsi="Garamond"/>
              </w:rPr>
            </w:pPr>
            <w:r>
              <w:rPr>
                <w:rFonts w:ascii="Garamond" w:hAnsi="Garamond"/>
              </w:rPr>
              <w:t>Shrub</w:t>
            </w:r>
          </w:p>
        </w:tc>
        <w:tc>
          <w:tcPr>
            <w:tcW w:w="850" w:type="dxa"/>
          </w:tcPr>
          <w:p w14:paraId="01CD1DB1" w14:textId="3A6FA181" w:rsidR="00AF6E70" w:rsidRDefault="00AF6E70" w:rsidP="0031414F">
            <w:pPr>
              <w:pStyle w:val="Compact"/>
              <w:rPr>
                <w:rFonts w:ascii="Garamond" w:hAnsi="Garamond"/>
              </w:rPr>
            </w:pPr>
            <w:r>
              <w:rPr>
                <w:rFonts w:ascii="Garamond" w:hAnsi="Garamond"/>
              </w:rPr>
              <w:t>216</w:t>
            </w:r>
          </w:p>
        </w:tc>
        <w:tc>
          <w:tcPr>
            <w:tcW w:w="851" w:type="dxa"/>
          </w:tcPr>
          <w:p w14:paraId="34F8B4FE" w14:textId="428C05ED" w:rsidR="00AF6E70" w:rsidRDefault="00AF6E70" w:rsidP="0031414F">
            <w:pPr>
              <w:pStyle w:val="Compact"/>
              <w:rPr>
                <w:rFonts w:ascii="Garamond" w:hAnsi="Garamond"/>
              </w:rPr>
            </w:pPr>
            <w:r>
              <w:rPr>
                <w:rFonts w:ascii="Garamond" w:hAnsi="Garamond"/>
              </w:rPr>
              <w:t>84</w:t>
            </w:r>
          </w:p>
        </w:tc>
        <w:bookmarkStart w:id="9" w:name="_GoBack"/>
        <w:bookmarkEnd w:id="9"/>
      </w:tr>
      <w:tr w:rsidR="00AF6E70" w14:paraId="434E4B2D" w14:textId="77777777" w:rsidTr="0031414F">
        <w:tc>
          <w:tcPr>
            <w:tcW w:w="1101" w:type="dxa"/>
          </w:tcPr>
          <w:p w14:paraId="09E2155C" w14:textId="77777777" w:rsidR="00AF6E70" w:rsidRDefault="00AF6E70" w:rsidP="0031414F">
            <w:pPr>
              <w:pStyle w:val="Compact"/>
              <w:rPr>
                <w:rFonts w:ascii="Garamond" w:hAnsi="Garamond"/>
              </w:rPr>
            </w:pPr>
            <w:r>
              <w:rPr>
                <w:rFonts w:ascii="Garamond" w:hAnsi="Garamond"/>
              </w:rPr>
              <w:t>None</w:t>
            </w:r>
          </w:p>
        </w:tc>
        <w:tc>
          <w:tcPr>
            <w:tcW w:w="850" w:type="dxa"/>
          </w:tcPr>
          <w:p w14:paraId="415A168E" w14:textId="4F7E216C" w:rsidR="00AF6E70" w:rsidRDefault="00AF6E70" w:rsidP="0031414F">
            <w:pPr>
              <w:pStyle w:val="Compact"/>
              <w:rPr>
                <w:rFonts w:ascii="Garamond" w:hAnsi="Garamond"/>
              </w:rPr>
            </w:pPr>
            <w:r>
              <w:rPr>
                <w:rFonts w:ascii="Garamond" w:hAnsi="Garamond"/>
              </w:rPr>
              <w:t>184</w:t>
            </w:r>
          </w:p>
        </w:tc>
        <w:tc>
          <w:tcPr>
            <w:tcW w:w="851" w:type="dxa"/>
          </w:tcPr>
          <w:p w14:paraId="38201EE7" w14:textId="1BB3E0F1" w:rsidR="00AF6E70" w:rsidRDefault="00AF6E70" w:rsidP="0031414F">
            <w:pPr>
              <w:pStyle w:val="Compact"/>
              <w:rPr>
                <w:rFonts w:ascii="Garamond" w:hAnsi="Garamond"/>
              </w:rPr>
            </w:pPr>
            <w:r>
              <w:rPr>
                <w:rFonts w:ascii="Garamond" w:hAnsi="Garamond"/>
              </w:rPr>
              <w:t>116</w:t>
            </w:r>
          </w:p>
        </w:tc>
      </w:tr>
    </w:tbl>
    <w:p w14:paraId="5CBE4471" w14:textId="77777777" w:rsidR="00270566" w:rsidRPr="003E36D0" w:rsidRDefault="00213E99">
      <w:pPr>
        <w:pStyle w:val="Heading1"/>
        <w:rPr>
          <w:rFonts w:ascii="Garamond" w:hAnsi="Garamond"/>
        </w:rPr>
      </w:pPr>
      <w:bookmarkStart w:id="10" w:name="references"/>
      <w:bookmarkEnd w:id="10"/>
      <w:r w:rsidRPr="003E36D0">
        <w:rPr>
          <w:rFonts w:ascii="Garamond" w:hAnsi="Garamond"/>
        </w:rPr>
        <w:t>References</w:t>
      </w:r>
    </w:p>
    <w:p w14:paraId="5CBE4472" w14:textId="77777777" w:rsidR="00270566" w:rsidRPr="003E36D0" w:rsidRDefault="00213E99">
      <w:pPr>
        <w:pStyle w:val="FirstParagraph"/>
        <w:rPr>
          <w:rFonts w:ascii="Garamond" w:hAnsi="Garamond"/>
        </w:rPr>
      </w:pPr>
      <w:proofErr w:type="spellStart"/>
      <w:r w:rsidRPr="003E36D0">
        <w:rPr>
          <w:rFonts w:ascii="Garamond" w:hAnsi="Garamond"/>
        </w:rPr>
        <w:t>Dupuch</w:t>
      </w:r>
      <w:proofErr w:type="spellEnd"/>
      <w:r w:rsidRPr="003E36D0">
        <w:rPr>
          <w:rFonts w:ascii="Garamond" w:hAnsi="Garamond"/>
        </w:rPr>
        <w:t xml:space="preserve">, A., Morris, D. W., Ale, S. B., Wilson, D. J., and Moore, D. E.,2014: Landscapes of fear or competition? Predation did not alter habitat </w:t>
      </w:r>
      <w:proofErr w:type="spellStart"/>
      <w:r w:rsidRPr="003E36D0">
        <w:rPr>
          <w:rFonts w:ascii="Garamond" w:hAnsi="Garamond"/>
        </w:rPr>
        <w:t>choiceby</w:t>
      </w:r>
      <w:proofErr w:type="spellEnd"/>
      <w:r w:rsidRPr="003E36D0">
        <w:rPr>
          <w:rFonts w:ascii="Garamond" w:hAnsi="Garamond"/>
        </w:rPr>
        <w:t xml:space="preserve"> Arctic rodents. </w:t>
      </w:r>
      <w:proofErr w:type="spellStart"/>
      <w:r w:rsidRPr="003E36D0">
        <w:rPr>
          <w:rFonts w:ascii="Garamond" w:hAnsi="Garamond"/>
        </w:rPr>
        <w:t>Oecologia</w:t>
      </w:r>
      <w:proofErr w:type="spellEnd"/>
      <w:r w:rsidRPr="003E36D0">
        <w:rPr>
          <w:rFonts w:ascii="Garamond" w:hAnsi="Garamond"/>
        </w:rPr>
        <w:t>, 174:403-412.</w:t>
      </w:r>
    </w:p>
    <w:p w14:paraId="5CBE4473" w14:textId="77777777" w:rsidR="00270566" w:rsidRPr="003E36D0" w:rsidRDefault="00213E99">
      <w:pPr>
        <w:pStyle w:val="BodyText"/>
        <w:rPr>
          <w:rFonts w:ascii="Garamond" w:hAnsi="Garamond"/>
        </w:rPr>
      </w:pPr>
      <w:r w:rsidRPr="003E36D0">
        <w:rPr>
          <w:rFonts w:ascii="Garamond" w:hAnsi="Garamond"/>
        </w:rPr>
        <w:t>Krebs, C. J., Bilodeau, F., Reid, D., Gauthier, G., Kenney, A. J., Gilbert, S., … Wilson, D. J. 2012: Are lemming winter nest counts a good index of population density? Journal of Mammalogy, 93: 87–92.</w:t>
      </w:r>
    </w:p>
    <w:p w14:paraId="5CBE4474" w14:textId="77777777" w:rsidR="00270566" w:rsidRPr="003E36D0" w:rsidRDefault="00213E99">
      <w:pPr>
        <w:pStyle w:val="BodyText"/>
        <w:rPr>
          <w:rFonts w:ascii="Garamond" w:hAnsi="Garamond"/>
        </w:rPr>
      </w:pPr>
      <w:r w:rsidRPr="003E36D0">
        <w:rPr>
          <w:rFonts w:ascii="Garamond" w:hAnsi="Garamond"/>
        </w:rPr>
        <w:t xml:space="preserve">Morris, D.W., Davidson, D.L. &amp; Krebs, C.J., 2000. Measuring the </w:t>
      </w:r>
      <w:proofErr w:type="spellStart"/>
      <w:r w:rsidRPr="003E36D0">
        <w:rPr>
          <w:rFonts w:ascii="Garamond" w:hAnsi="Garamond"/>
        </w:rPr>
        <w:t>ghostof</w:t>
      </w:r>
      <w:proofErr w:type="spellEnd"/>
      <w:r w:rsidRPr="003E36D0">
        <w:rPr>
          <w:rFonts w:ascii="Garamond" w:hAnsi="Garamond"/>
        </w:rPr>
        <w:t xml:space="preserve"> competition: insights from density-dependent habitat selection on </w:t>
      </w:r>
      <w:proofErr w:type="spellStart"/>
      <w:r w:rsidRPr="003E36D0">
        <w:rPr>
          <w:rFonts w:ascii="Garamond" w:hAnsi="Garamond"/>
        </w:rPr>
        <w:t>theco</w:t>
      </w:r>
      <w:proofErr w:type="spellEnd"/>
      <w:r w:rsidRPr="003E36D0">
        <w:rPr>
          <w:rFonts w:ascii="Garamond" w:hAnsi="Garamond"/>
        </w:rPr>
        <w:t xml:space="preserve">-existence and dynamics of lemmings. </w:t>
      </w:r>
      <w:proofErr w:type="spellStart"/>
      <w:r w:rsidRPr="003E36D0">
        <w:rPr>
          <w:rFonts w:ascii="Garamond" w:hAnsi="Garamond"/>
        </w:rPr>
        <w:t>EvolutionEcology</w:t>
      </w:r>
      <w:proofErr w:type="spellEnd"/>
      <w:r w:rsidRPr="003E36D0">
        <w:rPr>
          <w:rFonts w:ascii="Garamond" w:hAnsi="Garamond"/>
        </w:rPr>
        <w:t xml:space="preserve"> Research, 2: 69-80.</w:t>
      </w:r>
    </w:p>
    <w:sectPr w:rsidR="00270566" w:rsidRPr="003E36D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A1CBC" w14:textId="77777777" w:rsidR="00423DAF" w:rsidRDefault="00423DAF">
      <w:pPr>
        <w:spacing w:after="0"/>
      </w:pPr>
      <w:r>
        <w:separator/>
      </w:r>
    </w:p>
  </w:endnote>
  <w:endnote w:type="continuationSeparator" w:id="0">
    <w:p w14:paraId="6A45F523" w14:textId="77777777" w:rsidR="00423DAF" w:rsidRDefault="00423D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59D1E" w14:textId="77777777" w:rsidR="00423DAF" w:rsidRDefault="00423DAF">
      <w:r>
        <w:separator/>
      </w:r>
    </w:p>
  </w:footnote>
  <w:footnote w:type="continuationSeparator" w:id="0">
    <w:p w14:paraId="703D7E3E" w14:textId="77777777" w:rsidR="00423DAF" w:rsidRDefault="00423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7F69BA"/>
    <w:multiLevelType w:val="multilevel"/>
    <w:tmpl w:val="9970DA9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943F7BA"/>
    <w:multiLevelType w:val="multilevel"/>
    <w:tmpl w:val="766A65F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embedSystemFonts/>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517C7"/>
    <w:rsid w:val="00133BF1"/>
    <w:rsid w:val="00213E99"/>
    <w:rsid w:val="00270566"/>
    <w:rsid w:val="003C1BBB"/>
    <w:rsid w:val="003E36D0"/>
    <w:rsid w:val="003E5078"/>
    <w:rsid w:val="00423DAF"/>
    <w:rsid w:val="004E29B3"/>
    <w:rsid w:val="00590D07"/>
    <w:rsid w:val="005D301A"/>
    <w:rsid w:val="007447B8"/>
    <w:rsid w:val="00744F83"/>
    <w:rsid w:val="00784D58"/>
    <w:rsid w:val="00822C28"/>
    <w:rsid w:val="00887BA0"/>
    <w:rsid w:val="008D6863"/>
    <w:rsid w:val="00AF6E70"/>
    <w:rsid w:val="00B86B75"/>
    <w:rsid w:val="00BC48D5"/>
    <w:rsid w:val="00C06D99"/>
    <w:rsid w:val="00C36279"/>
    <w:rsid w:val="00CD5A9E"/>
    <w:rsid w:val="00DF6AAE"/>
    <w:rsid w:val="00E2536E"/>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E4423"/>
  <w15:docId w15:val="{DE1BD1D7-8FF3-7D4E-8766-F5F828F0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table" w:styleId="TableGrid">
    <w:name w:val="Table Grid"/>
    <w:basedOn w:val="TableNormal"/>
    <w:rsid w:val="000517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Supporting Information</vt:lpstr>
    </vt:vector>
  </TitlesOfParts>
  <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Information</dc:title>
  <dc:creator>Robert Buchkowski</dc:creator>
  <cp:lastModifiedBy>Robert</cp:lastModifiedBy>
  <cp:revision>15</cp:revision>
  <dcterms:created xsi:type="dcterms:W3CDTF">2020-09-06T14:36:00Z</dcterms:created>
  <dcterms:modified xsi:type="dcterms:W3CDTF">2020-09-06T14:56:00Z</dcterms:modified>
</cp:coreProperties>
</file>