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D5" w:rsidRDefault="005C40D5" w:rsidP="005C40D5">
      <w:pPr>
        <w:pStyle w:val="NormalWeb"/>
        <w:spacing w:before="0" w:after="0"/>
        <w:jc w:val="both"/>
        <w:rPr>
          <w:b/>
          <w:bCs/>
        </w:rPr>
      </w:pPr>
      <w:r>
        <w:rPr>
          <w:b/>
          <w:bCs/>
        </w:rPr>
        <w:t xml:space="preserve">9-Arylimino </w:t>
      </w:r>
      <w:proofErr w:type="spellStart"/>
      <w:r>
        <w:rPr>
          <w:b/>
          <w:bCs/>
        </w:rPr>
        <w:t>noscapinoids</w:t>
      </w:r>
      <w:proofErr w:type="spellEnd"/>
      <w:r>
        <w:rPr>
          <w:b/>
          <w:bCs/>
        </w:rPr>
        <w:t xml:space="preserve"> as potent </w:t>
      </w:r>
      <w:proofErr w:type="spellStart"/>
      <w:r>
        <w:rPr>
          <w:b/>
          <w:bCs/>
        </w:rPr>
        <w:t>tubulin</w:t>
      </w:r>
      <w:proofErr w:type="spellEnd"/>
      <w:r>
        <w:rPr>
          <w:b/>
          <w:bCs/>
        </w:rPr>
        <w:t xml:space="preserve"> binding anticancer agent: chemical synthesis and cellular evaluation against breast tumor cells</w:t>
      </w:r>
    </w:p>
    <w:p w:rsidR="005C40D5" w:rsidRDefault="005C40D5" w:rsidP="005C40D5">
      <w:pPr>
        <w:pStyle w:val="NormalWeb"/>
        <w:spacing w:before="0" w:after="0"/>
        <w:jc w:val="both"/>
        <w:rPr>
          <w:b/>
          <w:bCs/>
        </w:rPr>
      </w:pPr>
    </w:p>
    <w:p w:rsidR="005C40D5" w:rsidRDefault="005C40D5" w:rsidP="005C40D5">
      <w:pPr>
        <w:pStyle w:val="NormalWeb"/>
        <w:spacing w:before="0" w:after="0" w:line="360" w:lineRule="auto"/>
        <w:jc w:val="center"/>
      </w:pPr>
      <w:proofErr w:type="spellStart"/>
      <w:r>
        <w:t>Amiya</w:t>
      </w:r>
      <w:proofErr w:type="spellEnd"/>
      <w:r>
        <w:t xml:space="preserve"> K. Patel</w:t>
      </w:r>
      <w:r>
        <w:rPr>
          <w:vertAlign w:val="superscript"/>
        </w:rPr>
        <w:t>1</w:t>
      </w:r>
      <w:r>
        <w:t>, Rajesh Kumar Meher</w:t>
      </w:r>
      <w:r>
        <w:rPr>
          <w:vertAlign w:val="superscript"/>
        </w:rPr>
        <w:t>1</w:t>
      </w:r>
      <w:r>
        <w:t>, Praveen Kumar Reddy</w:t>
      </w:r>
      <w:r>
        <w:rPr>
          <w:vertAlign w:val="superscript"/>
        </w:rPr>
        <w:t>2</w:t>
      </w:r>
      <w:r>
        <w:t xml:space="preserve">, </w:t>
      </w:r>
      <w:proofErr w:type="spellStart"/>
      <w:r w:rsidRPr="00A46476">
        <w:rPr>
          <w:bCs/>
        </w:rPr>
        <w:t>Pratyush</w:t>
      </w:r>
      <w:proofErr w:type="spellEnd"/>
      <w:r w:rsidRPr="00A46476">
        <w:rPr>
          <w:bCs/>
        </w:rPr>
        <w:t xml:space="preserve"> </w:t>
      </w:r>
      <w:r w:rsidRPr="0047350D">
        <w:rPr>
          <w:bCs/>
        </w:rPr>
        <w:t>Pragyandipta</w:t>
      </w:r>
      <w:r w:rsidRPr="0047350D">
        <w:rPr>
          <w:bCs/>
          <w:vertAlign w:val="superscript"/>
        </w:rPr>
        <w:t>1</w:t>
      </w:r>
      <w:r>
        <w:rPr>
          <w:bCs/>
        </w:rPr>
        <w:t>, Ravi Kumar Pedapati</w:t>
      </w:r>
      <w:r w:rsidRPr="00F02C5D">
        <w:rPr>
          <w:bCs/>
          <w:vertAlign w:val="superscript"/>
        </w:rPr>
        <w:t>2</w:t>
      </w:r>
      <w:r w:rsidRPr="00530E4B">
        <w:rPr>
          <w:bCs/>
        </w:rPr>
        <w:t xml:space="preserve">, </w:t>
      </w:r>
      <w:proofErr w:type="spellStart"/>
      <w:r w:rsidRPr="0047350D">
        <w:t>Srinivas</w:t>
      </w:r>
      <w:proofErr w:type="spellEnd"/>
      <w:r>
        <w:t xml:space="preserve"> Kantevari</w:t>
      </w:r>
      <w:r>
        <w:rPr>
          <w:vertAlign w:val="superscript"/>
        </w:rPr>
        <w:t>2</w:t>
      </w:r>
      <w:r>
        <w:t xml:space="preserve"> and </w:t>
      </w:r>
      <w:proofErr w:type="spellStart"/>
      <w:r>
        <w:t>Pradeep</w:t>
      </w:r>
      <w:proofErr w:type="spellEnd"/>
      <w:r>
        <w:t xml:space="preserve"> K. Naik</w:t>
      </w:r>
      <w:r>
        <w:rPr>
          <w:vertAlign w:val="superscript"/>
        </w:rPr>
        <w:t>1*</w:t>
      </w:r>
    </w:p>
    <w:p w:rsidR="005C40D5" w:rsidRDefault="005C40D5" w:rsidP="00544D23">
      <w:pPr>
        <w:spacing w:after="0" w:line="480" w:lineRule="auto"/>
        <w:jc w:val="both"/>
        <w:rPr>
          <w:rFonts w:ascii="Times New Roman" w:eastAsia="AdvP4DF60E" w:hAnsi="Times New Roman"/>
          <w:b/>
          <w:bCs/>
          <w:iCs/>
          <w:sz w:val="24"/>
          <w:szCs w:val="24"/>
        </w:rPr>
      </w:pPr>
    </w:p>
    <w:p w:rsidR="00667ADE" w:rsidRPr="005B48FE" w:rsidRDefault="00667ADE" w:rsidP="00667A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B48FE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5B48FE">
        <w:rPr>
          <w:rFonts w:ascii="Times New Roman" w:hAnsi="Times New Roman"/>
          <w:color w:val="000000"/>
          <w:sz w:val="24"/>
          <w:szCs w:val="24"/>
        </w:rPr>
        <w:t>Centre of Excellence in Natural Products and Therapeutics, Department of Biotechnology and Bioinformatics</w:t>
      </w:r>
      <w:r w:rsidRPr="005B4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8FE">
        <w:rPr>
          <w:rFonts w:ascii="Times New Roman" w:hAnsi="Times New Roman"/>
          <w:sz w:val="24"/>
          <w:szCs w:val="24"/>
        </w:rPr>
        <w:t>Sambalpur</w:t>
      </w:r>
      <w:proofErr w:type="spellEnd"/>
      <w:r w:rsidRPr="005B48FE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5B48FE">
        <w:rPr>
          <w:rFonts w:ascii="Times New Roman" w:hAnsi="Times New Roman"/>
          <w:sz w:val="24"/>
          <w:szCs w:val="24"/>
        </w:rPr>
        <w:t>Jyoti</w:t>
      </w:r>
      <w:proofErr w:type="spellEnd"/>
      <w:r w:rsidRPr="005B4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8FE">
        <w:rPr>
          <w:rFonts w:ascii="Times New Roman" w:hAnsi="Times New Roman"/>
          <w:sz w:val="24"/>
          <w:szCs w:val="24"/>
        </w:rPr>
        <w:t>Vihar</w:t>
      </w:r>
      <w:proofErr w:type="spellEnd"/>
      <w:r w:rsidRPr="005B4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8FE">
        <w:rPr>
          <w:rFonts w:ascii="Times New Roman" w:hAnsi="Times New Roman"/>
          <w:sz w:val="24"/>
          <w:szCs w:val="24"/>
        </w:rPr>
        <w:t>Burla</w:t>
      </w:r>
      <w:proofErr w:type="spellEnd"/>
      <w:r w:rsidRPr="005B48FE">
        <w:rPr>
          <w:rFonts w:ascii="Times New Roman" w:hAnsi="Times New Roman"/>
          <w:sz w:val="24"/>
          <w:szCs w:val="24"/>
        </w:rPr>
        <w:t xml:space="preserve">, Sambalpur-768019, </w:t>
      </w:r>
      <w:proofErr w:type="spellStart"/>
      <w:r w:rsidRPr="005B48FE">
        <w:rPr>
          <w:rFonts w:ascii="Times New Roman" w:hAnsi="Times New Roman"/>
          <w:sz w:val="24"/>
          <w:szCs w:val="24"/>
        </w:rPr>
        <w:t>Odisha</w:t>
      </w:r>
      <w:proofErr w:type="spellEnd"/>
      <w:r w:rsidRPr="005B48FE">
        <w:rPr>
          <w:rFonts w:ascii="Times New Roman" w:hAnsi="Times New Roman"/>
          <w:sz w:val="24"/>
          <w:szCs w:val="24"/>
        </w:rPr>
        <w:t>, India</w:t>
      </w:r>
    </w:p>
    <w:p w:rsidR="00667ADE" w:rsidRDefault="00667ADE" w:rsidP="00667A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Fluoro-Agro Chemicals Division</w:t>
      </w:r>
      <w:r w:rsidRPr="005B48FE">
        <w:rPr>
          <w:rFonts w:ascii="Times New Roman" w:hAnsi="Times New Roman"/>
          <w:sz w:val="24"/>
          <w:szCs w:val="24"/>
        </w:rPr>
        <w:t>, CSIR-Indian Institute of Chemical Technology, Hyderabad 500 007, India</w:t>
      </w:r>
    </w:p>
    <w:p w:rsidR="00667ADE" w:rsidRDefault="00667ADE" w:rsidP="00544D23">
      <w:pPr>
        <w:spacing w:after="0" w:line="480" w:lineRule="auto"/>
        <w:jc w:val="both"/>
        <w:rPr>
          <w:rFonts w:ascii="Times New Roman" w:eastAsia="AdvP4DF60E" w:hAnsi="Times New Roman"/>
          <w:b/>
          <w:bCs/>
          <w:iCs/>
          <w:sz w:val="24"/>
          <w:szCs w:val="24"/>
        </w:rPr>
      </w:pPr>
      <w:r>
        <w:rPr>
          <w:rFonts w:ascii="Times New Roman" w:eastAsia="AdvP4DF60E" w:hAnsi="Times New Roman"/>
          <w:b/>
          <w:bCs/>
          <w:iCs/>
          <w:sz w:val="24"/>
          <w:szCs w:val="24"/>
        </w:rPr>
        <w:t xml:space="preserve">Chemical </w:t>
      </w:r>
      <w:r w:rsidRPr="00667ADE">
        <w:rPr>
          <w:rFonts w:ascii="Times New Roman" w:eastAsia="AdvP4DF60E" w:hAnsi="Times New Roman"/>
          <w:b/>
          <w:bCs/>
          <w:iCs/>
          <w:sz w:val="24"/>
          <w:szCs w:val="24"/>
        </w:rPr>
        <w:t xml:space="preserve">synthesis of the </w:t>
      </w:r>
      <w:r w:rsidRPr="00667ADE">
        <w:rPr>
          <w:rFonts w:ascii="Times New Roman" w:hAnsi="Times New Roman"/>
          <w:b/>
          <w:bCs/>
          <w:sz w:val="24"/>
          <w:szCs w:val="24"/>
        </w:rPr>
        <w:t xml:space="preserve">9-Arylimino </w:t>
      </w:r>
      <w:proofErr w:type="spellStart"/>
      <w:r w:rsidRPr="00667ADE">
        <w:rPr>
          <w:rFonts w:ascii="Times New Roman" w:hAnsi="Times New Roman"/>
          <w:b/>
          <w:bCs/>
          <w:sz w:val="24"/>
          <w:szCs w:val="24"/>
        </w:rPr>
        <w:t>noscapinoids</w:t>
      </w:r>
      <w:proofErr w:type="spellEnd"/>
      <w:r w:rsidRPr="00667ADE">
        <w:rPr>
          <w:rFonts w:ascii="Times New Roman" w:hAnsi="Times New Roman"/>
          <w:b/>
          <w:bCs/>
          <w:sz w:val="24"/>
          <w:szCs w:val="24"/>
        </w:rPr>
        <w:t>, 12-14</w:t>
      </w:r>
    </w:p>
    <w:p w:rsidR="00544D23" w:rsidRPr="009B55EA" w:rsidRDefault="00544D23" w:rsidP="00544D23">
      <w:pPr>
        <w:spacing w:after="0" w:line="480" w:lineRule="auto"/>
        <w:jc w:val="both"/>
        <w:rPr>
          <w:rFonts w:ascii="Times New Roman" w:eastAsia="AdvP4DF60E" w:hAnsi="Times New Roman"/>
          <w:b/>
          <w:bCs/>
          <w:iCs/>
          <w:sz w:val="24"/>
          <w:szCs w:val="24"/>
        </w:rPr>
      </w:pPr>
      <w:r w:rsidRPr="009B55EA">
        <w:rPr>
          <w:rFonts w:ascii="Times New Roman" w:eastAsia="AdvP4DF60E" w:hAnsi="Times New Roman"/>
          <w:b/>
          <w:bCs/>
          <w:iCs/>
          <w:sz w:val="24"/>
          <w:szCs w:val="24"/>
        </w:rPr>
        <w:t>General</w:t>
      </w:r>
    </w:p>
    <w:p w:rsidR="00544D23" w:rsidRDefault="00544D23" w:rsidP="00544D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418A">
        <w:rPr>
          <w:rFonts w:ascii="Times New Roman" w:hAnsi="Times New Roman"/>
          <w:sz w:val="24"/>
          <w:szCs w:val="24"/>
        </w:rPr>
        <w:t>All the reactions were monitored by TLC (</w:t>
      </w:r>
      <w:proofErr w:type="spellStart"/>
      <w:r w:rsidRPr="0069418A">
        <w:rPr>
          <w:rFonts w:ascii="Times New Roman" w:hAnsi="Times New Roman"/>
          <w:sz w:val="24"/>
          <w:szCs w:val="24"/>
        </w:rPr>
        <w:t>Precoated</w:t>
      </w:r>
      <w:proofErr w:type="spellEnd"/>
      <w:r w:rsidRPr="0069418A">
        <w:rPr>
          <w:rFonts w:ascii="Times New Roman" w:hAnsi="Times New Roman"/>
          <w:sz w:val="24"/>
          <w:szCs w:val="24"/>
        </w:rPr>
        <w:t xml:space="preserve"> silica plates and visualizing under </w:t>
      </w:r>
      <w:proofErr w:type="spellStart"/>
      <w:r w:rsidRPr="0069418A">
        <w:rPr>
          <w:rFonts w:ascii="Times New Roman" w:hAnsi="Times New Roman"/>
          <w:sz w:val="24"/>
          <w:szCs w:val="24"/>
        </w:rPr>
        <w:t>UVlight</w:t>
      </w:r>
      <w:proofErr w:type="spellEnd"/>
      <w:r w:rsidRPr="0069418A">
        <w:rPr>
          <w:rFonts w:ascii="Times New Roman" w:hAnsi="Times New Roman"/>
          <w:sz w:val="24"/>
          <w:szCs w:val="24"/>
        </w:rPr>
        <w:t xml:space="preserve">). </w:t>
      </w:r>
      <w:r w:rsidRPr="00D21C5B">
        <w:rPr>
          <w:rFonts w:ascii="Times New Roman" w:hAnsi="Times New Roman"/>
          <w:sz w:val="24"/>
          <w:szCs w:val="24"/>
        </w:rPr>
        <w:t xml:space="preserve">Reagents and all solvents were analytically pure and were used without further purification. </w:t>
      </w:r>
      <w:r w:rsidRPr="0069418A">
        <w:rPr>
          <w:rFonts w:ascii="Times New Roman" w:hAnsi="Times New Roman"/>
          <w:sz w:val="24"/>
          <w:szCs w:val="24"/>
        </w:rPr>
        <w:t xml:space="preserve">Air-sensitive reagents were transferred by syringe or double-ended needle. Evaporation of solvents was performed at reduced pressure </w:t>
      </w:r>
      <w:r>
        <w:rPr>
          <w:rFonts w:ascii="Times New Roman" w:hAnsi="Times New Roman"/>
          <w:sz w:val="24"/>
          <w:szCs w:val="24"/>
        </w:rPr>
        <w:t xml:space="preserve">by using </w:t>
      </w:r>
      <w:proofErr w:type="spellStart"/>
      <w:r>
        <w:rPr>
          <w:rFonts w:ascii="Times New Roman" w:hAnsi="Times New Roman"/>
          <w:sz w:val="24"/>
          <w:szCs w:val="24"/>
        </w:rPr>
        <w:t>heidolph</w:t>
      </w:r>
      <w:proofErr w:type="spellEnd"/>
      <w:r w:rsidRPr="0069418A">
        <w:rPr>
          <w:rFonts w:ascii="Times New Roman" w:hAnsi="Times New Roman"/>
          <w:sz w:val="24"/>
          <w:szCs w:val="24"/>
        </w:rPr>
        <w:t xml:space="preserve"> rotary evaporator.</w:t>
      </w:r>
      <w:r w:rsidRPr="00031C4E">
        <w:rPr>
          <w:rFonts w:ascii="Times New Roman" w:hAnsi="Times New Roman"/>
          <w:sz w:val="24"/>
          <w:szCs w:val="24"/>
          <w:vertAlign w:val="superscript"/>
        </w:rPr>
        <w:t>1</w:t>
      </w:r>
      <w:r w:rsidRPr="0069418A">
        <w:rPr>
          <w:rFonts w:ascii="Times New Roman" w:hAnsi="Times New Roman"/>
          <w:sz w:val="24"/>
          <w:szCs w:val="24"/>
        </w:rPr>
        <w:t xml:space="preserve">H and </w:t>
      </w:r>
      <w:r w:rsidRPr="00031C4E">
        <w:rPr>
          <w:rFonts w:ascii="Times New Roman" w:hAnsi="Times New Roman"/>
          <w:sz w:val="24"/>
          <w:szCs w:val="24"/>
          <w:vertAlign w:val="superscript"/>
        </w:rPr>
        <w:t>13</w:t>
      </w:r>
      <w:r w:rsidRPr="0069418A">
        <w:rPr>
          <w:rFonts w:ascii="Times New Roman" w:hAnsi="Times New Roman"/>
          <w:sz w:val="24"/>
          <w:szCs w:val="24"/>
        </w:rPr>
        <w:t>C NMR spectra of samples in CDCl</w:t>
      </w:r>
      <w:r w:rsidRPr="0069418A">
        <w:rPr>
          <w:rFonts w:ascii="Times New Roman" w:hAnsi="Times New Roman"/>
          <w:sz w:val="24"/>
          <w:szCs w:val="24"/>
          <w:vertAlign w:val="subscript"/>
        </w:rPr>
        <w:t>3</w:t>
      </w:r>
      <w:r w:rsidRPr="0069418A">
        <w:rPr>
          <w:rFonts w:ascii="Times New Roman" w:hAnsi="Times New Roman"/>
          <w:sz w:val="24"/>
          <w:szCs w:val="24"/>
        </w:rPr>
        <w:t xml:space="preserve">were recorded on </w:t>
      </w:r>
      <w:r>
        <w:rPr>
          <w:rFonts w:ascii="Times New Roman" w:hAnsi="Times New Roman"/>
          <w:sz w:val="24"/>
          <w:szCs w:val="24"/>
        </w:rPr>
        <w:t>AVANCE</w:t>
      </w:r>
      <w:r w:rsidRPr="0069418A">
        <w:rPr>
          <w:rFonts w:ascii="Times New Roman" w:hAnsi="Times New Roman"/>
          <w:sz w:val="24"/>
          <w:szCs w:val="24"/>
        </w:rPr>
        <w:t>-300MHz</w:t>
      </w:r>
      <w:r>
        <w:rPr>
          <w:rFonts w:ascii="Times New Roman" w:hAnsi="Times New Roman"/>
          <w:sz w:val="24"/>
          <w:szCs w:val="24"/>
        </w:rPr>
        <w:t xml:space="preserve">, 400 MHz, </w:t>
      </w:r>
      <w:proofErr w:type="gramStart"/>
      <w:r>
        <w:rPr>
          <w:rFonts w:ascii="Times New Roman" w:hAnsi="Times New Roman"/>
          <w:sz w:val="24"/>
          <w:szCs w:val="24"/>
        </w:rPr>
        <w:t>500</w:t>
      </w:r>
      <w:proofErr w:type="gramEnd"/>
      <w:r>
        <w:rPr>
          <w:rFonts w:ascii="Times New Roman" w:hAnsi="Times New Roman"/>
          <w:sz w:val="24"/>
          <w:szCs w:val="24"/>
        </w:rPr>
        <w:t xml:space="preserve"> MHz</w:t>
      </w:r>
      <w:r w:rsidRPr="0069418A">
        <w:rPr>
          <w:rFonts w:ascii="Times New Roman" w:hAnsi="Times New Roman"/>
          <w:sz w:val="24"/>
          <w:szCs w:val="24"/>
        </w:rPr>
        <w:t xml:space="preserve"> spectrometer. Chemical shift reported are relative to an internal standard TMS (δ=0.0). </w:t>
      </w:r>
      <w:r w:rsidRPr="00D21C5B">
        <w:rPr>
          <w:rFonts w:ascii="Times New Roman" w:hAnsi="Times New Roman"/>
          <w:sz w:val="24"/>
          <w:szCs w:val="24"/>
        </w:rPr>
        <w:t xml:space="preserve">Spin multiplicities are described as s (singlet), </w:t>
      </w:r>
      <w:proofErr w:type="spellStart"/>
      <w:r w:rsidRPr="00D21C5B">
        <w:rPr>
          <w:rFonts w:ascii="Times New Roman" w:hAnsi="Times New Roman"/>
          <w:sz w:val="24"/>
          <w:szCs w:val="24"/>
        </w:rPr>
        <w:t>brs</w:t>
      </w:r>
      <w:proofErr w:type="spellEnd"/>
      <w:r w:rsidRPr="00D21C5B">
        <w:rPr>
          <w:rFonts w:ascii="Times New Roman" w:hAnsi="Times New Roman"/>
          <w:sz w:val="24"/>
          <w:szCs w:val="24"/>
        </w:rPr>
        <w:t xml:space="preserve"> (broad singlet), d (doublet), t (triplet), q (quartet), or m (</w:t>
      </w:r>
      <w:proofErr w:type="spellStart"/>
      <w:r w:rsidRPr="00D21C5B">
        <w:rPr>
          <w:rFonts w:ascii="Times New Roman" w:hAnsi="Times New Roman"/>
          <w:sz w:val="24"/>
          <w:szCs w:val="24"/>
        </w:rPr>
        <w:t>multiplet</w:t>
      </w:r>
      <w:proofErr w:type="spellEnd"/>
      <w:r w:rsidRPr="00D21C5B">
        <w:rPr>
          <w:rFonts w:ascii="Times New Roman" w:hAnsi="Times New Roman"/>
          <w:sz w:val="24"/>
          <w:szCs w:val="24"/>
        </w:rPr>
        <w:t xml:space="preserve">). Coupling constants are reported in hertz (Hz). </w:t>
      </w:r>
      <w:r w:rsidRPr="0069418A">
        <w:rPr>
          <w:rFonts w:ascii="Times New Roman" w:hAnsi="Times New Roman"/>
          <w:sz w:val="24"/>
          <w:szCs w:val="24"/>
        </w:rPr>
        <w:t>Mass spectra were recorded in E</w:t>
      </w:r>
      <w:r>
        <w:rPr>
          <w:rFonts w:ascii="Times New Roman" w:hAnsi="Times New Roman"/>
          <w:sz w:val="24"/>
          <w:szCs w:val="24"/>
        </w:rPr>
        <w:t>S</w:t>
      </w:r>
      <w:r w:rsidRPr="0069418A">
        <w:rPr>
          <w:rFonts w:ascii="Times New Roman" w:hAnsi="Times New Roman"/>
          <w:sz w:val="24"/>
          <w:szCs w:val="24"/>
        </w:rPr>
        <w:t xml:space="preserve">I conditions at 70 </w:t>
      </w:r>
      <w:proofErr w:type="spellStart"/>
      <w:r w:rsidRPr="0069418A">
        <w:rPr>
          <w:rFonts w:ascii="Times New Roman" w:hAnsi="Times New Roman"/>
          <w:sz w:val="24"/>
          <w:szCs w:val="24"/>
        </w:rPr>
        <w:t>eV</w:t>
      </w:r>
      <w:proofErr w:type="spellEnd"/>
      <w:r w:rsidRPr="0069418A">
        <w:rPr>
          <w:rFonts w:ascii="Times New Roman" w:hAnsi="Times New Roman"/>
          <w:sz w:val="24"/>
          <w:szCs w:val="24"/>
        </w:rPr>
        <w:t xml:space="preserve"> on LC-MSD (Agilent technologies) spectrometers. All high</w:t>
      </w:r>
      <w:r>
        <w:rPr>
          <w:rFonts w:ascii="Times New Roman" w:hAnsi="Times New Roman"/>
          <w:sz w:val="24"/>
          <w:szCs w:val="24"/>
        </w:rPr>
        <w:t xml:space="preserve">-resolution spectra were </w:t>
      </w:r>
      <w:r w:rsidRPr="0069418A">
        <w:rPr>
          <w:rFonts w:ascii="Times New Roman" w:hAnsi="Times New Roman"/>
          <w:sz w:val="24"/>
          <w:szCs w:val="24"/>
        </w:rPr>
        <w:t xml:space="preserve">recorded on QSTAR XL hybrid MS/MS system (Applied Bio systems/ MDS </w:t>
      </w:r>
      <w:proofErr w:type="spellStart"/>
      <w:r w:rsidRPr="0069418A">
        <w:rPr>
          <w:rFonts w:ascii="Times New Roman" w:hAnsi="Times New Roman"/>
          <w:sz w:val="24"/>
          <w:szCs w:val="24"/>
        </w:rPr>
        <w:t>sciex</w:t>
      </w:r>
      <w:proofErr w:type="spellEnd"/>
      <w:r w:rsidRPr="0069418A">
        <w:rPr>
          <w:rFonts w:ascii="Times New Roman" w:hAnsi="Times New Roman"/>
          <w:sz w:val="24"/>
          <w:szCs w:val="24"/>
        </w:rPr>
        <w:t xml:space="preserve">, foster city, USA), equipped with an ESI source (IICT, Hyderabad). Column chromatography was performed on silica gel (60-120 mesh) supplied by Acme Chemical Co., </w:t>
      </w:r>
      <w:smartTag w:uri="urn:schemas-microsoft-com:office:smarttags" w:element="place">
        <w:smartTag w:uri="urn:schemas-microsoft-com:office:smarttags" w:element="country-region">
          <w:r w:rsidRPr="0069418A">
            <w:rPr>
              <w:rFonts w:ascii="Times New Roman" w:hAnsi="Times New Roman"/>
              <w:sz w:val="24"/>
              <w:szCs w:val="24"/>
            </w:rPr>
            <w:t>India</w:t>
          </w:r>
        </w:smartTag>
      </w:smartTag>
      <w:r w:rsidRPr="0069418A">
        <w:rPr>
          <w:rFonts w:ascii="Times New Roman" w:hAnsi="Times New Roman"/>
          <w:sz w:val="24"/>
          <w:szCs w:val="24"/>
        </w:rPr>
        <w:t xml:space="preserve">. TLC was performed on Merck 60 F-254 silica gel plates. Commercially available anhydrous solvents </w:t>
      </w:r>
      <w:r>
        <w:rPr>
          <w:rFonts w:ascii="Times New Roman" w:hAnsi="Times New Roman"/>
          <w:sz w:val="24"/>
          <w:szCs w:val="24"/>
        </w:rPr>
        <w:t>Dichloromethane</w:t>
      </w:r>
      <w:r w:rsidRPr="006941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methanol, acetone </w:t>
      </w:r>
      <w:r w:rsidRPr="0069418A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69418A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hylacetate</w:t>
      </w:r>
      <w:proofErr w:type="spellEnd"/>
      <w:r w:rsidRPr="0069418A">
        <w:rPr>
          <w:rFonts w:ascii="Times New Roman" w:hAnsi="Times New Roman"/>
          <w:sz w:val="24"/>
          <w:szCs w:val="24"/>
        </w:rPr>
        <w:t xml:space="preserve"> were used as such without further purification.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C5B">
        <w:rPr>
          <w:rFonts w:ascii="Times New Roman" w:hAnsi="Times New Roman"/>
          <w:sz w:val="24"/>
          <w:szCs w:val="24"/>
        </w:rPr>
        <w:t>Natural α-</w:t>
      </w:r>
      <w:proofErr w:type="spellStart"/>
      <w:r w:rsidRPr="00D21C5B">
        <w:rPr>
          <w:rFonts w:ascii="Times New Roman" w:hAnsi="Times New Roman"/>
          <w:sz w:val="24"/>
          <w:szCs w:val="24"/>
        </w:rPr>
        <w:t>noscapine</w:t>
      </w:r>
      <w:proofErr w:type="spellEnd"/>
      <w:r w:rsidRPr="00D21C5B">
        <w:rPr>
          <w:rFonts w:ascii="Times New Roman" w:hAnsi="Times New Roman"/>
          <w:sz w:val="24"/>
          <w:szCs w:val="24"/>
        </w:rPr>
        <w:t xml:space="preserve"> was purchased from Sigma-Aldrich</w:t>
      </w:r>
      <w:r>
        <w:rPr>
          <w:rFonts w:ascii="Times New Roman" w:hAnsi="Times New Roman"/>
          <w:sz w:val="24"/>
          <w:szCs w:val="24"/>
        </w:rPr>
        <w:t>.</w:t>
      </w:r>
    </w:p>
    <w:p w:rsidR="005C6DF3" w:rsidRPr="005C6DF3" w:rsidRDefault="005C6DF3" w:rsidP="005C6DF3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5C6DF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General procedure for chemical synthesis of 9-arylimino </w:t>
      </w:r>
      <w:proofErr w:type="spellStart"/>
      <w:r w:rsidRPr="005C6DF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noscapinoids</w:t>
      </w:r>
      <w:proofErr w:type="spellEnd"/>
      <w:r w:rsidRPr="005C6DF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, 12-14 </w:t>
      </w:r>
    </w:p>
    <w:p w:rsidR="005C6DF3" w:rsidRDefault="005C6DF3" w:rsidP="005C6DF3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C6DF3">
        <w:rPr>
          <w:rFonts w:ascii="Times New Roman" w:hAnsi="Times New Roman"/>
          <w:sz w:val="24"/>
          <w:szCs w:val="24"/>
          <w:lang w:val="en-US"/>
        </w:rPr>
        <w:t>The natural α-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noscapine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 was used as a starting material to produced 9-aminonoscapine </w:t>
      </w:r>
      <w:r w:rsidRPr="005C6DF3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5C6DF3">
        <w:rPr>
          <w:rFonts w:ascii="Times New Roman" w:hAnsi="Times New Roman"/>
          <w:sz w:val="24"/>
          <w:szCs w:val="24"/>
          <w:lang w:val="en-US"/>
        </w:rPr>
        <w:t xml:space="preserve"> via a two reaction steps involving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bromination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noscapine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 using aqueous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>/Br</w:t>
      </w:r>
      <w:r w:rsidRPr="005C6DF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C6DF3">
        <w:rPr>
          <w:rFonts w:ascii="Times New Roman" w:hAnsi="Times New Roman"/>
          <w:sz w:val="24"/>
          <w:szCs w:val="24"/>
          <w:lang w:val="en-US"/>
        </w:rPr>
        <w:t>-H</w:t>
      </w:r>
      <w:r w:rsidRPr="005C6DF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C6DF3">
        <w:rPr>
          <w:rFonts w:ascii="Times New Roman" w:hAnsi="Times New Roman"/>
          <w:sz w:val="24"/>
          <w:szCs w:val="24"/>
          <w:lang w:val="en-US"/>
        </w:rPr>
        <w:t xml:space="preserve">O followed by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amination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 using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CuI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>, NaN</w:t>
      </w:r>
      <w:r w:rsidRPr="005C6DF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5C6DF3">
        <w:rPr>
          <w:rFonts w:ascii="Times New Roman" w:hAnsi="Times New Roman"/>
          <w:sz w:val="24"/>
          <w:szCs w:val="24"/>
          <w:lang w:val="en-US"/>
        </w:rPr>
        <w:t xml:space="preserve"> and L-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Proline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 in DMSO as reported earlier [11]. A solution of 9-</w:t>
      </w:r>
      <w:r w:rsidRPr="005C6DF3">
        <w:rPr>
          <w:rFonts w:ascii="Times New Roman" w:hAnsi="Times New Roman"/>
          <w:sz w:val="24"/>
          <w:szCs w:val="24"/>
          <w:lang w:val="en-US"/>
        </w:rPr>
        <w:lastRenderedPageBreak/>
        <w:t xml:space="preserve">aminonoscapine </w:t>
      </w:r>
      <w:r w:rsidRPr="005C6DF3">
        <w:rPr>
          <w:rFonts w:ascii="Times New Roman" w:hAnsi="Times New Roman"/>
          <w:b/>
          <w:bCs/>
          <w:sz w:val="24"/>
          <w:szCs w:val="24"/>
          <w:lang w:val="en-US"/>
        </w:rPr>
        <w:t xml:space="preserve">6 </w:t>
      </w:r>
      <w:r w:rsidRPr="005C6DF3">
        <w:rPr>
          <w:rFonts w:ascii="Times New Roman" w:hAnsi="Times New Roman"/>
          <w:sz w:val="24"/>
          <w:szCs w:val="24"/>
          <w:lang w:val="en-US"/>
        </w:rPr>
        <w:t xml:space="preserve">(1.0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mmol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), in ethanol (15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mL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>), was refluxed with substituted aryl/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heteroaryl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aldehydes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 (2</w:t>
      </w:r>
      <w:proofErr w:type="gramStart"/>
      <w:r w:rsidRPr="005C6DF3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Pr="005C6DF3">
        <w:rPr>
          <w:rFonts w:ascii="Times New Roman" w:hAnsi="Times New Roman"/>
          <w:sz w:val="24"/>
          <w:szCs w:val="24"/>
          <w:lang w:val="en-US"/>
        </w:rPr>
        <w:t>-difluorobenzaldehyde or 5-bromothiophenecarboxaldehyde or p-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bromo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benzaldehyde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, 1.0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mmol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), for 12 h. After the starting material was completely consumed in the reaction (judged by TLC), the solvent was evaporated under vacuum. The crude residue was extracted into dichloromethane (2 x 15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mL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>) and washed with brine solution. The organic layer was collected and passed through a Na</w:t>
      </w:r>
      <w:r w:rsidRPr="005C6DF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C6DF3">
        <w:rPr>
          <w:rFonts w:ascii="Times New Roman" w:hAnsi="Times New Roman"/>
          <w:sz w:val="24"/>
          <w:szCs w:val="24"/>
          <w:lang w:val="en-US"/>
        </w:rPr>
        <w:t>SO</w:t>
      </w:r>
      <w:r w:rsidRPr="005C6DF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C6DF3">
        <w:rPr>
          <w:rFonts w:ascii="Times New Roman" w:hAnsi="Times New Roman"/>
          <w:sz w:val="24"/>
          <w:szCs w:val="24"/>
          <w:lang w:val="en-US"/>
        </w:rPr>
        <w:t xml:space="preserve"> bed and later on removed under reduced pressure. The crude residue was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chromatographed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 over a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triethylamine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 silica bed, using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pet.ether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/ethyl acetate (7:3) as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eluents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 xml:space="preserve">, to produce 9-arylimino </w:t>
      </w:r>
      <w:proofErr w:type="spellStart"/>
      <w:r w:rsidRPr="005C6DF3">
        <w:rPr>
          <w:rFonts w:ascii="Times New Roman" w:hAnsi="Times New Roman"/>
          <w:sz w:val="24"/>
          <w:szCs w:val="24"/>
          <w:lang w:val="en-US"/>
        </w:rPr>
        <w:t>noscapinoids</w:t>
      </w:r>
      <w:proofErr w:type="spellEnd"/>
      <w:r w:rsidRPr="005C6DF3">
        <w:rPr>
          <w:rFonts w:ascii="Times New Roman" w:hAnsi="Times New Roman"/>
          <w:sz w:val="24"/>
          <w:szCs w:val="24"/>
          <w:lang w:val="en-US"/>
        </w:rPr>
        <w:t>,</w:t>
      </w:r>
      <w:r w:rsidRPr="005C6DF3">
        <w:rPr>
          <w:rFonts w:ascii="Times New Roman" w:hAnsi="Times New Roman"/>
          <w:b/>
          <w:bCs/>
          <w:sz w:val="24"/>
          <w:szCs w:val="24"/>
          <w:lang w:val="en-US"/>
        </w:rPr>
        <w:t xml:space="preserve"> 12-14 </w:t>
      </w:r>
      <w:r w:rsidRPr="005C6DF3">
        <w:rPr>
          <w:rFonts w:ascii="Times New Roman" w:hAnsi="Times New Roman"/>
          <w:sz w:val="24"/>
          <w:szCs w:val="24"/>
          <w:lang w:val="en-US"/>
        </w:rPr>
        <w:t xml:space="preserve">(Figure 4) as solid products in very good yield. Structural characterization of all the intermediates and final products </w:t>
      </w:r>
      <w:r w:rsidRPr="005C6DF3">
        <w:rPr>
          <w:rFonts w:ascii="Times New Roman" w:hAnsi="Times New Roman"/>
          <w:b/>
          <w:bCs/>
          <w:sz w:val="24"/>
          <w:szCs w:val="24"/>
          <w:lang w:val="en-US"/>
        </w:rPr>
        <w:t>12-14</w:t>
      </w:r>
      <w:r w:rsidRPr="005C6DF3">
        <w:rPr>
          <w:rFonts w:ascii="Times New Roman" w:hAnsi="Times New Roman"/>
          <w:sz w:val="24"/>
          <w:szCs w:val="24"/>
          <w:lang w:val="en-US"/>
        </w:rPr>
        <w:t xml:space="preserve"> were done using NMR (</w:t>
      </w:r>
      <w:r w:rsidRPr="005C6DF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5C6DF3">
        <w:rPr>
          <w:rFonts w:ascii="Times New Roman" w:hAnsi="Times New Roman"/>
          <w:sz w:val="24"/>
          <w:szCs w:val="24"/>
          <w:lang w:val="en-US"/>
        </w:rPr>
        <w:t xml:space="preserve">H and </w:t>
      </w:r>
      <w:r w:rsidRPr="005C6DF3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Pr="005C6DF3">
        <w:rPr>
          <w:rFonts w:ascii="Times New Roman" w:hAnsi="Times New Roman"/>
          <w:sz w:val="24"/>
          <w:szCs w:val="24"/>
          <w:lang w:val="en-US"/>
        </w:rPr>
        <w:t xml:space="preserve">C), IR spectroscopy and mass (HRMS) spectrometry techniques.  </w:t>
      </w:r>
    </w:p>
    <w:p w:rsidR="00FC2BD3" w:rsidRDefault="00FC2BD3" w:rsidP="00FC2BD3">
      <w:pPr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5.4pt;margin-top:353.5pt;width:95.75pt;height:145pt;z-index:251661312">
            <v:imagedata r:id="rId4" o:title=""/>
          </v:shape>
          <o:OLEObject Type="Embed" ProgID="ChemDraw.Document.6.0" ShapeID="_x0000_s1027" DrawAspect="Content" ObjectID="_1670606491" r:id="rId5"/>
        </w:pict>
      </w:r>
      <w:r>
        <w:rPr>
          <w:noProof/>
        </w:rPr>
        <w:pict>
          <v:shape id="_x0000_s1026" type="#_x0000_t75" style="position:absolute;left:0;text-align:left;margin-left:403.6pt;margin-top:18.35pt;width:95.75pt;height:145pt;z-index:251660288">
            <v:imagedata r:id="rId4" o:title=""/>
          </v:shape>
          <o:OLEObject Type="Embed" ProgID="ChemDraw.Document.6.0" ShapeID="_x0000_s1026" DrawAspect="Content" ObjectID="_1670606492" r:id="rId6"/>
        </w:pict>
      </w:r>
      <w:r w:rsidRPr="00387B9B">
        <w:rPr>
          <w:noProof/>
        </w:rPr>
        <w:drawing>
          <wp:inline distT="0" distB="0" distL="0" distR="0">
            <wp:extent cx="5943600" cy="3731452"/>
            <wp:effectExtent l="19050" t="19050" r="19050" b="21398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14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B9B">
        <w:rPr>
          <w:noProof/>
        </w:rPr>
        <w:drawing>
          <wp:inline distT="0" distB="0" distL="0" distR="0">
            <wp:extent cx="5940006" cy="4581602"/>
            <wp:effectExtent l="19050" t="19050" r="22644" b="28498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6" cy="45816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28" type="#_x0000_t75" style="position:absolute;left:0;text-align:left;margin-left:372.75pt;margin-top:31.5pt;width:95.75pt;height:145pt;z-index:251662336;mso-position-horizontal-relative:text;mso-position-vertical-relative:text">
            <v:imagedata r:id="rId4" o:title=""/>
          </v:shape>
          <o:OLEObject Type="Embed" ProgID="ChemDraw.Document.6.0" ShapeID="_x0000_s1028" DrawAspect="Content" ObjectID="_1670606493" r:id="rId9"/>
        </w:pict>
      </w:r>
      <w:r w:rsidRPr="00387B9B">
        <w:rPr>
          <w:noProof/>
        </w:rPr>
        <w:drawing>
          <wp:inline distT="0" distB="0" distL="0" distR="0">
            <wp:extent cx="5943600" cy="4584373"/>
            <wp:effectExtent l="19050" t="19050" r="19050" b="25727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43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D3" w:rsidRDefault="00FC2BD3" w:rsidP="00FC2BD3">
      <w:pPr>
        <w:jc w:val="center"/>
      </w:pPr>
      <w:r>
        <w:rPr>
          <w:noProof/>
        </w:rPr>
        <w:pict>
          <v:shape id="_x0000_s1029" type="#_x0000_t75" style="position:absolute;left:0;text-align:left;margin-left:379.7pt;margin-top:2.4pt;width:90.4pt;height:146.35pt;z-index:251663360">
            <v:imagedata r:id="rId11" o:title=""/>
          </v:shape>
          <o:OLEObject Type="Embed" ProgID="ChemDraw.Document.6.0" ShapeID="_x0000_s1029" DrawAspect="Content" ObjectID="_1670606494" r:id="rId12"/>
        </w:pict>
      </w:r>
      <w:r>
        <w:rPr>
          <w:noProof/>
        </w:rPr>
        <w:drawing>
          <wp:inline distT="0" distB="0" distL="0" distR="0">
            <wp:extent cx="5943600" cy="3630697"/>
            <wp:effectExtent l="19050" t="19050" r="19050" b="26903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06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D3" w:rsidRDefault="00FC2BD3" w:rsidP="00FC2BD3">
      <w:pPr>
        <w:jc w:val="center"/>
      </w:pPr>
      <w:r>
        <w:rPr>
          <w:noProof/>
        </w:rPr>
        <w:lastRenderedPageBreak/>
        <w:pict>
          <v:shape id="_x0000_s1030" type="#_x0000_t75" style="position:absolute;left:0;text-align:left;margin-left:4.5pt;margin-top:14.35pt;width:90.4pt;height:146.35pt;z-index:251664384">
            <v:imagedata r:id="rId11" o:title=""/>
          </v:shape>
          <o:OLEObject Type="Embed" ProgID="ChemDraw.Document.6.0" ShapeID="_x0000_s1030" DrawAspect="Content" ObjectID="_1670606495" r:id="rId14"/>
        </w:pict>
      </w:r>
      <w:r>
        <w:rPr>
          <w:noProof/>
        </w:rPr>
        <w:drawing>
          <wp:inline distT="0" distB="0" distL="0" distR="0">
            <wp:extent cx="5726142" cy="4414063"/>
            <wp:effectExtent l="19050" t="19050" r="26958" b="24587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7" cy="44167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D3" w:rsidRDefault="00FC2BD3" w:rsidP="00FC2BD3">
      <w:pPr>
        <w:jc w:val="center"/>
      </w:pPr>
      <w:r>
        <w:rPr>
          <w:noProof/>
        </w:rPr>
        <w:pict>
          <v:shape id="_x0000_s1031" type="#_x0000_t75" style="position:absolute;left:0;text-align:left;margin-left:289.5pt;margin-top:46.7pt;width:90.4pt;height:146.35pt;z-index:251665408">
            <v:imagedata r:id="rId11" o:title=""/>
          </v:shape>
          <o:OLEObject Type="Embed" ProgID="ChemDraw.Document.6.0" ShapeID="_x0000_s1031" DrawAspect="Content" ObjectID="_1670606496" r:id="rId16"/>
        </w:pict>
      </w:r>
      <w:r>
        <w:rPr>
          <w:noProof/>
        </w:rPr>
        <w:drawing>
          <wp:inline distT="0" distB="0" distL="0" distR="0">
            <wp:extent cx="5527735" cy="4261119"/>
            <wp:effectExtent l="19050" t="19050" r="15815" b="25131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80" cy="42636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D3" w:rsidRDefault="00FC2BD3" w:rsidP="00FC2BD3">
      <w:pPr>
        <w:jc w:val="center"/>
      </w:pPr>
      <w:r>
        <w:rPr>
          <w:noProof/>
        </w:rPr>
        <w:lastRenderedPageBreak/>
        <w:pict>
          <v:shape id="_x0000_s1032" type="#_x0000_t75" style="position:absolute;left:0;text-align:left;margin-left:372.75pt;margin-top:7.75pt;width:95.05pt;height:153.9pt;z-index:251658240">
            <v:imagedata r:id="rId18" o:title=""/>
          </v:shape>
          <o:OLEObject Type="Embed" ProgID="ChemDraw.Document.6.0" ShapeID="_x0000_s1032" DrawAspect="Content" ObjectID="_1670606497" r:id="rId19"/>
        </w:pict>
      </w:r>
      <w:r>
        <w:rPr>
          <w:noProof/>
        </w:rPr>
        <w:drawing>
          <wp:inline distT="0" distB="0" distL="0" distR="0">
            <wp:extent cx="5943600" cy="3554480"/>
            <wp:effectExtent l="19050" t="19050" r="19050" b="2692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4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D3" w:rsidRDefault="00FC2BD3" w:rsidP="00FC2BD3">
      <w:pPr>
        <w:jc w:val="center"/>
      </w:pPr>
      <w:r>
        <w:rPr>
          <w:noProof/>
        </w:rPr>
        <w:pict>
          <v:shape id="_x0000_s1033" type="#_x0000_t75" style="position:absolute;left:0;text-align:left;margin-left:375.25pt;margin-top:74.75pt;width:95.05pt;height:153.9pt;z-index:251658240">
            <v:imagedata r:id="rId18" o:title=""/>
          </v:shape>
          <o:OLEObject Type="Embed" ProgID="ChemDraw.Document.6.0" ShapeID="_x0000_s1033" DrawAspect="Content" ObjectID="_1670606498" r:id="rId21"/>
        </w:pict>
      </w:r>
      <w:r>
        <w:t>.</w:t>
      </w:r>
      <w:r w:rsidRPr="004753E1">
        <w:t xml:space="preserve"> </w:t>
      </w:r>
      <w:r>
        <w:rPr>
          <w:noProof/>
        </w:rPr>
        <w:drawing>
          <wp:inline distT="0" distB="0" distL="0" distR="0">
            <wp:extent cx="5943600" cy="4581693"/>
            <wp:effectExtent l="19050" t="19050" r="19050" b="28407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6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D3" w:rsidRDefault="00FC2BD3" w:rsidP="00FC2BD3">
      <w:pPr>
        <w:jc w:val="center"/>
      </w:pPr>
      <w:r>
        <w:rPr>
          <w:noProof/>
        </w:rPr>
        <w:lastRenderedPageBreak/>
        <w:pict>
          <v:shape id="_x0000_s1034" type="#_x0000_t75" style="position:absolute;left:0;text-align:left;margin-left:371.85pt;margin-top:39.15pt;width:95.05pt;height:153.9pt;z-index:251658240">
            <v:imagedata r:id="rId18" o:title=""/>
          </v:shape>
          <o:OLEObject Type="Embed" ProgID="ChemDraw.Document.6.0" ShapeID="_x0000_s1034" DrawAspect="Content" ObjectID="_1670606499" r:id="rId23"/>
        </w:pict>
      </w:r>
      <w:r>
        <w:rPr>
          <w:noProof/>
        </w:rPr>
        <w:drawing>
          <wp:inline distT="0" distB="0" distL="0" distR="0">
            <wp:extent cx="5943600" cy="4581693"/>
            <wp:effectExtent l="19050" t="19050" r="19050" b="28407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6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ADE" w:rsidRPr="00667ADE" w:rsidRDefault="00667ADE" w:rsidP="00182BBA">
      <w:pPr>
        <w:pStyle w:val="NormalWeb"/>
        <w:spacing w:before="0" w:after="0" w:line="480" w:lineRule="auto"/>
        <w:jc w:val="both"/>
        <w:rPr>
          <w:b/>
          <w:bCs/>
          <w:iCs/>
        </w:rPr>
      </w:pPr>
      <w:r w:rsidRPr="00667ADE">
        <w:rPr>
          <w:b/>
          <w:bCs/>
          <w:iCs/>
        </w:rPr>
        <w:t>Cellular proliferation study</w:t>
      </w:r>
    </w:p>
    <w:p w:rsidR="00182BBA" w:rsidRPr="00C46F72" w:rsidRDefault="00182BBA" w:rsidP="00182BBA">
      <w:pPr>
        <w:pStyle w:val="NormalWeb"/>
        <w:spacing w:before="0" w:after="0" w:line="480" w:lineRule="auto"/>
        <w:jc w:val="both"/>
        <w:rPr>
          <w:b/>
          <w:bCs/>
          <w:i/>
          <w:iCs/>
        </w:rPr>
      </w:pPr>
      <w:r w:rsidRPr="00C46F72">
        <w:rPr>
          <w:b/>
          <w:bCs/>
          <w:i/>
          <w:iCs/>
        </w:rPr>
        <w:t>Cell culture and reagents</w:t>
      </w:r>
    </w:p>
    <w:p w:rsidR="00182BBA" w:rsidRPr="00667ADE" w:rsidRDefault="00182BBA" w:rsidP="00182BBA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7ADE">
        <w:rPr>
          <w:rFonts w:ascii="Times New Roman" w:hAnsi="Times New Roman"/>
          <w:sz w:val="24"/>
          <w:szCs w:val="24"/>
        </w:rPr>
        <w:t>Noscapine</w:t>
      </w:r>
      <w:proofErr w:type="spellEnd"/>
      <w:r w:rsidRPr="00667ADE">
        <w:rPr>
          <w:rFonts w:ascii="Times New Roman" w:hAnsi="Times New Roman"/>
          <w:sz w:val="24"/>
          <w:szCs w:val="24"/>
        </w:rPr>
        <w:t xml:space="preserve"> was obtained from Sigma. All the chemical reagents and media for cell culture were obtained from Sigma. Human breast cancer cell line, MCF-7 and MDAMB-231 were obtained from the cell repository of the National </w:t>
      </w:r>
      <w:proofErr w:type="spellStart"/>
      <w:r w:rsidRPr="00667ADE">
        <w:rPr>
          <w:rFonts w:ascii="Times New Roman" w:hAnsi="Times New Roman"/>
          <w:sz w:val="24"/>
          <w:szCs w:val="24"/>
        </w:rPr>
        <w:t>Center</w:t>
      </w:r>
      <w:proofErr w:type="spellEnd"/>
      <w:r w:rsidRPr="00667ADE">
        <w:rPr>
          <w:rFonts w:ascii="Times New Roman" w:hAnsi="Times New Roman"/>
          <w:sz w:val="24"/>
          <w:szCs w:val="24"/>
        </w:rPr>
        <w:t xml:space="preserve"> for Cell Science </w:t>
      </w:r>
      <w:proofErr w:type="spellStart"/>
      <w:r w:rsidRPr="00667ADE">
        <w:rPr>
          <w:rFonts w:ascii="Times New Roman" w:hAnsi="Times New Roman"/>
          <w:sz w:val="24"/>
          <w:szCs w:val="24"/>
        </w:rPr>
        <w:t>Pune</w:t>
      </w:r>
      <w:proofErr w:type="spellEnd"/>
      <w:r w:rsidRPr="00667ADE">
        <w:rPr>
          <w:rFonts w:ascii="Times New Roman" w:hAnsi="Times New Roman"/>
          <w:sz w:val="24"/>
          <w:szCs w:val="24"/>
        </w:rPr>
        <w:t xml:space="preserve">, Maharashtra, India. Primary breast cancer cells were isolated from the patient’s samples. Stock solution (100 </w:t>
      </w:r>
      <w:proofErr w:type="spellStart"/>
      <w:r w:rsidRPr="00667ADE">
        <w:rPr>
          <w:rFonts w:ascii="Times New Roman" w:hAnsi="Times New Roman"/>
          <w:sz w:val="24"/>
          <w:szCs w:val="24"/>
        </w:rPr>
        <w:t>mM</w:t>
      </w:r>
      <w:proofErr w:type="spellEnd"/>
      <w:r w:rsidRPr="00667ADE">
        <w:rPr>
          <w:rFonts w:ascii="Times New Roman" w:hAnsi="Times New Roman"/>
          <w:sz w:val="24"/>
          <w:szCs w:val="24"/>
        </w:rPr>
        <w:t xml:space="preserve">) of the newly synthesized 9-arylimino </w:t>
      </w:r>
      <w:proofErr w:type="spellStart"/>
      <w:r w:rsidRPr="00667ADE">
        <w:rPr>
          <w:rFonts w:ascii="Times New Roman" w:hAnsi="Times New Roman"/>
          <w:sz w:val="24"/>
          <w:szCs w:val="24"/>
        </w:rPr>
        <w:t>noscapinoids</w:t>
      </w:r>
      <w:proofErr w:type="spellEnd"/>
      <w:r w:rsidRPr="00667ADE">
        <w:rPr>
          <w:rFonts w:ascii="Times New Roman" w:hAnsi="Times New Roman"/>
          <w:sz w:val="24"/>
          <w:szCs w:val="24"/>
        </w:rPr>
        <w:t>, 1</w:t>
      </w:r>
      <w:r w:rsidRPr="00667ADE">
        <w:rPr>
          <w:rFonts w:ascii="Times New Roman" w:hAnsi="Times New Roman"/>
          <w:b/>
          <w:bCs/>
          <w:sz w:val="24"/>
          <w:szCs w:val="24"/>
        </w:rPr>
        <w:t xml:space="preserve">2-14 </w:t>
      </w:r>
      <w:r w:rsidRPr="00667ADE">
        <w:rPr>
          <w:rFonts w:ascii="Times New Roman" w:hAnsi="Times New Roman"/>
          <w:sz w:val="24"/>
          <w:szCs w:val="24"/>
        </w:rPr>
        <w:t xml:space="preserve">was prepared with </w:t>
      </w:r>
      <w:proofErr w:type="spellStart"/>
      <w:r w:rsidRPr="00667ADE">
        <w:rPr>
          <w:rFonts w:ascii="Times New Roman" w:hAnsi="Times New Roman"/>
          <w:sz w:val="24"/>
          <w:szCs w:val="24"/>
        </w:rPr>
        <w:t>dimethyl</w:t>
      </w:r>
      <w:proofErr w:type="spellEnd"/>
      <w:r w:rsidRPr="00667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ADE">
        <w:rPr>
          <w:rFonts w:ascii="Times New Roman" w:hAnsi="Times New Roman"/>
          <w:sz w:val="24"/>
          <w:szCs w:val="24"/>
        </w:rPr>
        <w:t>sulfoxide</w:t>
      </w:r>
      <w:proofErr w:type="spellEnd"/>
      <w:r w:rsidRPr="00667ADE">
        <w:rPr>
          <w:rFonts w:ascii="Times New Roman" w:hAnsi="Times New Roman"/>
          <w:sz w:val="24"/>
          <w:szCs w:val="24"/>
        </w:rPr>
        <w:t xml:space="preserve"> (DMSO) and stored at 4 </w:t>
      </w:r>
      <w:proofErr w:type="spellStart"/>
      <w:r w:rsidRPr="00667ADE">
        <w:rPr>
          <w:rFonts w:ascii="Times New Roman" w:hAnsi="Times New Roman"/>
          <w:sz w:val="24"/>
          <w:szCs w:val="24"/>
          <w:vertAlign w:val="superscript"/>
        </w:rPr>
        <w:t>o</w:t>
      </w:r>
      <w:r w:rsidRPr="00667ADE">
        <w:rPr>
          <w:rFonts w:ascii="Times New Roman" w:hAnsi="Times New Roman"/>
          <w:sz w:val="24"/>
          <w:szCs w:val="24"/>
        </w:rPr>
        <w:t>C</w:t>
      </w:r>
      <w:proofErr w:type="spellEnd"/>
      <w:r w:rsidRPr="00667ADE">
        <w:rPr>
          <w:rFonts w:ascii="Times New Roman" w:hAnsi="Times New Roman"/>
          <w:sz w:val="24"/>
          <w:szCs w:val="24"/>
        </w:rPr>
        <w:t xml:space="preserve"> until use. The cells were allowed to grow at a temperature of 37 °C in a 5% CO</w:t>
      </w:r>
      <w:r w:rsidRPr="00667ADE">
        <w:rPr>
          <w:rFonts w:ascii="Times New Roman" w:hAnsi="Times New Roman"/>
          <w:sz w:val="24"/>
          <w:szCs w:val="24"/>
          <w:vertAlign w:val="subscript"/>
        </w:rPr>
        <w:t>2</w:t>
      </w:r>
      <w:r w:rsidRPr="00667ADE">
        <w:rPr>
          <w:rFonts w:ascii="Times New Roman" w:hAnsi="Times New Roman"/>
          <w:sz w:val="24"/>
          <w:szCs w:val="24"/>
        </w:rPr>
        <w:t xml:space="preserve"> and 95% humidity in Dulbecco's modified Eagle medium (DMEM), supplemented with 10% </w:t>
      </w:r>
      <w:proofErr w:type="spellStart"/>
      <w:r w:rsidRPr="00667ADE">
        <w:rPr>
          <w:rFonts w:ascii="Times New Roman" w:hAnsi="Times New Roman"/>
          <w:sz w:val="24"/>
          <w:szCs w:val="24"/>
        </w:rPr>
        <w:t>fetal</w:t>
      </w:r>
      <w:proofErr w:type="spellEnd"/>
      <w:r w:rsidRPr="00667ADE">
        <w:rPr>
          <w:rFonts w:ascii="Times New Roman" w:hAnsi="Times New Roman"/>
          <w:sz w:val="24"/>
          <w:szCs w:val="24"/>
        </w:rPr>
        <w:t xml:space="preserve"> bovine serum (FBS) and antibiotics. Cells with a 70-80 % confluence were sub cultured for bioassays using </w:t>
      </w:r>
      <w:proofErr w:type="spellStart"/>
      <w:r w:rsidRPr="00667ADE">
        <w:rPr>
          <w:rFonts w:ascii="Times New Roman" w:hAnsi="Times New Roman"/>
          <w:sz w:val="24"/>
          <w:szCs w:val="24"/>
        </w:rPr>
        <w:t>trypsin</w:t>
      </w:r>
      <w:proofErr w:type="spellEnd"/>
      <w:r w:rsidRPr="00667ADE">
        <w:rPr>
          <w:rFonts w:ascii="Times New Roman" w:hAnsi="Times New Roman"/>
          <w:sz w:val="24"/>
          <w:szCs w:val="24"/>
        </w:rPr>
        <w:t>-EDTA (0.25 %).</w:t>
      </w:r>
    </w:p>
    <w:p w:rsidR="00182BBA" w:rsidRPr="00667ADE" w:rsidRDefault="00182BBA" w:rsidP="00182BBA">
      <w:pPr>
        <w:pStyle w:val="NormalWeb"/>
        <w:spacing w:before="0" w:after="0" w:line="480" w:lineRule="auto"/>
        <w:jc w:val="both"/>
        <w:rPr>
          <w:rFonts w:cs="Times New Roman"/>
          <w:i/>
          <w:iCs/>
        </w:rPr>
      </w:pPr>
      <w:r w:rsidRPr="00667ADE">
        <w:rPr>
          <w:rFonts w:cs="Times New Roman"/>
          <w:b/>
          <w:bCs/>
          <w:i/>
          <w:iCs/>
        </w:rPr>
        <w:t>Cellular proliferation using MCF-7 and MDAMB-231 cell lines</w:t>
      </w:r>
    </w:p>
    <w:p w:rsidR="00182BBA" w:rsidRPr="00667ADE" w:rsidRDefault="00182BBA" w:rsidP="00182BBA">
      <w:pPr>
        <w:pStyle w:val="NormalWeb"/>
        <w:spacing w:before="0" w:after="120" w:line="480" w:lineRule="auto"/>
        <w:ind w:firstLine="720"/>
        <w:jc w:val="both"/>
        <w:rPr>
          <w:rFonts w:cs="Times New Roman"/>
        </w:rPr>
      </w:pPr>
      <w:proofErr w:type="spellStart"/>
      <w:r w:rsidRPr="00667ADE">
        <w:rPr>
          <w:rFonts w:cs="Times New Roman"/>
        </w:rPr>
        <w:t>Antiproliferation</w:t>
      </w:r>
      <w:proofErr w:type="spellEnd"/>
      <w:r w:rsidRPr="00667ADE">
        <w:rPr>
          <w:rFonts w:cs="Times New Roman"/>
        </w:rPr>
        <w:t xml:space="preserve"> activity of 9-arylimino </w:t>
      </w:r>
      <w:proofErr w:type="spellStart"/>
      <w:r w:rsidRPr="00667ADE">
        <w:rPr>
          <w:rFonts w:cs="Times New Roman"/>
        </w:rPr>
        <w:t>noscapinoids</w:t>
      </w:r>
      <w:proofErr w:type="spellEnd"/>
      <w:r w:rsidRPr="00667ADE">
        <w:rPr>
          <w:rFonts w:cs="Times New Roman"/>
        </w:rPr>
        <w:t>, 1</w:t>
      </w:r>
      <w:r w:rsidRPr="00667ADE">
        <w:rPr>
          <w:rFonts w:cs="Times New Roman"/>
          <w:b/>
          <w:bCs/>
        </w:rPr>
        <w:t xml:space="preserve">2-14 </w:t>
      </w:r>
      <w:r w:rsidRPr="00667ADE">
        <w:rPr>
          <w:rFonts w:cs="Times New Roman"/>
        </w:rPr>
        <w:t xml:space="preserve">was performed in 96-well plates as described previously using two human breast cancer cell lines, MCF-7 and MDAMB-231 </w:t>
      </w:r>
      <w:r w:rsidRPr="00667ADE">
        <w:rPr>
          <w:rFonts w:cs="Times New Roman"/>
        </w:rPr>
        <w:lastRenderedPageBreak/>
        <w:t xml:space="preserve">[24]. In brief, cells were grown in DMEM culture medium supplemented with 10% FBS, 1% penicillin/streptomycin and 2 </w:t>
      </w:r>
      <w:proofErr w:type="spellStart"/>
      <w:r w:rsidRPr="00667ADE">
        <w:rPr>
          <w:rFonts w:cs="Times New Roman"/>
        </w:rPr>
        <w:t>mM</w:t>
      </w:r>
      <w:proofErr w:type="spellEnd"/>
      <w:r w:rsidRPr="00667ADE">
        <w:rPr>
          <w:rFonts w:cs="Times New Roman"/>
        </w:rPr>
        <w:t xml:space="preserve"> l-glutamine at 37 °C in a humidified atmosphere with 5% CO</w:t>
      </w:r>
      <w:r w:rsidRPr="00667ADE">
        <w:rPr>
          <w:rFonts w:cs="Times New Roman"/>
          <w:vertAlign w:val="subscript"/>
        </w:rPr>
        <w:t>2</w:t>
      </w:r>
      <w:r w:rsidRPr="00667ADE">
        <w:rPr>
          <w:rFonts w:cs="Times New Roman"/>
        </w:rPr>
        <w:t>. Cells were plated at a density of 5x10</w:t>
      </w:r>
      <w:r w:rsidRPr="00667ADE">
        <w:rPr>
          <w:rFonts w:cs="Times New Roman"/>
          <w:vertAlign w:val="superscript"/>
        </w:rPr>
        <w:t>3</w:t>
      </w:r>
      <w:r w:rsidRPr="00667ADE">
        <w:rPr>
          <w:rFonts w:cs="Times New Roman"/>
        </w:rPr>
        <w:t xml:space="preserve"> cells per well and were treated with gradient concentrations (5 to 100 µM) of </w:t>
      </w:r>
      <w:proofErr w:type="spellStart"/>
      <w:r w:rsidRPr="00667ADE">
        <w:rPr>
          <w:rFonts w:cs="Times New Roman"/>
        </w:rPr>
        <w:t>noscapine</w:t>
      </w:r>
      <w:proofErr w:type="spellEnd"/>
      <w:r w:rsidRPr="00667ADE">
        <w:rPr>
          <w:rFonts w:cs="Times New Roman"/>
        </w:rPr>
        <w:t xml:space="preserve"> and its derivatives, 9-arylimino </w:t>
      </w:r>
      <w:proofErr w:type="spellStart"/>
      <w:r w:rsidRPr="00667ADE">
        <w:rPr>
          <w:rFonts w:cs="Times New Roman"/>
        </w:rPr>
        <w:t>noscapinoids</w:t>
      </w:r>
      <w:proofErr w:type="spellEnd"/>
      <w:r w:rsidRPr="00667ADE">
        <w:rPr>
          <w:rFonts w:cs="Times New Roman"/>
        </w:rPr>
        <w:t>, 1</w:t>
      </w:r>
      <w:r w:rsidRPr="00667ADE">
        <w:rPr>
          <w:rFonts w:cs="Times New Roman"/>
          <w:b/>
          <w:bCs/>
        </w:rPr>
        <w:t xml:space="preserve">2-14 </w:t>
      </w:r>
      <w:r w:rsidRPr="00667ADE">
        <w:rPr>
          <w:rFonts w:cs="Times New Roman"/>
        </w:rPr>
        <w:t xml:space="preserve">for 72h. The cells were then fixed with 50% </w:t>
      </w:r>
      <w:proofErr w:type="spellStart"/>
      <w:r w:rsidRPr="00667ADE">
        <w:rPr>
          <w:rFonts w:cs="Times New Roman"/>
        </w:rPr>
        <w:t>trichloroacetic</w:t>
      </w:r>
      <w:proofErr w:type="spellEnd"/>
      <w:r w:rsidRPr="00667ADE">
        <w:rPr>
          <w:rFonts w:cs="Times New Roman"/>
        </w:rPr>
        <w:t xml:space="preserve"> acid and stained with 0.4% </w:t>
      </w:r>
      <w:proofErr w:type="spellStart"/>
      <w:r w:rsidRPr="00667ADE">
        <w:rPr>
          <w:rFonts w:cs="Times New Roman"/>
        </w:rPr>
        <w:t>sulforhodamine</w:t>
      </w:r>
      <w:proofErr w:type="spellEnd"/>
      <w:r w:rsidRPr="00667ADE">
        <w:rPr>
          <w:rFonts w:cs="Times New Roman"/>
        </w:rPr>
        <w:t xml:space="preserve"> B. The unbound dye was removed by washing. The protein bound dye was then extracted with 10 </w:t>
      </w:r>
      <w:proofErr w:type="spellStart"/>
      <w:r w:rsidRPr="00667ADE">
        <w:rPr>
          <w:rFonts w:cs="Times New Roman"/>
        </w:rPr>
        <w:t>mM</w:t>
      </w:r>
      <w:proofErr w:type="spellEnd"/>
      <w:r w:rsidRPr="00667ADE">
        <w:rPr>
          <w:rFonts w:cs="Times New Roman"/>
        </w:rPr>
        <w:t xml:space="preserve"> </w:t>
      </w:r>
      <w:proofErr w:type="spellStart"/>
      <w:r w:rsidRPr="00667ADE">
        <w:rPr>
          <w:rFonts w:cs="Times New Roman"/>
        </w:rPr>
        <w:t>Tris</w:t>
      </w:r>
      <w:proofErr w:type="spellEnd"/>
      <w:r w:rsidRPr="00667ADE">
        <w:rPr>
          <w:rFonts w:cs="Times New Roman"/>
        </w:rPr>
        <w:t xml:space="preserve"> base and measured the optical density at 564 nm using a </w:t>
      </w:r>
      <w:proofErr w:type="spellStart"/>
      <w:r w:rsidRPr="00667ADE">
        <w:rPr>
          <w:rFonts w:cs="Times New Roman"/>
        </w:rPr>
        <w:t>SPECTRAmax</w:t>
      </w:r>
      <w:proofErr w:type="spellEnd"/>
      <w:r w:rsidRPr="00667ADE">
        <w:rPr>
          <w:rFonts w:cs="Times New Roman"/>
        </w:rPr>
        <w:t xml:space="preserve"> PLUS 384 </w:t>
      </w:r>
      <w:proofErr w:type="spellStart"/>
      <w:r w:rsidRPr="00667ADE">
        <w:rPr>
          <w:rFonts w:cs="Times New Roman"/>
        </w:rPr>
        <w:t>microplate</w:t>
      </w:r>
      <w:proofErr w:type="spellEnd"/>
      <w:r w:rsidRPr="00667ADE">
        <w:rPr>
          <w:rFonts w:cs="Times New Roman"/>
        </w:rPr>
        <w:t xml:space="preserve"> spectrophotometer. The IC</w:t>
      </w:r>
      <w:r w:rsidRPr="00667ADE">
        <w:rPr>
          <w:rFonts w:cs="Times New Roman"/>
          <w:vertAlign w:val="subscript"/>
        </w:rPr>
        <w:t>50</w:t>
      </w:r>
      <w:r w:rsidRPr="00667ADE">
        <w:rPr>
          <w:rFonts w:cs="Times New Roman"/>
        </w:rPr>
        <w:t xml:space="preserve"> value that stands for the drug concentration required to achieve a cell kill of 50% was determined using the online tool Quest </w:t>
      </w:r>
      <w:proofErr w:type="spellStart"/>
      <w:r w:rsidRPr="00667ADE">
        <w:rPr>
          <w:rFonts w:cs="Times New Roman"/>
        </w:rPr>
        <w:t>GraphTM</w:t>
      </w:r>
      <w:proofErr w:type="spellEnd"/>
      <w:r w:rsidRPr="00667ADE">
        <w:rPr>
          <w:rFonts w:cs="Times New Roman"/>
        </w:rPr>
        <w:t xml:space="preserve"> IC</w:t>
      </w:r>
      <w:r w:rsidRPr="00667ADE">
        <w:rPr>
          <w:rFonts w:cs="Times New Roman"/>
          <w:vertAlign w:val="subscript"/>
        </w:rPr>
        <w:t>50</w:t>
      </w:r>
      <w:r w:rsidRPr="00667ADE">
        <w:rPr>
          <w:rFonts w:cs="Times New Roman"/>
        </w:rPr>
        <w:t xml:space="preserve"> Calculator (AAT </w:t>
      </w:r>
      <w:proofErr w:type="spellStart"/>
      <w:r w:rsidRPr="00667ADE">
        <w:rPr>
          <w:rFonts w:cs="Times New Roman"/>
        </w:rPr>
        <w:t>Bioquest</w:t>
      </w:r>
      <w:proofErr w:type="spellEnd"/>
      <w:r w:rsidRPr="00667ADE">
        <w:rPr>
          <w:rFonts w:cs="Times New Roman"/>
        </w:rPr>
        <w:t xml:space="preserve">, Inc., Sunnyvale, CA, USA, </w:t>
      </w:r>
      <w:hyperlink r:id="rId25" w:history="1">
        <w:r w:rsidRPr="00667ADE">
          <w:rPr>
            <w:rStyle w:val="Hyperlink0"/>
            <w:rFonts w:cs="Times New Roman"/>
          </w:rPr>
          <w:t>https://www.aatbio.com/tools/ic50-calculator</w:t>
        </w:r>
      </w:hyperlink>
      <w:r w:rsidRPr="00667ADE">
        <w:rPr>
          <w:rFonts w:cs="Times New Roman"/>
        </w:rPr>
        <w:t xml:space="preserve">).  </w:t>
      </w:r>
    </w:p>
    <w:p w:rsidR="005C6DF3" w:rsidRPr="00667ADE" w:rsidRDefault="005C6DF3" w:rsidP="005C6DF3">
      <w:pPr>
        <w:jc w:val="both"/>
        <w:rPr>
          <w:rFonts w:ascii="Times New Roman" w:hAnsi="Times New Roman"/>
          <w:sz w:val="24"/>
          <w:szCs w:val="24"/>
        </w:rPr>
      </w:pPr>
    </w:p>
    <w:sectPr w:rsidR="005C6DF3" w:rsidRPr="00667ADE" w:rsidSect="00667ADE">
      <w:pgSz w:w="11909" w:h="16834" w:code="9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D23"/>
    <w:rsid w:val="00182BBA"/>
    <w:rsid w:val="00544D23"/>
    <w:rsid w:val="005C40D5"/>
    <w:rsid w:val="005C6DF3"/>
    <w:rsid w:val="00667ADE"/>
    <w:rsid w:val="00695FFA"/>
    <w:rsid w:val="00755931"/>
    <w:rsid w:val="0085339B"/>
    <w:rsid w:val="00862208"/>
    <w:rsid w:val="009730AC"/>
    <w:rsid w:val="00B21212"/>
    <w:rsid w:val="00B77AF4"/>
    <w:rsid w:val="00C02C07"/>
    <w:rsid w:val="00D97B4C"/>
    <w:rsid w:val="00FC2BD3"/>
    <w:rsid w:val="00FD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23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182BB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bidi="or-IN"/>
    </w:rPr>
  </w:style>
  <w:style w:type="character" w:customStyle="1" w:styleId="Hyperlink0">
    <w:name w:val="Hyperlink.0"/>
    <w:basedOn w:val="Hyperlink"/>
    <w:rsid w:val="00182BBA"/>
    <w:rPr>
      <w:outline w:val="0"/>
      <w:color w:val="0000FF"/>
      <w:u w:color="0000FF"/>
    </w:rPr>
  </w:style>
  <w:style w:type="paragraph" w:customStyle="1" w:styleId="TAMainText">
    <w:name w:val="TA_Main_Text"/>
    <w:link w:val="TAMainTextChar"/>
    <w:rsid w:val="00182BBA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202"/>
      <w:jc w:val="both"/>
    </w:pPr>
    <w:rPr>
      <w:rFonts w:ascii="Times Roman" w:eastAsia="Arial Unicode MS" w:hAnsi="Times Roman" w:cs="Arial Unicode MS"/>
      <w:color w:val="000000"/>
      <w:sz w:val="24"/>
      <w:szCs w:val="24"/>
      <w:u w:color="000000"/>
      <w:bdr w:val="nil"/>
      <w:lang w:bidi="or-IN"/>
    </w:rPr>
  </w:style>
  <w:style w:type="character" w:customStyle="1" w:styleId="TAMainTextChar">
    <w:name w:val="TA_Main_Text Char"/>
    <w:basedOn w:val="DefaultParagraphFont"/>
    <w:link w:val="TAMainText"/>
    <w:rsid w:val="00182BBA"/>
    <w:rPr>
      <w:rFonts w:ascii="Times Roman" w:eastAsia="Arial Unicode MS" w:hAnsi="Times Roman" w:cs="Arial Unicode MS"/>
      <w:color w:val="000000"/>
      <w:sz w:val="24"/>
      <w:szCs w:val="24"/>
      <w:u w:color="000000"/>
      <w:bdr w:val="nil"/>
      <w:lang w:bidi="or-IN"/>
    </w:rPr>
  </w:style>
  <w:style w:type="character" w:styleId="Hyperlink">
    <w:name w:val="Hyperlink"/>
    <w:basedOn w:val="DefaultParagraphFont"/>
    <w:uiPriority w:val="99"/>
    <w:semiHidden/>
    <w:unhideWhenUsed/>
    <w:rsid w:val="00182B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D3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hyperlink" Target="https://www.aatbio.com/tools/ic50-calculator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5.wmf"/><Relationship Id="rId24" Type="http://schemas.openxmlformats.org/officeDocument/2006/relationships/image" Target="media/image12.emf"/><Relationship Id="rId5" Type="http://schemas.openxmlformats.org/officeDocument/2006/relationships/oleObject" Target="embeddings/oleObject1.bin"/><Relationship Id="rId15" Type="http://schemas.openxmlformats.org/officeDocument/2006/relationships/image" Target="media/image7.emf"/><Relationship Id="rId23" Type="http://schemas.openxmlformats.org/officeDocument/2006/relationships/oleObject" Target="embeddings/oleObject9.bin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Kumar Naik</dc:creator>
  <cp:lastModifiedBy>Pradeep Kumar Naik</cp:lastModifiedBy>
  <cp:revision>7</cp:revision>
  <dcterms:created xsi:type="dcterms:W3CDTF">2020-12-24T08:09:00Z</dcterms:created>
  <dcterms:modified xsi:type="dcterms:W3CDTF">2020-12-27T15:04:00Z</dcterms:modified>
</cp:coreProperties>
</file>