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1093"/>
          <w:tab w:val="clear" w:pos="377"/>
        </w:tabs>
        <w:kinsoku/>
        <w:overflowPunct/>
        <w:topLinePunct w:val="0"/>
        <w:bidi w:val="0"/>
        <w:spacing w:line="480" w:lineRule="auto"/>
        <w:jc w:val="center"/>
        <w:rPr>
          <w:rFonts w:hint="eastAsia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 xml:space="preserve">Appendix </w:t>
      </w:r>
    </w:p>
    <w:p>
      <w:pPr>
        <w:pageBreakBefore w:val="0"/>
        <w:widowControl w:val="0"/>
        <w:tabs>
          <w:tab w:val="left" w:pos="1093"/>
          <w:tab w:val="clear" w:pos="377"/>
        </w:tabs>
        <w:kinsoku/>
        <w:overflowPunct/>
        <w:topLinePunct w:val="0"/>
        <w:bidi w:val="0"/>
        <w:spacing w:line="480" w:lineRule="auto"/>
        <w:jc w:val="center"/>
        <w:rPr>
          <w:rFonts w:hint="eastAsia" w:cs="Times New Roman"/>
          <w:sz w:val="24"/>
          <w:szCs w:val="24"/>
          <w:lang w:val="en-US" w:eastAsia="zh-CN"/>
        </w:rPr>
      </w:pPr>
    </w:p>
    <w:p>
      <w:pPr>
        <w:pageBreakBefore w:val="0"/>
        <w:widowControl w:val="0"/>
        <w:tabs>
          <w:tab w:val="left" w:pos="1093"/>
          <w:tab w:val="clear" w:pos="377"/>
        </w:tabs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146935" cy="144018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tabs>
          <w:tab w:val="left" w:pos="1093"/>
          <w:tab w:val="clear" w:pos="377"/>
        </w:tabs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 Results of total RNA electrophoresis in four samples</w:t>
      </w:r>
    </w:p>
    <w:p>
      <w:pPr>
        <w:pageBreakBefore w:val="0"/>
        <w:widowControl w:val="0"/>
        <w:tabs>
          <w:tab w:val="left" w:pos="1093"/>
          <w:tab w:val="clear" w:pos="377"/>
        </w:tabs>
        <w:kinsoku/>
        <w:overflowPunct/>
        <w:topLinePunct w:val="0"/>
        <w:bidi w:val="0"/>
        <w:spacing w:line="480" w:lineRule="auto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>Note: 1,2,3, and 4, respectively represent the M2_72H, M2_24H, M1_24H, and the control groups; 0.5 µl of sample 4 and the control were loaded 0.5 µl, samples 1 and 2 were diluted 5 and 3 times, respectively, after which 1 µl was loaded.</w:t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453005" cy="2453005"/>
            <wp:effectExtent l="0" t="0" r="4445" b="4445"/>
            <wp:docPr id="2" name="图片 2" descr="M2_2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2_24H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425065" cy="2425065"/>
            <wp:effectExtent l="0" t="0" r="13335" b="13335"/>
            <wp:docPr id="3" name="图片 3" descr="M2_7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2_72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490470" cy="2490470"/>
            <wp:effectExtent l="0" t="0" r="5080" b="5080"/>
            <wp:docPr id="5" name="图片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520315" cy="2520315"/>
            <wp:effectExtent l="0" t="0" r="13335" b="13335"/>
            <wp:docPr id="4" name="图片 5" descr="M1_2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M1_24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2 </w:t>
      </w:r>
      <w:r>
        <w:rPr>
          <w:rFonts w:hint="default" w:ascii="Times New Roman" w:hAnsi="Times New Roman" w:cs="Times New Roman"/>
          <w:sz w:val="24"/>
          <w:szCs w:val="24"/>
        </w:rPr>
        <w:t>Sample GC content distribution</w:t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Note: the abscissa base location along reads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>ordinate for percent of bases; Different color represents different base types.</w:t>
      </w:r>
    </w:p>
    <w:p/>
    <w:p/>
    <w:p/>
    <w:p>
      <w:pPr>
        <w:pageBreakBefore w:val="0"/>
        <w:tabs>
          <w:tab w:val="clear" w:pos="377"/>
        </w:tabs>
        <w:kinsoku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tabs>
          <w:tab w:val="clear" w:pos="377"/>
        </w:tabs>
        <w:kinsoku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tabs>
          <w:tab w:val="clear" w:pos="377"/>
        </w:tabs>
        <w:kinsoku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tabs>
          <w:tab w:val="clear" w:pos="377"/>
        </w:tabs>
        <w:kinsoku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tabs>
          <w:tab w:val="clear" w:pos="377"/>
        </w:tabs>
        <w:kinsoku/>
        <w:wordWrap/>
        <w:overflowPunct/>
        <w:topLinePunct w:val="0"/>
        <w:bidi w:val="0"/>
        <w:spacing w:line="480" w:lineRule="auto"/>
        <w:ind w:firstLine="3360" w:firstLineChars="14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   B   C</w:t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123315" cy="1290955"/>
            <wp:effectExtent l="0" t="0" r="635" b="4445"/>
            <wp:docPr id="19" name="图片 2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14"/>
                    <pic:cNvPicPr>
                      <a:picLocks noChangeAspect="1"/>
                    </pic:cNvPicPr>
                  </pic:nvPicPr>
                  <pic:blipFill>
                    <a:blip r:embed="rId9"/>
                    <a:srcRect r="19629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8</w:t>
      </w:r>
      <w:r>
        <w:rPr>
          <w:rFonts w:hint="default" w:ascii="Times New Roman" w:hAnsi="Times New Roman" w:cs="Times New Roman"/>
          <w:sz w:val="24"/>
          <w:szCs w:val="24"/>
        </w:rPr>
        <w:t xml:space="preserve"> RNA extraction electrophoregram</w:t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Note: M is Marker2000;A is skin fibroblasts ; B is 0.2 g/L (MT);C is the blank cells</w:t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ind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ind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ind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983865" cy="887095"/>
            <wp:effectExtent l="0" t="0" r="6985" b="8255"/>
            <wp:docPr id="22" name="图片 22" descr="1292-1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292-1修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Fig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9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Electrophoregram QPCR products</w:t>
      </w:r>
    </w:p>
    <w:p>
      <w:pPr>
        <w:pageBreakBefore w:val="0"/>
        <w:kinsoku/>
        <w:overflowPunct/>
        <w:topLinePunct w:val="0"/>
        <w:bidi w:val="0"/>
        <w:spacing w:line="480" w:lineRule="auto"/>
        <w:ind w:firstLine="0" w:firstLineChars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Note: the sample order: ACTB, Marker2000, IL - 6, TNF-α, NOD2, RIPK2, TNFAIP3, PYCARD, NFKBIA and MAP3K8</w:t>
      </w:r>
    </w:p>
    <w:p>
      <w:pPr>
        <w:pageBreakBefore w:val="0"/>
        <w:kinsoku/>
        <w:overflowPunct/>
        <w:topLinePunct w:val="0"/>
        <w:bidi w:val="0"/>
        <w:spacing w:line="480" w:lineRule="auto"/>
        <w:ind w:firstLine="0" w:firstLineChars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/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480" w:firstLineChars="200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drawing>
          <wp:inline distT="0" distB="0" distL="114300" distR="114300">
            <wp:extent cx="2800350" cy="1308735"/>
            <wp:effectExtent l="0" t="0" r="0" b="5715"/>
            <wp:docPr id="25" name="图片 25" descr="1789 2018-5-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789 2018-5-1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Fig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PCR identification of recombinant vector colonies</w:t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Note: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Lanes 1-6: IL-6 primer pair recombinant PCR amplification; Lane 7: Marker DL2000 (2000, 1000, 750, 500, 250, 100 bp from top to bottom); Lanes 8-13: TNF-α primer pair recombinant PCR amplification</w:t>
      </w:r>
    </w:p>
    <w:p/>
    <w:p/>
    <w:p/>
    <w:p>
      <w:pPr>
        <w:pageBreakBefore w:val="0"/>
        <w:kinsoku/>
        <w:overflowPunct/>
        <w:topLinePunct w:val="0"/>
        <w:bidi w:val="0"/>
        <w:spacing w:line="480" w:lineRule="auto"/>
        <w:jc w:val="left"/>
        <w:rPr>
          <w:rFonts w:hint="default" w:ascii="Times New Roman" w:hAnsi="Times New Roman" w:eastAsia="黑体" w:cs="Times New Roman"/>
          <w:b/>
          <w:bCs/>
          <w:sz w:val="24"/>
          <w:szCs w:val="24"/>
        </w:rPr>
      </w:pPr>
    </w:p>
    <w:p>
      <w:pPr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ind w:firstLine="480" w:firstLineChars="20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3091180" cy="990600"/>
            <wp:effectExtent l="0" t="0" r="1397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ind w:firstLine="480" w:firstLineChars="200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Fig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PCR identification of recombinant vector colonies of IL-6-1#, IL-6-2#, IL-6-3#, TNF-α-1#, TNF-α-2#, and TNF-α-3#</w:t>
      </w:r>
    </w:p>
    <w:p>
      <w:pPr>
        <w:keepLines/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Note: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Lanes 1-9 were identified by PCR for IL-6-1#, IL-6-2#, and IL-6-3# recombinant vector colonies; Lane 10 was Marker DL2000 (2000 to 1000 from top to bottom, respectively (750, 500, 250, and 100 bp); Lanes 11-16 were TNF-α-1#, TNF-α-2#, and TNF-α-3# recombinant vector colonies</w:t>
      </w:r>
    </w:p>
    <w:p>
      <w:pPr>
        <w:keepLines/>
        <w:pageBreakBefore w:val="0"/>
        <w:kinsoku/>
        <w:wordWrap w:val="0"/>
        <w:overflowPunct/>
        <w:topLinePunct w:val="0"/>
        <w:bidi w:val="0"/>
        <w:snapToGrid w:val="0"/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3009900" cy="13906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Fig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PCR identification of IL-6-1#, IL-6-2#, IL-6-3#, TNF-α-1#, TNF-α-2#, and TNF-α-3# recombinant vector colonies</w:t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Note: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Lanes 1-3 are PCR amplifications of the target fragments of three interfering targets of IL-6; Lane 4 is Marker DL2000 (2000, 1000, 750, 500, 250, and 100 bp from top to bottom); Lanes 5-7 are TNF-α PCR amplification of fragments of interest that interfere with the target</w:t>
      </w:r>
    </w:p>
    <w:p>
      <w:pPr>
        <w:pageBreakBefore w:val="0"/>
        <w:kinsoku/>
        <w:overflowPunct/>
        <w:topLinePunct w:val="0"/>
        <w:bidi w:val="0"/>
        <w:spacing w:line="480" w:lineRule="auto"/>
        <w:jc w:val="center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pageBreakBefore w:val="0"/>
        <w:kinsoku/>
        <w:overflowPunct/>
        <w:topLinePunct w:val="0"/>
        <w:bidi w:val="0"/>
        <w:spacing w:line="480" w:lineRule="auto"/>
        <w:ind w:firstLine="0" w:firstLineChars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480" w:lineRule="auto"/>
        <w:ind w:firstLine="0" w:firstLineChars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Tab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6 </w:t>
      </w:r>
      <w:r>
        <w:rPr>
          <w:rFonts w:hint="default" w:ascii="Times New Roman" w:hAnsi="Times New Roman" w:cs="Times New Roman"/>
          <w:sz w:val="24"/>
          <w:szCs w:val="24"/>
        </w:rPr>
        <w:t>Total RNA concentration and 28S: 18S value and RIN value</w:t>
      </w:r>
    </w:p>
    <w:tbl>
      <w:tblPr>
        <w:tblStyle w:val="3"/>
        <w:tblpPr w:leftFromText="180" w:rightFromText="180" w:vertAnchor="text" w:horzAnchor="margin" w:tblpXSpec="center" w:tblpY="75"/>
        <w:tblOverlap w:val="never"/>
        <w:tblW w:w="8753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53" w:type="dxa"/>
            <w:tcBorders>
              <w:left w:val="nil"/>
              <w:right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Location   Sample   OD260/OD280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28S/18S   RIN   Total RNA concentration（ng/uL)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53" w:type="dxa"/>
            <w:tcBorders>
              <w:left w:val="nil"/>
              <w:right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      M2_72H      2.000           2.1      9.6           885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      M2_24H      2.000           2.4      8.9           352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      M1_24H      1.955           2.5      9.3           344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      Control(c)     1.964           3.2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8.6           326</w:t>
            </w:r>
          </w:p>
        </w:tc>
      </w:tr>
    </w:tbl>
    <w:p/>
    <w:p/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Tab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7 </w:t>
      </w:r>
      <w:r>
        <w:rPr>
          <w:rFonts w:hint="default" w:ascii="Times New Roman" w:hAnsi="Times New Roman" w:cs="Times New Roman"/>
          <w:sz w:val="24"/>
          <w:szCs w:val="24"/>
        </w:rPr>
        <w:t>Sequencing error rate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426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Error rate(%)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C_1</w:t>
            </w:r>
          </w:p>
        </w:tc>
        <w:tc>
          <w:tcPr>
            <w:tcW w:w="426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C_2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M1_24H_1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M1_24H_2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M2_24H_1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M2_24H_2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M2_72H_1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M2_72H_2</w:t>
            </w:r>
          </w:p>
        </w:tc>
        <w:tc>
          <w:tcPr>
            <w:tcW w:w="426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5E89"/>
    <w:rsid w:val="0CC47174"/>
    <w:rsid w:val="3B135E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377"/>
      </w:tabs>
      <w:spacing w:line="300" w:lineRule="auto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2.tif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2020-11-24T01:39:00Z</dcterms:created>
  <dc:creator>兜兜里有糖</dc:creator>
  <cp:lastModifiedBy>兜兜里有糖</cp:lastModifiedBy>
  <dcterms:modified xsi:type="dcterms:W3CDTF">2020-11-24T07:30:52Z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