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Hollingsworth T. N., A. L.. Breen, R. E. Hewitt, and M. C. Mack. </w:t>
      </w:r>
      <w:r w:rsidDel="00000000" w:rsidR="00000000" w:rsidRPr="00000000">
        <w:rPr>
          <w:sz w:val="20"/>
          <w:szCs w:val="20"/>
          <w:rtl w:val="0"/>
        </w:rPr>
        <w:t xml:space="preserve">Does fire accelerate shrub expansion in Arctic Alaska tundra? Examining the complex effect of fire history on vegetation and ecosystem dynamics on the Seward Peninsula. Submitted to </w:t>
      </w:r>
      <w:r w:rsidDel="00000000" w:rsidR="00000000" w:rsidRPr="00000000">
        <w:rPr>
          <w:i w:val="1"/>
          <w:sz w:val="20"/>
          <w:szCs w:val="20"/>
          <w:rtl w:val="0"/>
        </w:rPr>
        <w:t xml:space="preserve">Arctic, Antarctic, and Alpine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b w:val="0"/>
        </w:rPr>
      </w:pPr>
      <w:bookmarkStart w:colFirst="0" w:colLast="0" w:name="_heading=h.dv9dx0w3uayz" w:id="0"/>
      <w:bookmarkEnd w:id="0"/>
      <w:r w:rsidDel="00000000" w:rsidR="00000000" w:rsidRPr="00000000">
        <w:rPr>
          <w:rtl w:val="0"/>
        </w:rPr>
        <w:t xml:space="preserve">Supplemental Table 1:</w:t>
      </w:r>
      <w:r w:rsidDel="00000000" w:rsidR="00000000" w:rsidRPr="00000000">
        <w:rPr>
          <w:b w:val="0"/>
          <w:rtl w:val="0"/>
        </w:rPr>
        <w:t xml:space="preserve"> Tundra burn severity classification.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 Severity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Moderate Severity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Low Severity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Substrate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  <w:tab w:val="left" w:pos="270"/>
              </w:tabs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Deep consumption of organic layers (duff) indicated by spots of mineral soil exposure or burned off shrub stems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Remaining tussocks columnar, with &gt; 60% of basal area consumed; any leaves present are new since the burn (no old litter remaining)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ineral soil covered by ash or liverwort/fire moss covering &gt;20% area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tussock tundra, lines of white ash between hummocks or polygons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"/>
              </w:tabs>
              <w:spacing w:after="0" w:before="0" w:line="240" w:lineRule="auto"/>
              <w:ind w:left="198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"/>
              </w:tabs>
              <w:spacing w:after="0" w:before="0" w:line="240" w:lineRule="auto"/>
              <w:ind w:left="198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Most of surface is charred, rough black with intermediate consumption of duff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"/>
              </w:tabs>
              <w:spacing w:after="0" w:before="0" w:line="240" w:lineRule="auto"/>
              <w:ind w:left="198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0-20% mineral soil exposure indicated by ash, liverwort, or fallen tall shrubs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"/>
              </w:tabs>
              <w:spacing w:after="0" w:before="0" w:line="240" w:lineRule="auto"/>
              <w:ind w:left="198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Tussocks somewhat peaked, with moderate (20-60%) consumption of basal area; little or no pre-burn leaf litter evident.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Scorch surface with little consumption of duff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Frequent patchy Sphagnum mounds or moist depressions giving discontinuous surface burn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Vigorous re-sprouting of cottongrass tussocks or of shrub layer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Tussocks round, with moderate old leaf litter, &lt;20% of basal area consumed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Vegetation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&gt;50% tall shrubs fallen indicating roots burned completely or duff burned completely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Near 100% tall shrub/tree and low/dwarf shrub canopy mortality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Branches may be burned off tall shrubs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Fallen dead tall shrub stems may be consumed in rare cases leaving lines of white ash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tussock tundra, indications of substantial consumption and mortality of tussock bases (no resprout, no yellow on top)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 be some large shrubs fallen but &gt;20% of area shows charred or live shrub vegetation remaining on surface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permafrost areas, &gt;20% of shrubs will still be standing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Often old yellowed leaves or twigs remain on some of the standing shrub skeletons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Twigs will remain on shrubs like Labrador tea, but most leaves are consumed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Riparian corridors and wet depressions usually unburned or light scorch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live unburned shrubs remaining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Canopy with some green leaves remaining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Riparian corridors unburned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33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Discontinuous burn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*Substrate outweighs vegetation if indicators conflict.  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26BD"/>
    <w:rPr>
      <w:rFonts w:ascii="Times New Roman" w:eastAsia="Times New Roman" w:hAnsi="Times New Roman"/>
      <w:i w:val="0"/>
      <w:iCs w:val="0"/>
      <w:color w:val="auto"/>
      <w:sz w:val="22"/>
      <w:szCs w:val="20"/>
    </w:rPr>
  </w:style>
  <w:style w:type="paragraph" w:styleId="Heading2">
    <w:name w:val="heading 2"/>
    <w:basedOn w:val="Normal"/>
    <w:next w:val="Normal"/>
    <w:link w:val="Heading2Char"/>
    <w:qFormat w:val="1"/>
    <w:rsid w:val="00EC26BD"/>
    <w:pPr>
      <w:keepNext w:val="1"/>
      <w:outlineLvl w:val="1"/>
    </w:pPr>
    <w:rPr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sid w:val="00EC26BD"/>
    <w:rPr>
      <w:rFonts w:ascii="Times New Roman" w:eastAsia="Times New Roman" w:hAnsi="Times New Roman"/>
      <w:b w:val="1"/>
      <w:i w:val="0"/>
      <w:iCs w:val="0"/>
      <w:color w:val="auto"/>
    </w:rPr>
  </w:style>
  <w:style w:type="paragraph" w:styleId="ListParagraph">
    <w:name w:val="List Paragraph"/>
    <w:basedOn w:val="Normal"/>
    <w:uiPriority w:val="34"/>
    <w:qFormat w:val="1"/>
    <w:rsid w:val="00EC26B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HGoDZTJTOybFsYI7DwT4IQ/Ww==">AMUW2mVs3SXQeapbUZsngCuw8K3c598SkH/Padiq8PriSpXbVUqImsm5G5Mg00Jmseb/nPRMdQEmILCgwj/5gfksmJpWYtiCQZdtb58n8n513n2iuDFHwi+LfeCTM7rodOpAPNM3Zy+V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2019-07-23T23:28:00Z</dcterms:created>
  <dc:creator>Amy Breen</dc:creator>
</cp:coreProperties>
</file>